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9286F">
      <w:pPr>
        <w:rPr>
          <w:sz w:val="36"/>
          <w:szCs w:val="36"/>
        </w:rPr>
      </w:pPr>
      <w:bookmarkStart w:id="0" w:name="_Hlk57883707"/>
    </w:p>
    <w:p w14:paraId="3E0D571E">
      <w:pPr>
        <w:rPr>
          <w:sz w:val="36"/>
          <w:szCs w:val="36"/>
        </w:rPr>
      </w:pPr>
    </w:p>
    <w:p w14:paraId="7DC69B14">
      <w:pPr>
        <w:rPr>
          <w:sz w:val="36"/>
          <w:szCs w:val="36"/>
        </w:rPr>
      </w:pPr>
    </w:p>
    <w:p w14:paraId="22FD3B5F">
      <w:pPr>
        <w:rPr>
          <w:sz w:val="36"/>
          <w:szCs w:val="36"/>
        </w:rPr>
      </w:pPr>
    </w:p>
    <w:bookmarkEnd w:id="0"/>
    <w:p w14:paraId="28DC27A4">
      <w:pPr>
        <w:adjustRightInd w:val="0"/>
        <w:snapToGrid w:val="0"/>
        <w:outlineLvl w:val="0"/>
        <w:rPr>
          <w:bCs/>
          <w:sz w:val="72"/>
          <w:szCs w:val="72"/>
        </w:rPr>
      </w:pPr>
      <w:bookmarkStart w:id="1" w:name="_Toc7089"/>
      <w:bookmarkStart w:id="2" w:name="_Toc121830150"/>
      <w:bookmarkStart w:id="3" w:name="_Toc120909760"/>
      <w:bookmarkStart w:id="4" w:name="_Toc24770"/>
      <w:bookmarkStart w:id="5" w:name="_Toc23491"/>
      <w:bookmarkStart w:id="6" w:name="_Toc5030"/>
      <w:r>
        <w:rPr>
          <w:bCs/>
          <w:sz w:val="72"/>
          <w:szCs w:val="72"/>
        </w:rPr>
        <w:t>建设项目环境影响报告表</w:t>
      </w:r>
      <w:bookmarkEnd w:id="1"/>
      <w:bookmarkEnd w:id="2"/>
      <w:bookmarkEnd w:id="3"/>
      <w:bookmarkEnd w:id="4"/>
      <w:bookmarkEnd w:id="5"/>
      <w:bookmarkEnd w:id="6"/>
    </w:p>
    <w:p w14:paraId="7163693C">
      <w:pPr>
        <w:adjustRightInd w:val="0"/>
        <w:snapToGrid w:val="0"/>
        <w:spacing w:before="192" w:beforeLines="80"/>
        <w:jc w:val="center"/>
        <w:rPr>
          <w:bCs/>
          <w:sz w:val="48"/>
          <w:szCs w:val="48"/>
        </w:rPr>
      </w:pPr>
      <w:r>
        <w:rPr>
          <w:bCs/>
          <w:sz w:val="48"/>
          <w:szCs w:val="48"/>
        </w:rPr>
        <w:t>（生态影响类）</w:t>
      </w:r>
    </w:p>
    <w:p w14:paraId="0BEFF299">
      <w:bookmarkStart w:id="7" w:name="_Hlk57883728"/>
    </w:p>
    <w:p w14:paraId="2A663284">
      <w:pPr>
        <w:jc w:val="center"/>
        <w:rPr>
          <w:sz w:val="52"/>
          <w:szCs w:val="52"/>
        </w:rPr>
      </w:pPr>
    </w:p>
    <w:p w14:paraId="2A6D990B">
      <w:pPr>
        <w:rPr>
          <w:sz w:val="44"/>
          <w:szCs w:val="44"/>
        </w:rPr>
      </w:pPr>
    </w:p>
    <w:p w14:paraId="4630AC36">
      <w:pPr>
        <w:rPr>
          <w:sz w:val="44"/>
          <w:szCs w:val="44"/>
        </w:rPr>
      </w:pPr>
    </w:p>
    <w:p w14:paraId="448615DA">
      <w:pPr>
        <w:rPr>
          <w:sz w:val="44"/>
          <w:szCs w:val="44"/>
        </w:rPr>
      </w:pPr>
    </w:p>
    <w:p w14:paraId="43C1F23E">
      <w:pPr>
        <w:rPr>
          <w:sz w:val="44"/>
          <w:szCs w:val="44"/>
        </w:rPr>
      </w:pPr>
    </w:p>
    <w:p w14:paraId="1A7294E6"/>
    <w:p w14:paraId="764FE246"/>
    <w:p w14:paraId="023A2242">
      <w:pPr>
        <w:rPr>
          <w:sz w:val="44"/>
          <w:szCs w:val="44"/>
        </w:rPr>
      </w:pPr>
    </w:p>
    <w:p w14:paraId="44C265CD"/>
    <w:p w14:paraId="15F592A3">
      <w:pPr>
        <w:rPr>
          <w:sz w:val="44"/>
          <w:szCs w:val="44"/>
        </w:rPr>
      </w:pPr>
    </w:p>
    <w:bookmarkEnd w:id="7"/>
    <w:p w14:paraId="1B7F4A21">
      <w:pPr>
        <w:adjustRightInd w:val="0"/>
        <w:snapToGrid w:val="0"/>
        <w:spacing w:line="360" w:lineRule="auto"/>
        <w:jc w:val="left"/>
        <w:rPr>
          <w:rFonts w:hint="default" w:eastAsia="宋体"/>
          <w:b/>
          <w:bCs/>
          <w:spacing w:val="-20"/>
          <w:w w:val="90"/>
          <w:sz w:val="32"/>
          <w:szCs w:val="32"/>
          <w:u w:val="single"/>
          <w:lang w:val="en-US" w:eastAsia="zh-CN"/>
        </w:rPr>
      </w:pPr>
      <w:r>
        <w:rPr>
          <w:b/>
          <w:bCs/>
          <w:spacing w:val="-20"/>
          <w:w w:val="90"/>
          <w:sz w:val="32"/>
          <w:szCs w:val="32"/>
        </w:rPr>
        <w:t>项目名称：</w:t>
      </w:r>
      <w:r>
        <w:rPr>
          <w:rFonts w:hint="eastAsia"/>
          <w:b/>
          <w:bCs/>
          <w:spacing w:val="-20"/>
          <w:w w:val="90"/>
          <w:sz w:val="32"/>
          <w:szCs w:val="32"/>
          <w:u w:val="single"/>
          <w:lang w:val="en-US" w:eastAsia="zh-CN"/>
        </w:rPr>
        <w:t xml:space="preserve">    </w:t>
      </w:r>
      <w:r>
        <w:rPr>
          <w:rFonts w:hint="eastAsia"/>
          <w:b/>
          <w:bCs/>
          <w:sz w:val="32"/>
          <w:szCs w:val="32"/>
          <w:u w:val="single"/>
          <w:lang w:eastAsia="zh-CN"/>
        </w:rPr>
        <w:t>华润电力青口盐场240MW渔光互补项目</w:t>
      </w:r>
      <w:r>
        <w:rPr>
          <w:rFonts w:hint="eastAsia"/>
          <w:b/>
          <w:bCs/>
          <w:sz w:val="32"/>
          <w:szCs w:val="32"/>
          <w:u w:val="single"/>
          <w:lang w:val="en-US" w:eastAsia="zh-CN"/>
        </w:rPr>
        <w:t xml:space="preserve">   </w:t>
      </w:r>
    </w:p>
    <w:p w14:paraId="245F69CD">
      <w:pPr>
        <w:keepNext w:val="0"/>
        <w:keepLines w:val="0"/>
        <w:widowControl/>
        <w:suppressLineNumbers w:val="0"/>
        <w:jc w:val="left"/>
        <w:rPr>
          <w:b/>
          <w:bCs/>
          <w:sz w:val="32"/>
          <w:szCs w:val="32"/>
          <w:u w:val="single"/>
        </w:rPr>
      </w:pPr>
      <w:bookmarkStart w:id="8" w:name="_Toc31515"/>
      <w:r>
        <w:rPr>
          <w:b/>
          <w:bCs/>
          <w:sz w:val="32"/>
          <w:szCs w:val="32"/>
        </w:rPr>
        <w:t>建设单位（盖章）：</w:t>
      </w:r>
      <w:bookmarkEnd w:id="8"/>
      <w:r>
        <w:rPr>
          <w:rFonts w:hint="eastAsia"/>
          <w:b/>
          <w:bCs/>
          <w:sz w:val="32"/>
          <w:szCs w:val="32"/>
          <w:u w:val="single"/>
          <w:lang w:val="en-US" w:eastAsia="zh-CN"/>
        </w:rPr>
        <w:t xml:space="preserve">  连云港润投青口能源有限公司   </w:t>
      </w:r>
    </w:p>
    <w:p w14:paraId="1C667D8C">
      <w:pPr>
        <w:adjustRightInd w:val="0"/>
        <w:snapToGrid w:val="0"/>
        <w:spacing w:line="360" w:lineRule="auto"/>
        <w:jc w:val="left"/>
        <w:rPr>
          <w:b/>
          <w:bCs/>
          <w:sz w:val="32"/>
          <w:szCs w:val="32"/>
          <w:u w:val="single"/>
        </w:rPr>
      </w:pPr>
      <w:r>
        <w:rPr>
          <w:b/>
          <w:bCs/>
          <w:sz w:val="32"/>
          <w:szCs w:val="32"/>
        </w:rPr>
        <w:t>编制日期：</w:t>
      </w:r>
      <w:r>
        <w:rPr>
          <w:bCs/>
          <w:sz w:val="32"/>
          <w:szCs w:val="32"/>
          <w:u w:val="single"/>
        </w:rPr>
        <w:t xml:space="preserve">              </w:t>
      </w:r>
      <w:r>
        <w:rPr>
          <w:b/>
          <w:bCs/>
          <w:sz w:val="32"/>
          <w:szCs w:val="32"/>
          <w:u w:val="single"/>
        </w:rPr>
        <w:t>2024年</w:t>
      </w:r>
      <w:r>
        <w:rPr>
          <w:rFonts w:hint="eastAsia"/>
          <w:b/>
          <w:bCs/>
          <w:sz w:val="32"/>
          <w:szCs w:val="32"/>
          <w:u w:val="single"/>
          <w:lang w:val="en-US" w:eastAsia="zh-CN"/>
        </w:rPr>
        <w:t>11</w:t>
      </w:r>
      <w:r>
        <w:rPr>
          <w:b/>
          <w:bCs/>
          <w:sz w:val="32"/>
          <w:szCs w:val="32"/>
          <w:u w:val="single"/>
        </w:rPr>
        <w:t>月</w:t>
      </w:r>
      <w:r>
        <w:rPr>
          <w:bCs/>
          <w:sz w:val="32"/>
          <w:szCs w:val="32"/>
          <w:u w:val="single"/>
        </w:rPr>
        <w:t xml:space="preserve">               </w:t>
      </w:r>
    </w:p>
    <w:p w14:paraId="1DE0D962">
      <w:pPr>
        <w:adjustRightInd w:val="0"/>
        <w:snapToGrid w:val="0"/>
        <w:spacing w:line="288" w:lineRule="auto"/>
        <w:rPr>
          <w:sz w:val="36"/>
          <w:szCs w:val="36"/>
          <w:u w:val="single"/>
        </w:rPr>
      </w:pPr>
    </w:p>
    <w:p w14:paraId="1AD95487">
      <w:pPr>
        <w:adjustRightInd w:val="0"/>
        <w:snapToGrid w:val="0"/>
        <w:spacing w:line="288" w:lineRule="auto"/>
        <w:rPr>
          <w:sz w:val="36"/>
          <w:szCs w:val="36"/>
        </w:rPr>
      </w:pPr>
    </w:p>
    <w:p w14:paraId="62F9225F"/>
    <w:p w14:paraId="5BDBB48D">
      <w:pPr>
        <w:adjustRightInd w:val="0"/>
        <w:snapToGrid w:val="0"/>
        <w:spacing w:line="288" w:lineRule="auto"/>
        <w:rPr>
          <w:sz w:val="36"/>
          <w:szCs w:val="36"/>
        </w:rPr>
      </w:pPr>
    </w:p>
    <w:p w14:paraId="1BBB478A">
      <w:pPr>
        <w:adjustRightInd w:val="0"/>
        <w:snapToGrid w:val="0"/>
        <w:spacing w:line="288" w:lineRule="auto"/>
        <w:jc w:val="center"/>
        <w:outlineLvl w:val="0"/>
        <w:rPr>
          <w:sz w:val="36"/>
          <w:szCs w:val="36"/>
        </w:rPr>
      </w:pPr>
      <w:bookmarkStart w:id="9" w:name="_Toc17867"/>
      <w:r>
        <w:rPr>
          <w:sz w:val="36"/>
          <w:szCs w:val="36"/>
        </w:rPr>
        <w:t>中华人民共和国生态环境部制</w:t>
      </w:r>
      <w:bookmarkEnd w:id="9"/>
    </w:p>
    <w:p w14:paraId="0D42FFDF">
      <w:r>
        <w:rPr>
          <w:sz w:val="36"/>
          <w:szCs w:val="36"/>
        </w:rPr>
        <w:br w:type="page"/>
      </w:r>
    </w:p>
    <w:sdt>
      <w:sdtPr>
        <w:rPr>
          <w:kern w:val="0"/>
          <w:sz w:val="20"/>
          <w:szCs w:val="20"/>
        </w:rPr>
        <w:id w:val="147454146"/>
        <w:docPartObj>
          <w:docPartGallery w:val="Table of Contents"/>
          <w:docPartUnique/>
        </w:docPartObj>
      </w:sdtPr>
      <w:sdtEndPr>
        <w:rPr>
          <w:kern w:val="0"/>
          <w:sz w:val="20"/>
          <w:szCs w:val="20"/>
        </w:rPr>
      </w:sdtEndPr>
      <w:sdtContent>
        <w:p w14:paraId="103F327A">
          <w:pPr>
            <w:jc w:val="center"/>
            <w:rPr>
              <w:b/>
              <w:bCs/>
              <w:sz w:val="32"/>
              <w:szCs w:val="40"/>
            </w:rPr>
          </w:pPr>
          <w:r>
            <w:rPr>
              <w:b/>
              <w:bCs/>
              <w:sz w:val="32"/>
              <w:szCs w:val="40"/>
            </w:rPr>
            <w:t>目录</w:t>
          </w:r>
        </w:p>
        <w:p w14:paraId="38551493">
          <w:pPr>
            <w:pStyle w:val="165"/>
            <w:tabs>
              <w:tab w:val="right" w:leader="dot" w:pos="8844"/>
            </w:tabs>
            <w:spacing w:line="360" w:lineRule="auto"/>
            <w:rPr>
              <w:sz w:val="24"/>
              <w:szCs w:val="24"/>
            </w:rPr>
          </w:pPr>
          <w:r>
            <w:fldChar w:fldCharType="begin"/>
          </w:r>
          <w:r>
            <w:instrText xml:space="preserve">TOC \o "1-1" \h \u </w:instrText>
          </w:r>
          <w:r>
            <w:fldChar w:fldCharType="separate"/>
          </w:r>
          <w:r>
            <w:fldChar w:fldCharType="begin"/>
          </w:r>
          <w:r>
            <w:instrText xml:space="preserve"> HYPERLINK \l "_Toc25536" </w:instrText>
          </w:r>
          <w:r>
            <w:fldChar w:fldCharType="separate"/>
          </w:r>
          <w:r>
            <w:rPr>
              <w:sz w:val="24"/>
              <w:szCs w:val="24"/>
            </w:rPr>
            <w:t>一、建设项目基本情况</w:t>
          </w:r>
          <w:r>
            <w:rPr>
              <w:sz w:val="24"/>
              <w:szCs w:val="24"/>
            </w:rPr>
            <w:tab/>
          </w:r>
          <w:r>
            <w:rPr>
              <w:sz w:val="24"/>
              <w:szCs w:val="24"/>
            </w:rPr>
            <w:fldChar w:fldCharType="begin"/>
          </w:r>
          <w:r>
            <w:rPr>
              <w:sz w:val="24"/>
              <w:szCs w:val="24"/>
            </w:rPr>
            <w:instrText xml:space="preserve"> PAGEREF _Toc25536 \h </w:instrText>
          </w:r>
          <w:r>
            <w:rPr>
              <w:sz w:val="24"/>
              <w:szCs w:val="24"/>
            </w:rPr>
            <w:fldChar w:fldCharType="separate"/>
          </w:r>
          <w:r>
            <w:rPr>
              <w:sz w:val="24"/>
              <w:szCs w:val="24"/>
            </w:rPr>
            <w:t>1</w:t>
          </w:r>
          <w:r>
            <w:rPr>
              <w:sz w:val="24"/>
              <w:szCs w:val="24"/>
            </w:rPr>
            <w:fldChar w:fldCharType="end"/>
          </w:r>
          <w:r>
            <w:rPr>
              <w:sz w:val="24"/>
              <w:szCs w:val="24"/>
            </w:rPr>
            <w:fldChar w:fldCharType="end"/>
          </w:r>
        </w:p>
        <w:p w14:paraId="43ACAD1C">
          <w:pPr>
            <w:pStyle w:val="165"/>
            <w:tabs>
              <w:tab w:val="right" w:leader="dot" w:pos="8844"/>
            </w:tabs>
            <w:spacing w:line="360" w:lineRule="auto"/>
            <w:rPr>
              <w:sz w:val="24"/>
              <w:szCs w:val="24"/>
            </w:rPr>
          </w:pPr>
          <w:r>
            <w:fldChar w:fldCharType="begin"/>
          </w:r>
          <w:r>
            <w:instrText xml:space="preserve"> HYPERLINK \l "_Toc19523" </w:instrText>
          </w:r>
          <w:r>
            <w:fldChar w:fldCharType="separate"/>
          </w:r>
          <w:r>
            <w:rPr>
              <w:sz w:val="24"/>
              <w:szCs w:val="24"/>
            </w:rPr>
            <w:t>二、建设内容</w:t>
          </w:r>
          <w:r>
            <w:rPr>
              <w:sz w:val="24"/>
              <w:szCs w:val="24"/>
            </w:rPr>
            <w:tab/>
          </w:r>
          <w:r>
            <w:rPr>
              <w:sz w:val="24"/>
              <w:szCs w:val="24"/>
            </w:rPr>
            <w:fldChar w:fldCharType="begin"/>
          </w:r>
          <w:r>
            <w:rPr>
              <w:sz w:val="24"/>
              <w:szCs w:val="24"/>
            </w:rPr>
            <w:instrText xml:space="preserve"> PAGEREF _Toc19523 \h </w:instrText>
          </w:r>
          <w:r>
            <w:rPr>
              <w:sz w:val="24"/>
              <w:szCs w:val="24"/>
            </w:rPr>
            <w:fldChar w:fldCharType="separate"/>
          </w:r>
          <w:r>
            <w:rPr>
              <w:sz w:val="24"/>
              <w:szCs w:val="24"/>
            </w:rPr>
            <w:t>17</w:t>
          </w:r>
          <w:r>
            <w:rPr>
              <w:sz w:val="24"/>
              <w:szCs w:val="24"/>
            </w:rPr>
            <w:fldChar w:fldCharType="end"/>
          </w:r>
          <w:r>
            <w:rPr>
              <w:sz w:val="24"/>
              <w:szCs w:val="24"/>
            </w:rPr>
            <w:fldChar w:fldCharType="end"/>
          </w:r>
        </w:p>
        <w:p w14:paraId="5A24D460">
          <w:pPr>
            <w:pStyle w:val="165"/>
            <w:tabs>
              <w:tab w:val="right" w:leader="dot" w:pos="8844"/>
            </w:tabs>
            <w:spacing w:line="360" w:lineRule="auto"/>
            <w:rPr>
              <w:sz w:val="24"/>
              <w:szCs w:val="24"/>
            </w:rPr>
          </w:pPr>
          <w:r>
            <w:fldChar w:fldCharType="begin"/>
          </w:r>
          <w:r>
            <w:instrText xml:space="preserve"> HYPERLINK \l "_Toc22083" </w:instrText>
          </w:r>
          <w:r>
            <w:fldChar w:fldCharType="separate"/>
          </w:r>
          <w:r>
            <w:rPr>
              <w:sz w:val="24"/>
              <w:szCs w:val="24"/>
            </w:rPr>
            <w:t>三、生态环境现状、保护目标及评价标准</w:t>
          </w:r>
          <w:r>
            <w:rPr>
              <w:sz w:val="24"/>
              <w:szCs w:val="24"/>
            </w:rPr>
            <w:tab/>
          </w:r>
          <w:r>
            <w:rPr>
              <w:sz w:val="24"/>
              <w:szCs w:val="24"/>
            </w:rPr>
            <w:fldChar w:fldCharType="begin"/>
          </w:r>
          <w:r>
            <w:rPr>
              <w:sz w:val="24"/>
              <w:szCs w:val="24"/>
            </w:rPr>
            <w:instrText xml:space="preserve"> PAGEREF _Toc22083 \h </w:instrText>
          </w:r>
          <w:r>
            <w:rPr>
              <w:sz w:val="24"/>
              <w:szCs w:val="24"/>
            </w:rPr>
            <w:fldChar w:fldCharType="separate"/>
          </w:r>
          <w:r>
            <w:rPr>
              <w:sz w:val="24"/>
              <w:szCs w:val="24"/>
            </w:rPr>
            <w:t>33</w:t>
          </w:r>
          <w:r>
            <w:rPr>
              <w:sz w:val="24"/>
              <w:szCs w:val="24"/>
            </w:rPr>
            <w:fldChar w:fldCharType="end"/>
          </w:r>
          <w:r>
            <w:rPr>
              <w:sz w:val="24"/>
              <w:szCs w:val="24"/>
            </w:rPr>
            <w:fldChar w:fldCharType="end"/>
          </w:r>
        </w:p>
        <w:p w14:paraId="23BDB26C">
          <w:pPr>
            <w:pStyle w:val="165"/>
            <w:tabs>
              <w:tab w:val="right" w:leader="dot" w:pos="8844"/>
            </w:tabs>
            <w:spacing w:line="360" w:lineRule="auto"/>
            <w:rPr>
              <w:sz w:val="24"/>
              <w:szCs w:val="24"/>
            </w:rPr>
          </w:pPr>
          <w:r>
            <w:fldChar w:fldCharType="begin"/>
          </w:r>
          <w:r>
            <w:instrText xml:space="preserve"> HYPERLINK \l "_Toc3485" </w:instrText>
          </w:r>
          <w:r>
            <w:fldChar w:fldCharType="separate"/>
          </w:r>
          <w:r>
            <w:rPr>
              <w:sz w:val="24"/>
              <w:szCs w:val="24"/>
            </w:rPr>
            <w:t>四、生态环境影响分析</w:t>
          </w:r>
          <w:r>
            <w:rPr>
              <w:sz w:val="24"/>
              <w:szCs w:val="24"/>
            </w:rPr>
            <w:tab/>
          </w:r>
          <w:r>
            <w:rPr>
              <w:sz w:val="24"/>
              <w:szCs w:val="24"/>
            </w:rPr>
            <w:fldChar w:fldCharType="begin"/>
          </w:r>
          <w:r>
            <w:rPr>
              <w:sz w:val="24"/>
              <w:szCs w:val="24"/>
            </w:rPr>
            <w:instrText xml:space="preserve"> PAGEREF _Toc3485 \h </w:instrText>
          </w:r>
          <w:r>
            <w:rPr>
              <w:sz w:val="24"/>
              <w:szCs w:val="24"/>
            </w:rPr>
            <w:fldChar w:fldCharType="separate"/>
          </w:r>
          <w:r>
            <w:rPr>
              <w:sz w:val="24"/>
              <w:szCs w:val="24"/>
            </w:rPr>
            <w:t>43</w:t>
          </w:r>
          <w:r>
            <w:rPr>
              <w:sz w:val="24"/>
              <w:szCs w:val="24"/>
            </w:rPr>
            <w:fldChar w:fldCharType="end"/>
          </w:r>
          <w:r>
            <w:rPr>
              <w:sz w:val="24"/>
              <w:szCs w:val="24"/>
            </w:rPr>
            <w:fldChar w:fldCharType="end"/>
          </w:r>
        </w:p>
        <w:p w14:paraId="4FBC1F13">
          <w:pPr>
            <w:pStyle w:val="165"/>
            <w:tabs>
              <w:tab w:val="right" w:leader="dot" w:pos="8844"/>
            </w:tabs>
            <w:spacing w:line="360" w:lineRule="auto"/>
            <w:rPr>
              <w:sz w:val="24"/>
              <w:szCs w:val="24"/>
            </w:rPr>
          </w:pPr>
          <w:r>
            <w:fldChar w:fldCharType="begin"/>
          </w:r>
          <w:r>
            <w:instrText xml:space="preserve"> HYPERLINK \l "_Toc18352" </w:instrText>
          </w:r>
          <w:r>
            <w:fldChar w:fldCharType="separate"/>
          </w:r>
          <w:r>
            <w:rPr>
              <w:sz w:val="24"/>
              <w:szCs w:val="24"/>
            </w:rPr>
            <w:t>五、主要生态环境保护措施</w:t>
          </w:r>
          <w:r>
            <w:rPr>
              <w:sz w:val="24"/>
              <w:szCs w:val="24"/>
            </w:rPr>
            <w:tab/>
          </w:r>
          <w:r>
            <w:rPr>
              <w:sz w:val="24"/>
              <w:szCs w:val="24"/>
            </w:rPr>
            <w:fldChar w:fldCharType="begin"/>
          </w:r>
          <w:r>
            <w:rPr>
              <w:sz w:val="24"/>
              <w:szCs w:val="24"/>
            </w:rPr>
            <w:instrText xml:space="preserve"> PAGEREF _Toc18352 \h </w:instrText>
          </w:r>
          <w:r>
            <w:rPr>
              <w:sz w:val="24"/>
              <w:szCs w:val="24"/>
            </w:rPr>
            <w:fldChar w:fldCharType="separate"/>
          </w:r>
          <w:r>
            <w:rPr>
              <w:sz w:val="24"/>
              <w:szCs w:val="24"/>
            </w:rPr>
            <w:t>59</w:t>
          </w:r>
          <w:r>
            <w:rPr>
              <w:sz w:val="24"/>
              <w:szCs w:val="24"/>
            </w:rPr>
            <w:fldChar w:fldCharType="end"/>
          </w:r>
          <w:r>
            <w:rPr>
              <w:sz w:val="24"/>
              <w:szCs w:val="24"/>
            </w:rPr>
            <w:fldChar w:fldCharType="end"/>
          </w:r>
        </w:p>
        <w:p w14:paraId="29A74B4A">
          <w:pPr>
            <w:pStyle w:val="165"/>
            <w:tabs>
              <w:tab w:val="right" w:leader="dot" w:pos="8844"/>
            </w:tabs>
            <w:spacing w:line="360" w:lineRule="auto"/>
            <w:rPr>
              <w:sz w:val="24"/>
              <w:szCs w:val="24"/>
            </w:rPr>
          </w:pPr>
          <w:r>
            <w:fldChar w:fldCharType="begin"/>
          </w:r>
          <w:r>
            <w:instrText xml:space="preserve"> HYPERLINK \l "_Toc6275" </w:instrText>
          </w:r>
          <w:r>
            <w:fldChar w:fldCharType="separate"/>
          </w:r>
          <w:r>
            <w:rPr>
              <w:sz w:val="24"/>
              <w:szCs w:val="24"/>
            </w:rPr>
            <w:t>六、生态环境保护措施监督检查清单</w:t>
          </w:r>
          <w:r>
            <w:rPr>
              <w:sz w:val="24"/>
              <w:szCs w:val="24"/>
            </w:rPr>
            <w:tab/>
          </w:r>
          <w:r>
            <w:rPr>
              <w:sz w:val="24"/>
              <w:szCs w:val="24"/>
            </w:rPr>
            <w:fldChar w:fldCharType="begin"/>
          </w:r>
          <w:r>
            <w:rPr>
              <w:sz w:val="24"/>
              <w:szCs w:val="24"/>
            </w:rPr>
            <w:instrText xml:space="preserve"> PAGEREF _Toc6275 \h </w:instrText>
          </w:r>
          <w:r>
            <w:rPr>
              <w:sz w:val="24"/>
              <w:szCs w:val="24"/>
            </w:rPr>
            <w:fldChar w:fldCharType="separate"/>
          </w:r>
          <w:r>
            <w:rPr>
              <w:sz w:val="24"/>
              <w:szCs w:val="24"/>
            </w:rPr>
            <w:t>70</w:t>
          </w:r>
          <w:r>
            <w:rPr>
              <w:sz w:val="24"/>
              <w:szCs w:val="24"/>
            </w:rPr>
            <w:fldChar w:fldCharType="end"/>
          </w:r>
          <w:r>
            <w:rPr>
              <w:sz w:val="24"/>
              <w:szCs w:val="24"/>
            </w:rPr>
            <w:fldChar w:fldCharType="end"/>
          </w:r>
        </w:p>
        <w:p w14:paraId="69CF32CB">
          <w:pPr>
            <w:pStyle w:val="165"/>
            <w:tabs>
              <w:tab w:val="right" w:leader="dot" w:pos="8844"/>
            </w:tabs>
            <w:spacing w:line="360" w:lineRule="auto"/>
          </w:pPr>
          <w:r>
            <w:fldChar w:fldCharType="begin"/>
          </w:r>
          <w:r>
            <w:instrText xml:space="preserve"> HYPERLINK \l "_Toc2707" </w:instrText>
          </w:r>
          <w:r>
            <w:fldChar w:fldCharType="separate"/>
          </w:r>
          <w:r>
            <w:rPr>
              <w:sz w:val="24"/>
              <w:szCs w:val="24"/>
            </w:rPr>
            <w:t>七、结论</w:t>
          </w:r>
          <w:r>
            <w:rPr>
              <w:sz w:val="24"/>
              <w:szCs w:val="24"/>
            </w:rPr>
            <w:tab/>
          </w:r>
          <w:r>
            <w:rPr>
              <w:sz w:val="24"/>
              <w:szCs w:val="24"/>
            </w:rPr>
            <w:fldChar w:fldCharType="begin"/>
          </w:r>
          <w:r>
            <w:rPr>
              <w:sz w:val="24"/>
              <w:szCs w:val="24"/>
            </w:rPr>
            <w:instrText xml:space="preserve"> PAGEREF _Toc2707 \h </w:instrText>
          </w:r>
          <w:r>
            <w:rPr>
              <w:sz w:val="24"/>
              <w:szCs w:val="24"/>
            </w:rPr>
            <w:fldChar w:fldCharType="separate"/>
          </w:r>
          <w:r>
            <w:rPr>
              <w:sz w:val="24"/>
              <w:szCs w:val="24"/>
            </w:rPr>
            <w:t>74</w:t>
          </w:r>
          <w:r>
            <w:rPr>
              <w:sz w:val="24"/>
              <w:szCs w:val="24"/>
            </w:rPr>
            <w:fldChar w:fldCharType="end"/>
          </w:r>
          <w:r>
            <w:rPr>
              <w:sz w:val="24"/>
              <w:szCs w:val="24"/>
            </w:rPr>
            <w:fldChar w:fldCharType="end"/>
          </w:r>
        </w:p>
        <w:p w14:paraId="12DA464C">
          <w:pPr>
            <w:pStyle w:val="165"/>
            <w:tabs>
              <w:tab w:val="right" w:leader="dot" w:pos="8844"/>
            </w:tabs>
            <w:spacing w:line="360" w:lineRule="auto"/>
            <w:rPr>
              <w:sz w:val="24"/>
              <w:szCs w:val="24"/>
            </w:rPr>
          </w:pPr>
          <w:r>
            <w:fldChar w:fldCharType="end"/>
          </w:r>
        </w:p>
        <w:p w14:paraId="49E4A5E8">
          <w:pPr>
            <w:rPr>
              <w:kern w:val="0"/>
              <w:sz w:val="28"/>
              <w:szCs w:val="20"/>
            </w:rPr>
          </w:pPr>
        </w:p>
        <w:p w14:paraId="270D6D7F">
          <w:pPr>
            <w:pStyle w:val="165"/>
            <w:tabs>
              <w:tab w:val="right" w:leader="dot" w:pos="8844"/>
            </w:tabs>
            <w:spacing w:line="360" w:lineRule="auto"/>
            <w:sectPr>
              <w:footerReference r:id="rId3" w:type="default"/>
              <w:footerReference r:id="rId4" w:type="even"/>
              <w:pgSz w:w="11906" w:h="16838"/>
              <w:pgMar w:top="1701" w:right="1531" w:bottom="1701" w:left="1531" w:header="851" w:footer="1077" w:gutter="0"/>
              <w:pgNumType w:start="21"/>
              <w:cols w:space="720" w:num="1"/>
              <w:docGrid w:linePitch="312" w:charSpace="0"/>
            </w:sectPr>
          </w:pPr>
        </w:p>
      </w:sdtContent>
    </w:sdt>
    <w:p w14:paraId="43911287">
      <w:pPr>
        <w:pStyle w:val="3"/>
        <w:ind w:firstLine="0"/>
        <w:rPr>
          <w:color w:val="auto"/>
        </w:rPr>
      </w:pPr>
      <w:bookmarkStart w:id="10" w:name="_Toc25536"/>
      <w:bookmarkStart w:id="11" w:name="_Toc13697"/>
      <w:r>
        <w:rPr>
          <w:color w:val="auto"/>
        </w:rPr>
        <w:t>一、建设项目基本情况</w:t>
      </w:r>
      <w:bookmarkEnd w:id="10"/>
      <w:bookmarkEnd w:id="11"/>
    </w:p>
    <w:tbl>
      <w:tblPr>
        <w:tblStyle w:val="29"/>
        <w:tblW w:w="9360" w:type="dxa"/>
        <w:tblInd w:w="-26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7"/>
        <w:gridCol w:w="1147"/>
        <w:gridCol w:w="2109"/>
        <w:gridCol w:w="1885"/>
        <w:gridCol w:w="14"/>
        <w:gridCol w:w="3788"/>
      </w:tblGrid>
      <w:tr w14:paraId="29ACE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64" w:type="dxa"/>
            <w:gridSpan w:val="2"/>
            <w:tcMar>
              <w:top w:w="16" w:type="dxa"/>
              <w:left w:w="16" w:type="dxa"/>
              <w:right w:w="16" w:type="dxa"/>
            </w:tcMar>
            <w:vAlign w:val="center"/>
          </w:tcPr>
          <w:p w14:paraId="0FA3C1A6">
            <w:pPr>
              <w:adjustRightInd w:val="0"/>
              <w:snapToGrid w:val="0"/>
              <w:jc w:val="center"/>
              <w:rPr>
                <w:sz w:val="24"/>
              </w:rPr>
            </w:pPr>
            <w:bookmarkStart w:id="12" w:name="_Hlk92705240"/>
            <w:r>
              <w:rPr>
                <w:sz w:val="24"/>
              </w:rPr>
              <w:t>建设项目名称</w:t>
            </w:r>
          </w:p>
        </w:tc>
        <w:tc>
          <w:tcPr>
            <w:tcW w:w="7793" w:type="dxa"/>
            <w:gridSpan w:val="4"/>
            <w:vAlign w:val="center"/>
          </w:tcPr>
          <w:p w14:paraId="3F16A197">
            <w:pPr>
              <w:adjustRightInd w:val="0"/>
              <w:snapToGrid w:val="0"/>
              <w:jc w:val="center"/>
              <w:rPr>
                <w:rFonts w:hint="eastAsia" w:eastAsia="宋体"/>
                <w:sz w:val="24"/>
                <w:lang w:eastAsia="zh-CN"/>
              </w:rPr>
            </w:pPr>
            <w:r>
              <w:rPr>
                <w:rFonts w:hint="eastAsia"/>
                <w:sz w:val="24"/>
                <w:lang w:eastAsia="zh-CN"/>
              </w:rPr>
              <w:t>华润电力青口盐场240MW渔光互补项目</w:t>
            </w:r>
          </w:p>
        </w:tc>
      </w:tr>
      <w:bookmarkEnd w:id="12"/>
      <w:tr w14:paraId="4D071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64" w:type="dxa"/>
            <w:gridSpan w:val="2"/>
            <w:tcMar>
              <w:top w:w="16" w:type="dxa"/>
              <w:left w:w="16" w:type="dxa"/>
              <w:right w:w="16" w:type="dxa"/>
            </w:tcMar>
            <w:vAlign w:val="center"/>
          </w:tcPr>
          <w:p w14:paraId="25B9E7D2">
            <w:pPr>
              <w:adjustRightInd w:val="0"/>
              <w:snapToGrid w:val="0"/>
              <w:jc w:val="center"/>
              <w:rPr>
                <w:sz w:val="24"/>
              </w:rPr>
            </w:pPr>
            <w:r>
              <w:rPr>
                <w:sz w:val="24"/>
              </w:rPr>
              <w:t>项目代码</w:t>
            </w:r>
          </w:p>
        </w:tc>
        <w:tc>
          <w:tcPr>
            <w:tcW w:w="7793" w:type="dxa"/>
            <w:gridSpan w:val="4"/>
            <w:vAlign w:val="center"/>
          </w:tcPr>
          <w:p w14:paraId="76AC656D">
            <w:pPr>
              <w:adjustRightInd w:val="0"/>
              <w:snapToGrid w:val="0"/>
              <w:jc w:val="center"/>
              <w:rPr>
                <w:sz w:val="24"/>
              </w:rPr>
            </w:pPr>
            <w:r>
              <w:rPr>
                <w:rFonts w:hint="eastAsia"/>
                <w:sz w:val="24"/>
              </w:rPr>
              <w:t>2405-320771-89-01-224020</w:t>
            </w:r>
          </w:p>
        </w:tc>
      </w:tr>
      <w:tr w14:paraId="36501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gridSpan w:val="2"/>
            <w:tcMar>
              <w:top w:w="16" w:type="dxa"/>
              <w:left w:w="16" w:type="dxa"/>
              <w:right w:w="16" w:type="dxa"/>
            </w:tcMar>
            <w:vAlign w:val="center"/>
          </w:tcPr>
          <w:p w14:paraId="0FC7B79A">
            <w:pPr>
              <w:adjustRightInd w:val="0"/>
              <w:snapToGrid w:val="0"/>
              <w:jc w:val="center"/>
              <w:rPr>
                <w:sz w:val="24"/>
              </w:rPr>
            </w:pPr>
            <w:r>
              <w:rPr>
                <w:sz w:val="24"/>
              </w:rPr>
              <w:t>建设单位联系人</w:t>
            </w:r>
          </w:p>
        </w:tc>
        <w:tc>
          <w:tcPr>
            <w:tcW w:w="2108" w:type="dxa"/>
            <w:vAlign w:val="center"/>
          </w:tcPr>
          <w:p w14:paraId="6AD10BEB">
            <w:pPr>
              <w:adjustRightInd w:val="0"/>
              <w:snapToGrid w:val="0"/>
              <w:jc w:val="center"/>
              <w:rPr>
                <w:sz w:val="24"/>
              </w:rPr>
            </w:pPr>
            <w:r>
              <w:rPr>
                <w:sz w:val="24"/>
              </w:rPr>
              <w:t>戴东方</w:t>
            </w:r>
          </w:p>
        </w:tc>
        <w:tc>
          <w:tcPr>
            <w:tcW w:w="1898" w:type="dxa"/>
            <w:gridSpan w:val="2"/>
            <w:vAlign w:val="center"/>
          </w:tcPr>
          <w:p w14:paraId="0D1F0B59">
            <w:pPr>
              <w:adjustRightInd w:val="0"/>
              <w:snapToGrid w:val="0"/>
              <w:jc w:val="center"/>
              <w:rPr>
                <w:sz w:val="24"/>
              </w:rPr>
            </w:pPr>
            <w:r>
              <w:rPr>
                <w:sz w:val="24"/>
              </w:rPr>
              <w:t>联系方式</w:t>
            </w:r>
          </w:p>
        </w:tc>
        <w:tc>
          <w:tcPr>
            <w:tcW w:w="3787" w:type="dxa"/>
            <w:vAlign w:val="center"/>
          </w:tcPr>
          <w:p w14:paraId="742D14C7">
            <w:pPr>
              <w:adjustRightInd w:val="0"/>
              <w:snapToGrid w:val="0"/>
              <w:jc w:val="center"/>
              <w:rPr>
                <w:sz w:val="24"/>
              </w:rPr>
            </w:pPr>
            <w:r>
              <w:rPr>
                <w:sz w:val="24"/>
              </w:rPr>
              <w:t>15952139399</w:t>
            </w:r>
          </w:p>
        </w:tc>
      </w:tr>
      <w:tr w14:paraId="50E0DB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gridSpan w:val="2"/>
            <w:tcMar>
              <w:top w:w="16" w:type="dxa"/>
              <w:left w:w="16" w:type="dxa"/>
              <w:right w:w="16" w:type="dxa"/>
            </w:tcMar>
            <w:vAlign w:val="center"/>
          </w:tcPr>
          <w:p w14:paraId="0C08B81C">
            <w:pPr>
              <w:adjustRightInd w:val="0"/>
              <w:snapToGrid w:val="0"/>
              <w:jc w:val="center"/>
              <w:rPr>
                <w:sz w:val="24"/>
              </w:rPr>
            </w:pPr>
            <w:r>
              <w:rPr>
                <w:sz w:val="24"/>
              </w:rPr>
              <w:t>建设地点</w:t>
            </w:r>
          </w:p>
        </w:tc>
        <w:tc>
          <w:tcPr>
            <w:tcW w:w="7793" w:type="dxa"/>
            <w:gridSpan w:val="4"/>
            <w:vAlign w:val="center"/>
          </w:tcPr>
          <w:p w14:paraId="505117D0">
            <w:pPr>
              <w:adjustRightInd w:val="0"/>
              <w:snapToGrid w:val="0"/>
              <w:jc w:val="center"/>
              <w:rPr>
                <w:sz w:val="24"/>
              </w:rPr>
            </w:pPr>
            <w:r>
              <w:rPr>
                <w:rFonts w:hint="eastAsia"/>
                <w:sz w:val="24"/>
              </w:rPr>
              <w:t>江苏省连云港市连云港经济技术开发区青口盐场</w:t>
            </w:r>
          </w:p>
        </w:tc>
      </w:tr>
      <w:tr w14:paraId="6685B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0" w:hRule="atLeast"/>
        </w:trPr>
        <w:tc>
          <w:tcPr>
            <w:tcW w:w="1564" w:type="dxa"/>
            <w:gridSpan w:val="2"/>
            <w:tcMar>
              <w:top w:w="16" w:type="dxa"/>
              <w:left w:w="16" w:type="dxa"/>
              <w:right w:w="16" w:type="dxa"/>
            </w:tcMar>
            <w:vAlign w:val="center"/>
          </w:tcPr>
          <w:p w14:paraId="0C7D999B">
            <w:pPr>
              <w:adjustRightInd w:val="0"/>
              <w:snapToGrid w:val="0"/>
              <w:jc w:val="center"/>
              <w:rPr>
                <w:sz w:val="24"/>
              </w:rPr>
            </w:pPr>
            <w:r>
              <w:rPr>
                <w:sz w:val="24"/>
              </w:rPr>
              <w:t>地理坐标</w:t>
            </w:r>
          </w:p>
        </w:tc>
        <w:tc>
          <w:tcPr>
            <w:tcW w:w="7793" w:type="dxa"/>
            <w:gridSpan w:val="4"/>
            <w:vAlign w:val="center"/>
          </w:tcPr>
          <w:p w14:paraId="0A556883">
            <w:pPr>
              <w:adjustRightInd w:val="0"/>
              <w:snapToGrid w:val="0"/>
              <w:jc w:val="center"/>
              <w:rPr>
                <w:color w:val="000000" w:themeColor="text1"/>
                <w:sz w:val="24"/>
                <w14:textFill>
                  <w14:solidFill>
                    <w14:schemeClr w14:val="tx1"/>
                  </w14:solidFill>
                </w14:textFill>
              </w:rPr>
            </w:pPr>
            <w:r>
              <w:rPr>
                <w:sz w:val="24"/>
              </w:rPr>
              <w:t>中心点坐标</w:t>
            </w:r>
            <w:r>
              <w:rPr>
                <w:color w:val="000000" w:themeColor="text1"/>
                <w:sz w:val="24"/>
                <w14:textFill>
                  <w14:solidFill>
                    <w14:schemeClr w14:val="tx1"/>
                  </w14:solidFill>
                </w14:textFill>
              </w:rPr>
              <w:t>为：119°</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58.087</w:t>
            </w:r>
            <w:r>
              <w:rPr>
                <w:color w:val="000000" w:themeColor="text1"/>
                <w:sz w:val="24"/>
                <w14:textFill>
                  <w14:solidFill>
                    <w14:schemeClr w14:val="tx1"/>
                  </w14:solidFill>
                </w14:textFill>
              </w:rPr>
              <w:t>″，34°</w:t>
            </w:r>
            <w:r>
              <w:rPr>
                <w:rFonts w:hint="eastAsia"/>
                <w:color w:val="000000" w:themeColor="text1"/>
                <w:sz w:val="24"/>
                <w:lang w:val="en-US" w:eastAsia="zh-CN"/>
                <w14:textFill>
                  <w14:solidFill>
                    <w14:schemeClr w14:val="tx1"/>
                  </w14:solidFill>
                </w14:textFill>
              </w:rPr>
              <w:t>47</w:t>
            </w:r>
            <w:r>
              <w:rPr>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2.551</w:t>
            </w:r>
            <w:r>
              <w:rPr>
                <w:color w:val="000000" w:themeColor="text1"/>
                <w:sz w:val="24"/>
                <w14:textFill>
                  <w14:solidFill>
                    <w14:schemeClr w14:val="tx1"/>
                  </w14:solidFill>
                </w14:textFill>
              </w:rPr>
              <w:t>″</w:t>
            </w:r>
          </w:p>
          <w:p w14:paraId="058453E8">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#地块中心点坐标：119°</w:t>
            </w:r>
            <w:r>
              <w:rPr>
                <w:rFonts w:hint="eastAsia"/>
                <w:color w:val="000000" w:themeColor="text1"/>
                <w:sz w:val="24"/>
                <w:lang w:val="en-US" w:eastAsia="zh-CN"/>
                <w14:textFill>
                  <w14:solidFill>
                    <w14:schemeClr w14:val="tx1"/>
                  </w14:solidFill>
                </w14:textFill>
              </w:rPr>
              <w:t>11</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6.584</w:t>
            </w:r>
            <w:r>
              <w:rPr>
                <w:color w:val="000000" w:themeColor="text1"/>
                <w:sz w:val="24"/>
                <w14:textFill>
                  <w14:solidFill>
                    <w14:schemeClr w14:val="tx1"/>
                  </w14:solidFill>
                </w14:textFill>
              </w:rPr>
              <w:t>″，34°</w:t>
            </w:r>
            <w:r>
              <w:rPr>
                <w:rFonts w:hint="eastAsia"/>
                <w:color w:val="000000" w:themeColor="text1"/>
                <w:sz w:val="24"/>
                <w:lang w:val="en-US" w:eastAsia="zh-CN"/>
                <w14:textFill>
                  <w14:solidFill>
                    <w14:schemeClr w14:val="tx1"/>
                  </w14:solidFill>
                </w14:textFill>
              </w:rPr>
              <w:t>47</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39.145</w:t>
            </w:r>
            <w:r>
              <w:rPr>
                <w:color w:val="000000" w:themeColor="text1"/>
                <w:sz w:val="24"/>
                <w14:textFill>
                  <w14:solidFill>
                    <w14:schemeClr w14:val="tx1"/>
                  </w14:solidFill>
                </w14:textFill>
              </w:rPr>
              <w:t>″</w:t>
            </w:r>
          </w:p>
          <w:p w14:paraId="3ED1B2A4">
            <w:pPr>
              <w:adjustRightInd w:val="0"/>
              <w:snapToGrid w:val="0"/>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北</w:t>
            </w:r>
            <w:r>
              <w:rPr>
                <w:color w:val="000000" w:themeColor="text1"/>
                <w:sz w:val="24"/>
                <w14:textFill>
                  <w14:solidFill>
                    <w14:schemeClr w14:val="tx1"/>
                  </w14:solidFill>
                </w14:textFill>
              </w:rPr>
              <w:t>地块中心点坐标：119°1</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50.439</w:t>
            </w:r>
            <w:r>
              <w:rPr>
                <w:color w:val="000000" w:themeColor="text1"/>
                <w:sz w:val="24"/>
                <w14:textFill>
                  <w14:solidFill>
                    <w14:schemeClr w14:val="tx1"/>
                  </w14:solidFill>
                </w14:textFill>
              </w:rPr>
              <w:t>″，34°</w:t>
            </w:r>
            <w:r>
              <w:rPr>
                <w:rFonts w:hint="eastAsia"/>
                <w:color w:val="000000" w:themeColor="text1"/>
                <w:sz w:val="24"/>
                <w:lang w:val="en-US" w:eastAsia="zh-CN"/>
                <w14:textFill>
                  <w14:solidFill>
                    <w14:schemeClr w14:val="tx1"/>
                  </w14:solidFill>
                </w14:textFill>
              </w:rPr>
              <w:t>47</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18.576</w:t>
            </w:r>
            <w:r>
              <w:rPr>
                <w:color w:val="000000" w:themeColor="text1"/>
                <w:sz w:val="24"/>
                <w14:textFill>
                  <w14:solidFill>
                    <w14:schemeClr w14:val="tx1"/>
                  </w14:solidFill>
                </w14:textFill>
              </w:rPr>
              <w:t>″</w:t>
            </w:r>
          </w:p>
          <w:p w14:paraId="2548F409">
            <w:pPr>
              <w:adjustRightInd w:val="0"/>
              <w:snapToGrid w:val="0"/>
              <w:jc w:val="center"/>
              <w:rPr>
                <w:sz w:val="24"/>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南</w:t>
            </w:r>
            <w:r>
              <w:rPr>
                <w:color w:val="000000" w:themeColor="text1"/>
                <w:sz w:val="24"/>
                <w14:textFill>
                  <w14:solidFill>
                    <w14:schemeClr w14:val="tx1"/>
                  </w14:solidFill>
                </w14:textFill>
              </w:rPr>
              <w:t>地块中心点坐标：119°1</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5.502</w:t>
            </w:r>
            <w:r>
              <w:rPr>
                <w:color w:val="000000" w:themeColor="text1"/>
                <w:sz w:val="24"/>
                <w14:textFill>
                  <w14:solidFill>
                    <w14:schemeClr w14:val="tx1"/>
                  </w14:solidFill>
                </w14:textFill>
              </w:rPr>
              <w:t>″，34°</w:t>
            </w:r>
            <w:r>
              <w:rPr>
                <w:rFonts w:hint="eastAsia"/>
                <w:color w:val="000000" w:themeColor="text1"/>
                <w:sz w:val="24"/>
                <w:lang w:val="en-US" w:eastAsia="zh-CN"/>
                <w14:textFill>
                  <w14:solidFill>
                    <w14:schemeClr w14:val="tx1"/>
                  </w14:solidFill>
                </w14:textFill>
              </w:rPr>
              <w:t>46</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43.351</w:t>
            </w:r>
            <w:r>
              <w:rPr>
                <w:color w:val="000000" w:themeColor="text1"/>
                <w:sz w:val="24"/>
                <w14:textFill>
                  <w14:solidFill>
                    <w14:schemeClr w14:val="tx1"/>
                  </w14:solidFill>
                </w14:textFill>
              </w:rPr>
              <w:t>″</w:t>
            </w:r>
          </w:p>
        </w:tc>
      </w:tr>
      <w:tr w14:paraId="14F21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64" w:type="dxa"/>
            <w:gridSpan w:val="2"/>
            <w:tcMar>
              <w:top w:w="16" w:type="dxa"/>
              <w:left w:w="16" w:type="dxa"/>
              <w:right w:w="16" w:type="dxa"/>
            </w:tcMar>
            <w:vAlign w:val="center"/>
          </w:tcPr>
          <w:p w14:paraId="5B36DE41">
            <w:pPr>
              <w:adjustRightInd w:val="0"/>
              <w:snapToGrid w:val="0"/>
              <w:jc w:val="center"/>
              <w:rPr>
                <w:sz w:val="24"/>
              </w:rPr>
            </w:pPr>
            <w:r>
              <w:rPr>
                <w:sz w:val="24"/>
              </w:rPr>
              <w:t>建设项目</w:t>
            </w:r>
          </w:p>
          <w:p w14:paraId="06AB476A">
            <w:pPr>
              <w:adjustRightInd w:val="0"/>
              <w:snapToGrid w:val="0"/>
              <w:jc w:val="center"/>
              <w:rPr>
                <w:sz w:val="24"/>
              </w:rPr>
            </w:pPr>
            <w:r>
              <w:rPr>
                <w:sz w:val="24"/>
              </w:rPr>
              <w:t>行业类别</w:t>
            </w:r>
          </w:p>
        </w:tc>
        <w:tc>
          <w:tcPr>
            <w:tcW w:w="2108" w:type="dxa"/>
            <w:vAlign w:val="center"/>
          </w:tcPr>
          <w:p w14:paraId="0AB37CD0">
            <w:pPr>
              <w:adjustRightInd w:val="0"/>
              <w:snapToGrid w:val="0"/>
              <w:jc w:val="center"/>
              <w:rPr>
                <w:sz w:val="24"/>
              </w:rPr>
            </w:pPr>
            <w:r>
              <w:rPr>
                <w:sz w:val="24"/>
              </w:rPr>
              <w:t>四十一、电力、热力生产和供应业/90.太阳能发电4416（不含居民家用光伏发电）</w:t>
            </w:r>
          </w:p>
        </w:tc>
        <w:tc>
          <w:tcPr>
            <w:tcW w:w="1884" w:type="dxa"/>
            <w:vAlign w:val="center"/>
          </w:tcPr>
          <w:p w14:paraId="5184CCD9">
            <w:pPr>
              <w:adjustRightInd w:val="0"/>
              <w:snapToGrid w:val="0"/>
              <w:jc w:val="center"/>
              <w:rPr>
                <w:sz w:val="24"/>
              </w:rPr>
            </w:pPr>
            <w:r>
              <w:rPr>
                <w:sz w:val="24"/>
              </w:rPr>
              <w:t>用地（用海）面积（m</w:t>
            </w:r>
            <w:r>
              <w:rPr>
                <w:sz w:val="24"/>
                <w:vertAlign w:val="superscript"/>
              </w:rPr>
              <w:t>2</w:t>
            </w:r>
            <w:r>
              <w:rPr>
                <w:sz w:val="24"/>
              </w:rPr>
              <w:t>）/长度（km）</w:t>
            </w:r>
          </w:p>
        </w:tc>
        <w:tc>
          <w:tcPr>
            <w:tcW w:w="3801" w:type="dxa"/>
            <w:gridSpan w:val="2"/>
            <w:vAlign w:val="center"/>
          </w:tcPr>
          <w:p w14:paraId="2B7743AA">
            <w:pPr>
              <w:adjustRightInd w:val="0"/>
              <w:snapToGrid w:val="0"/>
              <w:jc w:val="center"/>
              <w:rPr>
                <w:rFonts w:hint="eastAsia"/>
                <w:sz w:val="24"/>
                <w:vertAlign w:val="superscript"/>
              </w:rPr>
            </w:pPr>
            <w:r>
              <w:rPr>
                <w:rFonts w:hint="eastAsia"/>
                <w:sz w:val="24"/>
                <w:lang w:val="en-US" w:eastAsia="zh-CN"/>
              </w:rPr>
              <w:t>2636667.985</w:t>
            </w:r>
            <w:r>
              <w:rPr>
                <w:sz w:val="24"/>
              </w:rPr>
              <w:t>m</w:t>
            </w:r>
            <w:r>
              <w:rPr>
                <w:rFonts w:hint="eastAsia"/>
                <w:sz w:val="24"/>
                <w:vertAlign w:val="superscript"/>
              </w:rPr>
              <w:t>2</w:t>
            </w:r>
          </w:p>
          <w:p w14:paraId="441DC631">
            <w:pPr>
              <w:adjustRightInd w:val="0"/>
              <w:snapToGrid w:val="0"/>
              <w:jc w:val="center"/>
              <w:rPr>
                <w:rFonts w:hint="eastAsia" w:eastAsia="宋体"/>
                <w:lang w:eastAsia="zh-CN"/>
              </w:rPr>
            </w:pPr>
            <w:r>
              <w:rPr>
                <w:rFonts w:hint="eastAsia"/>
                <w:sz w:val="24"/>
                <w:lang w:eastAsia="zh-CN"/>
              </w:rPr>
              <w:t>（</w:t>
            </w:r>
            <w:r>
              <w:rPr>
                <w:rFonts w:hint="eastAsia"/>
                <w:color w:val="000000" w:themeColor="text1"/>
                <w:sz w:val="24"/>
                <w:lang w:val="en-US" w:eastAsia="zh-CN"/>
                <w14:textFill>
                  <w14:solidFill>
                    <w14:schemeClr w14:val="tx1"/>
                  </w14:solidFill>
                </w14:textFill>
              </w:rPr>
              <w:t>3955</w:t>
            </w:r>
            <w:r>
              <w:rPr>
                <w:color w:val="000000" w:themeColor="text1"/>
                <w:sz w:val="24"/>
                <w14:textFill>
                  <w14:solidFill>
                    <w14:schemeClr w14:val="tx1"/>
                  </w14:solidFill>
                </w14:textFill>
              </w:rPr>
              <w:t>亩，其中升压站用地</w:t>
            </w:r>
            <w:r>
              <w:rPr>
                <w:rFonts w:hint="eastAsia"/>
                <w:color w:val="000000" w:themeColor="text1"/>
                <w:sz w:val="24"/>
                <w:lang w:val="en-US" w:eastAsia="zh-CN"/>
                <w14:textFill>
                  <w14:solidFill>
                    <w14:schemeClr w14:val="tx1"/>
                  </w14:solidFill>
                </w14:textFill>
              </w:rPr>
              <w:t>22</w:t>
            </w:r>
            <w:r>
              <w:rPr>
                <w:color w:val="000000" w:themeColor="text1"/>
                <w:sz w:val="24"/>
                <w14:textFill>
                  <w14:solidFill>
                    <w14:schemeClr w14:val="tx1"/>
                  </w14:solidFill>
                </w14:textFill>
              </w:rPr>
              <w:t>亩</w:t>
            </w:r>
            <w:r>
              <w:rPr>
                <w:rFonts w:hint="eastAsia"/>
                <w:sz w:val="24"/>
                <w:lang w:eastAsia="zh-CN"/>
              </w:rPr>
              <w:t>）</w:t>
            </w:r>
          </w:p>
        </w:tc>
      </w:tr>
      <w:tr w14:paraId="787AF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64" w:type="dxa"/>
            <w:gridSpan w:val="2"/>
            <w:tcMar>
              <w:top w:w="16" w:type="dxa"/>
              <w:left w:w="16" w:type="dxa"/>
              <w:right w:w="16" w:type="dxa"/>
            </w:tcMar>
            <w:vAlign w:val="center"/>
          </w:tcPr>
          <w:p w14:paraId="4C18974B">
            <w:pPr>
              <w:adjustRightInd w:val="0"/>
              <w:snapToGrid w:val="0"/>
              <w:jc w:val="center"/>
              <w:rPr>
                <w:sz w:val="24"/>
              </w:rPr>
            </w:pPr>
            <w:r>
              <w:rPr>
                <w:sz w:val="24"/>
              </w:rPr>
              <w:t>建设性质</w:t>
            </w:r>
          </w:p>
        </w:tc>
        <w:tc>
          <w:tcPr>
            <w:tcW w:w="2108" w:type="dxa"/>
            <w:vAlign w:val="center"/>
          </w:tcPr>
          <w:p w14:paraId="67DC70D7">
            <w:pPr>
              <w:adjustRightInd w:val="0"/>
              <w:snapToGrid w:val="0"/>
              <w:jc w:val="left"/>
              <w:rPr>
                <w:sz w:val="24"/>
              </w:rPr>
            </w:pPr>
            <w:r>
              <w:rPr>
                <w:rFonts w:hint="eastAsia" w:ascii="MS Gothic" w:hAnsi="MS Gothic" w:eastAsia="MS Gothic" w:cs="MS Gothic"/>
                <w:sz w:val="24"/>
              </w:rPr>
              <w:t>☑</w:t>
            </w:r>
            <w:r>
              <w:rPr>
                <w:sz w:val="24"/>
              </w:rPr>
              <w:t>新建（迁建）</w:t>
            </w:r>
          </w:p>
          <w:p w14:paraId="5ABF4E5F">
            <w:pPr>
              <w:adjustRightInd w:val="0"/>
              <w:snapToGrid w:val="0"/>
              <w:jc w:val="left"/>
              <w:rPr>
                <w:sz w:val="24"/>
              </w:rPr>
            </w:pPr>
            <w:r>
              <w:rPr>
                <w:sz w:val="24"/>
              </w:rPr>
              <w:t>□改建</w:t>
            </w:r>
          </w:p>
          <w:p w14:paraId="1A016983">
            <w:pPr>
              <w:adjustRightInd w:val="0"/>
              <w:snapToGrid w:val="0"/>
              <w:jc w:val="left"/>
              <w:rPr>
                <w:sz w:val="24"/>
              </w:rPr>
            </w:pPr>
            <w:r>
              <w:rPr>
                <w:sz w:val="24"/>
              </w:rPr>
              <w:t>□扩建</w:t>
            </w:r>
          </w:p>
          <w:p w14:paraId="16B94695">
            <w:pPr>
              <w:adjustRightInd w:val="0"/>
              <w:snapToGrid w:val="0"/>
              <w:jc w:val="left"/>
              <w:rPr>
                <w:sz w:val="24"/>
              </w:rPr>
            </w:pPr>
            <w:r>
              <w:rPr>
                <w:sz w:val="24"/>
              </w:rPr>
              <w:t>□技术改造</w:t>
            </w:r>
          </w:p>
        </w:tc>
        <w:tc>
          <w:tcPr>
            <w:tcW w:w="1884" w:type="dxa"/>
            <w:vAlign w:val="center"/>
          </w:tcPr>
          <w:p w14:paraId="55084889">
            <w:pPr>
              <w:adjustRightInd w:val="0"/>
              <w:snapToGrid w:val="0"/>
              <w:jc w:val="center"/>
              <w:rPr>
                <w:sz w:val="24"/>
              </w:rPr>
            </w:pPr>
            <w:r>
              <w:rPr>
                <w:sz w:val="24"/>
              </w:rPr>
              <w:t>建设项目</w:t>
            </w:r>
          </w:p>
          <w:p w14:paraId="2113C775">
            <w:pPr>
              <w:adjustRightInd w:val="0"/>
              <w:snapToGrid w:val="0"/>
              <w:jc w:val="center"/>
              <w:rPr>
                <w:sz w:val="24"/>
              </w:rPr>
            </w:pPr>
            <w:r>
              <w:rPr>
                <w:sz w:val="24"/>
              </w:rPr>
              <w:t>申报情形</w:t>
            </w:r>
          </w:p>
        </w:tc>
        <w:tc>
          <w:tcPr>
            <w:tcW w:w="3801" w:type="dxa"/>
            <w:gridSpan w:val="2"/>
            <w:vAlign w:val="center"/>
          </w:tcPr>
          <w:p w14:paraId="539F9396">
            <w:pPr>
              <w:adjustRightInd w:val="0"/>
              <w:snapToGrid w:val="0"/>
              <w:jc w:val="left"/>
              <w:rPr>
                <w:sz w:val="24"/>
              </w:rPr>
            </w:pPr>
            <w:r>
              <w:rPr>
                <w:rFonts w:hint="eastAsia" w:ascii="MS Gothic" w:hAnsi="MS Gothic" w:eastAsia="MS Gothic" w:cs="MS Gothic"/>
                <w:sz w:val="24"/>
              </w:rPr>
              <w:t>☑</w:t>
            </w:r>
            <w:r>
              <w:rPr>
                <w:sz w:val="24"/>
              </w:rPr>
              <w:t>首次申报项目</w:t>
            </w:r>
          </w:p>
          <w:p w14:paraId="3E79E0BF">
            <w:pPr>
              <w:adjustRightInd w:val="0"/>
              <w:snapToGrid w:val="0"/>
              <w:jc w:val="left"/>
              <w:rPr>
                <w:sz w:val="24"/>
              </w:rPr>
            </w:pPr>
            <w:r>
              <w:rPr>
                <w:sz w:val="24"/>
              </w:rPr>
              <w:t>□不予批准后再次申报项目</w:t>
            </w:r>
          </w:p>
          <w:p w14:paraId="6B26F517">
            <w:pPr>
              <w:adjustRightInd w:val="0"/>
              <w:snapToGrid w:val="0"/>
              <w:jc w:val="left"/>
              <w:rPr>
                <w:rFonts w:hint="eastAsia" w:eastAsia="宋体"/>
                <w:sz w:val="24"/>
                <w:lang w:eastAsia="zh-CN"/>
              </w:rPr>
            </w:pPr>
            <w:r>
              <w:rPr>
                <w:sz w:val="24"/>
              </w:rPr>
              <w:t>□超五年重新审核项目</w:t>
            </w:r>
          </w:p>
          <w:p w14:paraId="27BA7273">
            <w:pPr>
              <w:adjustRightInd w:val="0"/>
              <w:snapToGrid w:val="0"/>
              <w:rPr>
                <w:sz w:val="24"/>
              </w:rPr>
            </w:pPr>
            <w:r>
              <w:rPr>
                <w:sz w:val="24"/>
              </w:rPr>
              <w:t>□重大变动重新报批项目</w:t>
            </w:r>
          </w:p>
        </w:tc>
      </w:tr>
      <w:tr w14:paraId="4C105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64" w:type="dxa"/>
            <w:gridSpan w:val="2"/>
            <w:tcMar>
              <w:top w:w="16" w:type="dxa"/>
              <w:left w:w="16" w:type="dxa"/>
              <w:right w:w="16" w:type="dxa"/>
            </w:tcMar>
            <w:vAlign w:val="center"/>
          </w:tcPr>
          <w:p w14:paraId="033114A6">
            <w:pPr>
              <w:adjustRightInd w:val="0"/>
              <w:snapToGrid w:val="0"/>
              <w:jc w:val="center"/>
              <w:rPr>
                <w:sz w:val="24"/>
              </w:rPr>
            </w:pPr>
            <w:r>
              <w:rPr>
                <w:sz w:val="24"/>
              </w:rPr>
              <w:t>项目审批（核准/备案）部门（选填）</w:t>
            </w:r>
          </w:p>
        </w:tc>
        <w:tc>
          <w:tcPr>
            <w:tcW w:w="2108" w:type="dxa"/>
            <w:vAlign w:val="center"/>
          </w:tcPr>
          <w:p w14:paraId="51ED1277">
            <w:pPr>
              <w:adjustRightInd w:val="0"/>
              <w:snapToGrid w:val="0"/>
              <w:jc w:val="center"/>
              <w:rPr>
                <w:sz w:val="24"/>
              </w:rPr>
            </w:pPr>
            <w:r>
              <w:rPr>
                <w:rFonts w:hint="eastAsia"/>
                <w:sz w:val="24"/>
              </w:rPr>
              <w:t>连云港经济技术开发区行政审批局</w:t>
            </w:r>
          </w:p>
        </w:tc>
        <w:tc>
          <w:tcPr>
            <w:tcW w:w="1884" w:type="dxa"/>
            <w:vAlign w:val="center"/>
          </w:tcPr>
          <w:p w14:paraId="338A7EB1">
            <w:pPr>
              <w:adjustRightInd w:val="0"/>
              <w:snapToGrid w:val="0"/>
              <w:jc w:val="center"/>
              <w:rPr>
                <w:sz w:val="24"/>
              </w:rPr>
            </w:pPr>
            <w:r>
              <w:rPr>
                <w:sz w:val="24"/>
              </w:rPr>
              <w:t>项目审批（核准/备案）文号（选填）</w:t>
            </w:r>
          </w:p>
        </w:tc>
        <w:tc>
          <w:tcPr>
            <w:tcW w:w="3801" w:type="dxa"/>
            <w:gridSpan w:val="2"/>
            <w:vAlign w:val="center"/>
          </w:tcPr>
          <w:p w14:paraId="5C23A12D">
            <w:pPr>
              <w:widowControl/>
              <w:jc w:val="center"/>
              <w:rPr>
                <w:sz w:val="24"/>
              </w:rPr>
            </w:pPr>
            <w:r>
              <w:rPr>
                <w:rFonts w:hint="eastAsia"/>
                <w:sz w:val="24"/>
              </w:rPr>
              <w:t>连行审备〔2024〕209号</w:t>
            </w:r>
          </w:p>
        </w:tc>
      </w:tr>
      <w:tr w14:paraId="65171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64" w:type="dxa"/>
            <w:gridSpan w:val="2"/>
            <w:tcMar>
              <w:top w:w="16" w:type="dxa"/>
              <w:left w:w="16" w:type="dxa"/>
              <w:right w:w="16" w:type="dxa"/>
            </w:tcMar>
            <w:vAlign w:val="center"/>
          </w:tcPr>
          <w:p w14:paraId="2E7D8FD2">
            <w:pPr>
              <w:adjustRightInd w:val="0"/>
              <w:snapToGrid w:val="0"/>
              <w:jc w:val="center"/>
              <w:rPr>
                <w:sz w:val="24"/>
              </w:rPr>
            </w:pPr>
            <w:r>
              <w:rPr>
                <w:sz w:val="24"/>
              </w:rPr>
              <w:t>总投资（万元）</w:t>
            </w:r>
          </w:p>
        </w:tc>
        <w:tc>
          <w:tcPr>
            <w:tcW w:w="2108" w:type="dxa"/>
            <w:vAlign w:val="center"/>
          </w:tcPr>
          <w:p w14:paraId="60A7967A">
            <w:pPr>
              <w:widowControl/>
              <w:jc w:val="center"/>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105000</w:t>
            </w:r>
          </w:p>
        </w:tc>
        <w:tc>
          <w:tcPr>
            <w:tcW w:w="1884" w:type="dxa"/>
            <w:tcMar>
              <w:top w:w="16" w:type="dxa"/>
              <w:left w:w="16" w:type="dxa"/>
              <w:right w:w="16" w:type="dxa"/>
            </w:tcMar>
            <w:vAlign w:val="center"/>
          </w:tcPr>
          <w:p w14:paraId="7EA537C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801" w:type="dxa"/>
            <w:gridSpan w:val="2"/>
            <w:vAlign w:val="center"/>
          </w:tcPr>
          <w:p w14:paraId="4DF4C8F0">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150</w:t>
            </w:r>
          </w:p>
        </w:tc>
      </w:tr>
      <w:tr w14:paraId="74AFF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64" w:type="dxa"/>
            <w:gridSpan w:val="2"/>
            <w:tcMar>
              <w:top w:w="16" w:type="dxa"/>
              <w:left w:w="16" w:type="dxa"/>
              <w:right w:w="16" w:type="dxa"/>
            </w:tcMar>
            <w:vAlign w:val="center"/>
          </w:tcPr>
          <w:p w14:paraId="31459431">
            <w:pPr>
              <w:adjustRightInd w:val="0"/>
              <w:snapToGrid w:val="0"/>
              <w:jc w:val="center"/>
              <w:rPr>
                <w:sz w:val="24"/>
              </w:rPr>
            </w:pPr>
            <w:r>
              <w:rPr>
                <w:sz w:val="24"/>
              </w:rPr>
              <w:t>环保投资占比（%）</w:t>
            </w:r>
          </w:p>
        </w:tc>
        <w:tc>
          <w:tcPr>
            <w:tcW w:w="2108" w:type="dxa"/>
            <w:vAlign w:val="center"/>
          </w:tcPr>
          <w:p w14:paraId="54965CD8">
            <w:pPr>
              <w:adjustRightInd w:val="0"/>
              <w:snapToGrid w:val="0"/>
              <w:jc w:val="center"/>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0.1</w:t>
            </w:r>
            <w:r>
              <w:rPr>
                <w:rFonts w:hint="eastAsia"/>
                <w:color w:val="000000" w:themeColor="text1"/>
                <w:sz w:val="24"/>
                <w:lang w:val="en-US" w:eastAsia="zh-CN"/>
                <w14:textFill>
                  <w14:solidFill>
                    <w14:schemeClr w14:val="tx1"/>
                  </w14:solidFill>
                </w14:textFill>
              </w:rPr>
              <w:t>4</w:t>
            </w:r>
          </w:p>
        </w:tc>
        <w:tc>
          <w:tcPr>
            <w:tcW w:w="1884" w:type="dxa"/>
            <w:tcMar>
              <w:top w:w="16" w:type="dxa"/>
              <w:left w:w="16" w:type="dxa"/>
              <w:right w:w="16" w:type="dxa"/>
            </w:tcMar>
            <w:vAlign w:val="center"/>
          </w:tcPr>
          <w:p w14:paraId="1815844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801" w:type="dxa"/>
            <w:gridSpan w:val="2"/>
            <w:vAlign w:val="center"/>
          </w:tcPr>
          <w:p w14:paraId="7962136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12个月</w:t>
            </w:r>
          </w:p>
        </w:tc>
      </w:tr>
      <w:tr w14:paraId="19C6E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gridSpan w:val="2"/>
            <w:tcMar>
              <w:top w:w="16" w:type="dxa"/>
              <w:left w:w="16" w:type="dxa"/>
              <w:right w:w="16" w:type="dxa"/>
            </w:tcMar>
            <w:vAlign w:val="center"/>
          </w:tcPr>
          <w:p w14:paraId="1D3581B7">
            <w:pPr>
              <w:adjustRightInd w:val="0"/>
              <w:snapToGrid w:val="0"/>
              <w:jc w:val="center"/>
              <w:rPr>
                <w:sz w:val="24"/>
              </w:rPr>
            </w:pPr>
            <w:r>
              <w:rPr>
                <w:sz w:val="24"/>
              </w:rPr>
              <w:t>是否开工建设</w:t>
            </w:r>
          </w:p>
        </w:tc>
        <w:tc>
          <w:tcPr>
            <w:tcW w:w="7793" w:type="dxa"/>
            <w:gridSpan w:val="4"/>
            <w:vAlign w:val="center"/>
          </w:tcPr>
          <w:p w14:paraId="0DF5F35D">
            <w:pPr>
              <w:adjustRightInd w:val="0"/>
              <w:snapToGrid w:val="0"/>
              <w:jc w:val="left"/>
              <w:rPr>
                <w:sz w:val="24"/>
              </w:rPr>
            </w:pPr>
            <w:r>
              <w:rPr>
                <w:rFonts w:hint="eastAsia" w:ascii="MS Gothic" w:hAnsi="MS Gothic" w:eastAsia="MS Gothic" w:cs="MS Gothic"/>
                <w:sz w:val="24"/>
              </w:rPr>
              <w:t>☑</w:t>
            </w:r>
            <w:r>
              <w:rPr>
                <w:sz w:val="24"/>
              </w:rPr>
              <w:t>否</w:t>
            </w:r>
          </w:p>
          <w:p w14:paraId="38C441B0">
            <w:pPr>
              <w:adjustRightInd w:val="0"/>
              <w:snapToGrid w:val="0"/>
              <w:jc w:val="left"/>
              <w:rPr>
                <w:sz w:val="24"/>
              </w:rPr>
            </w:pPr>
            <w:r>
              <w:rPr>
                <w:sz w:val="24"/>
              </w:rPr>
              <w:t>□是：</w:t>
            </w:r>
            <w:r>
              <w:rPr>
                <w:sz w:val="24"/>
                <w:u w:val="single"/>
              </w:rPr>
              <w:t xml:space="preserve">                             </w:t>
            </w:r>
          </w:p>
        </w:tc>
      </w:tr>
      <w:tr w14:paraId="36BE7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1564" w:type="dxa"/>
            <w:gridSpan w:val="2"/>
            <w:tcMar>
              <w:top w:w="16" w:type="dxa"/>
              <w:left w:w="16" w:type="dxa"/>
              <w:right w:w="16" w:type="dxa"/>
            </w:tcMar>
            <w:vAlign w:val="center"/>
          </w:tcPr>
          <w:p w14:paraId="6E0ADD34">
            <w:pPr>
              <w:autoSpaceDE w:val="0"/>
              <w:autoSpaceDN w:val="0"/>
              <w:adjustRightInd w:val="0"/>
              <w:snapToGrid w:val="0"/>
              <w:jc w:val="center"/>
              <w:rPr>
                <w:kern w:val="0"/>
                <w:sz w:val="24"/>
              </w:rPr>
            </w:pPr>
            <w:r>
              <w:rPr>
                <w:kern w:val="0"/>
                <w:sz w:val="24"/>
              </w:rPr>
              <w:t>专项评价设置情况</w:t>
            </w:r>
          </w:p>
        </w:tc>
        <w:tc>
          <w:tcPr>
            <w:tcW w:w="7793" w:type="dxa"/>
            <w:gridSpan w:val="4"/>
            <w:tcMar>
              <w:top w:w="16" w:type="dxa"/>
              <w:left w:w="16" w:type="dxa"/>
              <w:right w:w="16" w:type="dxa"/>
            </w:tcMar>
            <w:vAlign w:val="center"/>
          </w:tcPr>
          <w:p w14:paraId="717AFE58">
            <w:pPr>
              <w:autoSpaceDE w:val="0"/>
              <w:autoSpaceDN w:val="0"/>
              <w:adjustRightInd w:val="0"/>
              <w:snapToGrid w:val="0"/>
              <w:jc w:val="center"/>
              <w:rPr>
                <w:kern w:val="0"/>
                <w:sz w:val="24"/>
              </w:rPr>
            </w:pPr>
            <w:r>
              <w:rPr>
                <w:kern w:val="0"/>
                <w:sz w:val="24"/>
              </w:rPr>
              <w:t>无</w:t>
            </w:r>
          </w:p>
        </w:tc>
      </w:tr>
      <w:tr w14:paraId="10A37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gridSpan w:val="2"/>
            <w:tcMar>
              <w:top w:w="16" w:type="dxa"/>
              <w:left w:w="16" w:type="dxa"/>
              <w:right w:w="16" w:type="dxa"/>
            </w:tcMar>
            <w:vAlign w:val="center"/>
          </w:tcPr>
          <w:p w14:paraId="4D667CFB">
            <w:pPr>
              <w:autoSpaceDE w:val="0"/>
              <w:autoSpaceDN w:val="0"/>
              <w:adjustRightInd w:val="0"/>
              <w:snapToGrid w:val="0"/>
              <w:jc w:val="center"/>
              <w:rPr>
                <w:kern w:val="0"/>
                <w:sz w:val="24"/>
              </w:rPr>
            </w:pPr>
            <w:r>
              <w:rPr>
                <w:kern w:val="0"/>
                <w:sz w:val="24"/>
              </w:rPr>
              <w:t>规划情况</w:t>
            </w:r>
          </w:p>
        </w:tc>
        <w:tc>
          <w:tcPr>
            <w:tcW w:w="7793" w:type="dxa"/>
            <w:gridSpan w:val="4"/>
            <w:tcMar>
              <w:top w:w="16" w:type="dxa"/>
              <w:left w:w="16" w:type="dxa"/>
              <w:right w:w="16" w:type="dxa"/>
            </w:tcMar>
            <w:vAlign w:val="center"/>
          </w:tcPr>
          <w:p w14:paraId="332250AD">
            <w:pPr>
              <w:autoSpaceDE w:val="0"/>
              <w:autoSpaceDN w:val="0"/>
              <w:adjustRightInd w:val="0"/>
              <w:snapToGrid w:val="0"/>
              <w:jc w:val="left"/>
              <w:rPr>
                <w:kern w:val="0"/>
                <w:sz w:val="24"/>
              </w:rPr>
            </w:pPr>
            <w:r>
              <w:rPr>
                <w:kern w:val="0"/>
                <w:sz w:val="24"/>
              </w:rPr>
              <w:t>规划名称：《连云港市“十四五”生态环境保护规划》</w:t>
            </w:r>
          </w:p>
          <w:p w14:paraId="7C3EA84A">
            <w:pPr>
              <w:autoSpaceDE w:val="0"/>
              <w:autoSpaceDN w:val="0"/>
              <w:adjustRightInd w:val="0"/>
              <w:snapToGrid w:val="0"/>
              <w:jc w:val="left"/>
              <w:rPr>
                <w:kern w:val="0"/>
                <w:sz w:val="24"/>
              </w:rPr>
            </w:pPr>
            <w:r>
              <w:rPr>
                <w:kern w:val="0"/>
                <w:sz w:val="24"/>
              </w:rPr>
              <w:t xml:space="preserve">审批机关：连云港市人民政府办公室 </w:t>
            </w:r>
          </w:p>
          <w:p w14:paraId="10D894CB">
            <w:pPr>
              <w:autoSpaceDE w:val="0"/>
              <w:autoSpaceDN w:val="0"/>
              <w:adjustRightInd w:val="0"/>
              <w:snapToGrid w:val="0"/>
              <w:jc w:val="left"/>
              <w:rPr>
                <w:kern w:val="0"/>
                <w:sz w:val="24"/>
              </w:rPr>
            </w:pPr>
            <w:r>
              <w:rPr>
                <w:kern w:val="0"/>
                <w:sz w:val="24"/>
              </w:rPr>
              <w:t xml:space="preserve">审批文号：连政办发〔2021〕58号 </w:t>
            </w:r>
          </w:p>
        </w:tc>
      </w:tr>
      <w:tr w14:paraId="79BBA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1564" w:type="dxa"/>
            <w:gridSpan w:val="2"/>
            <w:tcMar>
              <w:top w:w="16" w:type="dxa"/>
              <w:left w:w="16" w:type="dxa"/>
              <w:right w:w="16" w:type="dxa"/>
            </w:tcMar>
            <w:vAlign w:val="center"/>
          </w:tcPr>
          <w:p w14:paraId="4FB24030">
            <w:pPr>
              <w:autoSpaceDE w:val="0"/>
              <w:autoSpaceDN w:val="0"/>
              <w:adjustRightInd w:val="0"/>
              <w:snapToGrid w:val="0"/>
              <w:jc w:val="center"/>
              <w:rPr>
                <w:kern w:val="0"/>
                <w:sz w:val="24"/>
              </w:rPr>
            </w:pPr>
            <w:r>
              <w:rPr>
                <w:kern w:val="0"/>
                <w:sz w:val="24"/>
              </w:rPr>
              <w:t>规划环境影响评价情况</w:t>
            </w:r>
          </w:p>
        </w:tc>
        <w:tc>
          <w:tcPr>
            <w:tcW w:w="7793" w:type="dxa"/>
            <w:gridSpan w:val="4"/>
            <w:tcMar>
              <w:top w:w="16" w:type="dxa"/>
              <w:left w:w="16" w:type="dxa"/>
              <w:right w:w="16" w:type="dxa"/>
            </w:tcMar>
            <w:vAlign w:val="center"/>
          </w:tcPr>
          <w:p w14:paraId="3BBD5664">
            <w:pPr>
              <w:autoSpaceDE w:val="0"/>
              <w:autoSpaceDN w:val="0"/>
              <w:adjustRightInd w:val="0"/>
              <w:snapToGrid w:val="0"/>
              <w:jc w:val="center"/>
              <w:rPr>
                <w:kern w:val="0"/>
                <w:sz w:val="24"/>
              </w:rPr>
            </w:pPr>
            <w:r>
              <w:rPr>
                <w:kern w:val="0"/>
                <w:sz w:val="24"/>
              </w:rPr>
              <w:t>无</w:t>
            </w:r>
          </w:p>
        </w:tc>
      </w:tr>
      <w:tr w14:paraId="4B720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417" w:type="dxa"/>
            <w:tcMar>
              <w:top w:w="16" w:type="dxa"/>
              <w:left w:w="16" w:type="dxa"/>
              <w:right w:w="16" w:type="dxa"/>
            </w:tcMar>
            <w:vAlign w:val="center"/>
          </w:tcPr>
          <w:p w14:paraId="39FDD959">
            <w:pPr>
              <w:autoSpaceDE w:val="0"/>
              <w:autoSpaceDN w:val="0"/>
              <w:adjustRightInd w:val="0"/>
              <w:snapToGrid w:val="0"/>
              <w:jc w:val="center"/>
              <w:rPr>
                <w:kern w:val="0"/>
                <w:szCs w:val="21"/>
              </w:rPr>
            </w:pPr>
            <w:r>
              <w:rPr>
                <w:kern w:val="0"/>
                <w:sz w:val="24"/>
                <w:szCs w:val="24"/>
              </w:rPr>
              <w:t>规划及</w:t>
            </w:r>
            <w:r>
              <w:rPr>
                <w:sz w:val="24"/>
                <w:szCs w:val="24"/>
              </w:rPr>
              <w:t>规划环境影响评价</w:t>
            </w:r>
            <w:r>
              <w:rPr>
                <w:kern w:val="0"/>
                <w:sz w:val="24"/>
                <w:szCs w:val="24"/>
              </w:rPr>
              <w:t>符合性分析</w:t>
            </w:r>
          </w:p>
        </w:tc>
        <w:tc>
          <w:tcPr>
            <w:tcW w:w="8940" w:type="dxa"/>
            <w:gridSpan w:val="5"/>
            <w:tcMar>
              <w:top w:w="16" w:type="dxa"/>
              <w:left w:w="16" w:type="dxa"/>
              <w:right w:w="16" w:type="dxa"/>
            </w:tcMar>
            <w:vAlign w:val="center"/>
          </w:tcPr>
          <w:p w14:paraId="35D3557F">
            <w:pPr>
              <w:adjustRightInd w:val="0"/>
              <w:snapToGrid w:val="0"/>
              <w:spacing w:line="360" w:lineRule="auto"/>
              <w:ind w:firstLine="482" w:firstLineChars="200"/>
              <w:jc w:val="left"/>
              <w:rPr>
                <w:kern w:val="0"/>
                <w:sz w:val="24"/>
              </w:rPr>
            </w:pPr>
            <w:r>
              <w:rPr>
                <w:b/>
                <w:bCs/>
                <w:kern w:val="0"/>
                <w:sz w:val="24"/>
              </w:rPr>
              <w:t>根据《连云港市“十四五”生态环境保护规划》</w:t>
            </w:r>
            <w:r>
              <w:rPr>
                <w:kern w:val="0"/>
                <w:sz w:val="24"/>
              </w:rPr>
              <w:t>：加快水电、风能、太阳能、生物质能、核电等新能源开发，加快推进国信抽水蓄能项目建设，推进海上风电项目建设，多元化推动太阳能利用，大力发展分布式光伏，因地制宜开展集中式光伏建设；加快分布式光伏发电的推广和利用。加快推进整县屋顶分散式光伏试点发电项目，推进太阳能热利用，鼓励通过多能互补等形式提高能源综合利用水平。因地制宜利用垦区农场空闲场地、沿海滩涂、鱼塘水面、沟渠等空间资源，建设一批风光互补、渔光互补以及农光互补项目，加快推进中核田湾200万千瓦滩涂光伏示范项目投产运营。</w:t>
            </w:r>
          </w:p>
          <w:p w14:paraId="43A9232C">
            <w:pPr>
              <w:adjustRightInd w:val="0"/>
              <w:snapToGrid w:val="0"/>
              <w:spacing w:line="360" w:lineRule="auto"/>
              <w:ind w:firstLine="480" w:firstLineChars="200"/>
              <w:jc w:val="left"/>
              <w:rPr>
                <w:kern w:val="0"/>
                <w:sz w:val="24"/>
              </w:rPr>
            </w:pPr>
            <w:r>
              <w:rPr>
                <w:kern w:val="0"/>
                <w:sz w:val="24"/>
              </w:rPr>
              <w:t>本项目为渔光互补项目，属于规划中“因地制宜利用垦区农场空闲场地、沿海滩涂、鱼塘水面、沟渠等空间资源，建设一批风光互补、渔光互补以及农光互补项目”，因此符合《连云港市“十四五”生态环境保护规划》中的相关要求。</w:t>
            </w:r>
          </w:p>
        </w:tc>
      </w:tr>
      <w:tr w14:paraId="09A32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71" w:hRule="atLeast"/>
        </w:trPr>
        <w:tc>
          <w:tcPr>
            <w:tcW w:w="417" w:type="dxa"/>
            <w:tcMar>
              <w:top w:w="16" w:type="dxa"/>
              <w:left w:w="16" w:type="dxa"/>
              <w:right w:w="16" w:type="dxa"/>
            </w:tcMar>
            <w:vAlign w:val="center"/>
          </w:tcPr>
          <w:p w14:paraId="1397582B">
            <w:pPr>
              <w:autoSpaceDE w:val="0"/>
              <w:autoSpaceDN w:val="0"/>
              <w:adjustRightInd w:val="0"/>
              <w:snapToGrid w:val="0"/>
              <w:jc w:val="center"/>
              <w:rPr>
                <w:kern w:val="0"/>
                <w:szCs w:val="21"/>
              </w:rPr>
            </w:pPr>
            <w:bookmarkStart w:id="13" w:name="_Hlk56690880"/>
            <w:r>
              <w:rPr>
                <w:kern w:val="0"/>
                <w:sz w:val="24"/>
                <w:szCs w:val="24"/>
              </w:rPr>
              <w:t>其他符合性分析</w:t>
            </w:r>
            <w:bookmarkEnd w:id="13"/>
          </w:p>
        </w:tc>
        <w:tc>
          <w:tcPr>
            <w:tcW w:w="8940" w:type="dxa"/>
            <w:gridSpan w:val="5"/>
            <w:tcMar>
              <w:top w:w="16" w:type="dxa"/>
              <w:left w:w="16" w:type="dxa"/>
              <w:right w:w="16" w:type="dxa"/>
            </w:tcMar>
            <w:vAlign w:val="center"/>
          </w:tcPr>
          <w:p w14:paraId="6D6B5120">
            <w:pPr>
              <w:spacing w:line="360" w:lineRule="auto"/>
              <w:ind w:firstLine="482" w:firstLineChars="200"/>
              <w:rPr>
                <w:b/>
                <w:bCs/>
                <w:sz w:val="24"/>
                <w:szCs w:val="28"/>
              </w:rPr>
            </w:pPr>
            <w:r>
              <w:rPr>
                <w:b/>
                <w:bCs/>
                <w:sz w:val="24"/>
              </w:rPr>
              <w:t>1、与国家</w:t>
            </w:r>
            <w:r>
              <w:rPr>
                <w:b/>
                <w:bCs/>
                <w:sz w:val="24"/>
                <w:szCs w:val="28"/>
              </w:rPr>
              <w:t>产业政策相符性</w:t>
            </w:r>
          </w:p>
          <w:p w14:paraId="3689B49F">
            <w:pPr>
              <w:adjustRightInd w:val="0"/>
              <w:snapToGrid w:val="0"/>
              <w:spacing w:line="360" w:lineRule="auto"/>
              <w:ind w:firstLine="480" w:firstLineChars="200"/>
              <w:jc w:val="left"/>
              <w:rPr>
                <w:kern w:val="0"/>
                <w:sz w:val="24"/>
              </w:rPr>
            </w:pPr>
            <w:r>
              <w:rPr>
                <w:sz w:val="24"/>
              </w:rPr>
              <w:t>本项目为太阳能发电项目，属于清洁能源项目。</w:t>
            </w:r>
            <w:bookmarkStart w:id="14" w:name="_Hlk96415169"/>
            <w:r>
              <w:rPr>
                <w:sz w:val="24"/>
              </w:rPr>
              <w:t>对照《产业结构调整指导目录（2024年本）》，本项目属于“鼓励类”中第五类“新能源”中第1条“太阳能热发电集热系统、太阳能光伏发电系统集成技术开发应用、逆变控制系统开发制造”中所列项目，符合国家产</w:t>
            </w:r>
            <w:r>
              <w:rPr>
                <w:kern w:val="0"/>
                <w:sz w:val="24"/>
              </w:rPr>
              <w:t>业政策。</w:t>
            </w:r>
          </w:p>
          <w:p w14:paraId="0307EFC8">
            <w:pPr>
              <w:adjustRightInd w:val="0"/>
              <w:snapToGrid w:val="0"/>
              <w:spacing w:line="360" w:lineRule="auto"/>
              <w:ind w:firstLine="480" w:firstLineChars="200"/>
              <w:jc w:val="left"/>
              <w:rPr>
                <w:sz w:val="24"/>
              </w:rPr>
            </w:pPr>
            <w:r>
              <w:rPr>
                <w:rFonts w:hint="eastAsia"/>
                <w:sz w:val="24"/>
                <w:lang w:val="en-US" w:eastAsia="zh-CN"/>
              </w:rPr>
              <w:t>对照</w:t>
            </w:r>
            <w:r>
              <w:rPr>
                <w:sz w:val="24"/>
              </w:rPr>
              <w:t>《市场准入负面清单（2022年版）》（发改体改规〔2022〕397号），本项目不在其负面清单之列。</w:t>
            </w:r>
          </w:p>
          <w:p w14:paraId="7056B6F8">
            <w:pPr>
              <w:adjustRightInd w:val="0"/>
              <w:snapToGrid w:val="0"/>
              <w:spacing w:line="360" w:lineRule="auto"/>
              <w:ind w:firstLine="480" w:firstLineChars="200"/>
              <w:jc w:val="left"/>
              <w:rPr>
                <w:rFonts w:hint="eastAsia" w:eastAsia="宋体"/>
                <w:sz w:val="24"/>
                <w:lang w:eastAsia="zh-CN"/>
              </w:rPr>
            </w:pPr>
            <w:r>
              <w:rPr>
                <w:rFonts w:hint="eastAsia"/>
                <w:sz w:val="24"/>
              </w:rPr>
              <w:t>根据《江苏省“十四五”可再生能源发展专项规划》</w:t>
            </w:r>
            <w:r>
              <w:rPr>
                <w:rFonts w:hint="eastAsia"/>
                <w:sz w:val="24"/>
                <w:lang w:eastAsia="zh-CN"/>
              </w:rPr>
              <w:t>（</w:t>
            </w:r>
            <w:r>
              <w:rPr>
                <w:rFonts w:hint="eastAsia"/>
                <w:sz w:val="24"/>
              </w:rPr>
              <w:t>苏发改能源发</w:t>
            </w:r>
            <w:r>
              <w:rPr>
                <w:sz w:val="24"/>
              </w:rPr>
              <w:t>〔</w:t>
            </w:r>
            <w:r>
              <w:rPr>
                <w:rFonts w:hint="eastAsia"/>
                <w:sz w:val="24"/>
              </w:rPr>
              <w:t>2022</w:t>
            </w:r>
            <w:r>
              <w:rPr>
                <w:sz w:val="24"/>
              </w:rPr>
              <w:t>〕</w:t>
            </w:r>
            <w:r>
              <w:rPr>
                <w:rFonts w:hint="eastAsia"/>
                <w:sz w:val="24"/>
              </w:rPr>
              <w:t>685号</w:t>
            </w:r>
            <w:r>
              <w:rPr>
                <w:rFonts w:hint="eastAsia"/>
                <w:sz w:val="24"/>
                <w:lang w:eastAsia="zh-CN"/>
              </w:rPr>
              <w:t>）：</w:t>
            </w:r>
            <w:r>
              <w:rPr>
                <w:rFonts w:hint="eastAsia"/>
                <w:sz w:val="24"/>
              </w:rPr>
              <w:t>“坚持集散并举，注重因地制宜，优先推动光伏发电就近开发利用，促进光伏发电与农业、交通、建筑等多种产业协同发展。到2025年，全省光伏发电装机达到3500万千瓦以上。…加快推进“光伏+”综合利用。结合生态立体土地综合利用，充分发挥光伏发电与农林牧渔业发展协同优势，在确保农林牧渔业稳产保供前提下，依托农业种植、渔业养殖、生态修复等，因地制宜利用垦区农场采煤塌陷区、沿海滩涂、养殖鱼塘、农业大棚、山地丘陵等空间资源，开展集中式光伏电站建设。在太阳能资源禀赋较好、建设条件优越、具备持续整体开发条件的地区，优化推进“光伏+”基地化开发。鼓励推广“光伏+”生态旅游、光伏特色小镇等，促进光伏与多种产业有机融合，扩展集中式光伏发电发展空间。稳步有序开展海上光伏建设。到2025年，全省集中式光伏发电装机达到2000万瓦以上。…</w:t>
            </w:r>
            <w:r>
              <w:rPr>
                <w:rFonts w:hint="eastAsia"/>
                <w:sz w:val="24"/>
                <w:lang w:eastAsia="zh-CN"/>
              </w:rPr>
              <w:t>”。</w:t>
            </w:r>
          </w:p>
          <w:p w14:paraId="02F09987">
            <w:pPr>
              <w:adjustRightInd w:val="0"/>
              <w:snapToGrid w:val="0"/>
              <w:spacing w:line="360" w:lineRule="auto"/>
              <w:ind w:firstLine="480" w:firstLineChars="200"/>
              <w:jc w:val="left"/>
              <w:rPr>
                <w:rFonts w:hint="eastAsia"/>
                <w:sz w:val="24"/>
              </w:rPr>
            </w:pPr>
            <w:r>
              <w:rPr>
                <w:rFonts w:hint="eastAsia"/>
                <w:sz w:val="24"/>
              </w:rPr>
              <w:t>所以建设</w:t>
            </w:r>
            <w:r>
              <w:rPr>
                <w:rFonts w:hint="eastAsia"/>
                <w:sz w:val="24"/>
                <w:lang w:val="en-US" w:eastAsia="zh-CN"/>
              </w:rPr>
              <w:t>本</w:t>
            </w:r>
            <w:r>
              <w:rPr>
                <w:rFonts w:hint="eastAsia"/>
                <w:sz w:val="24"/>
              </w:rPr>
              <w:t>项目是贯彻落实国家及江苏省的可持续发展战略和大力开发太阳能资源、提高光伏发电装机率的政策，对我国可再生能源事业有积极地推动作为项目与其他相关国家和地方产业政策相符性分析见表1-1。</w:t>
            </w:r>
          </w:p>
          <w:p w14:paraId="45FF982D">
            <w:pPr>
              <w:adjustRightInd w:val="0"/>
              <w:snapToGrid w:val="0"/>
              <w:spacing w:line="360" w:lineRule="auto"/>
              <w:ind w:firstLine="2168" w:firstLineChars="900"/>
              <w:jc w:val="left"/>
              <w:rPr>
                <w:rFonts w:hint="eastAsia"/>
                <w:b/>
                <w:bCs/>
                <w:sz w:val="24"/>
              </w:rPr>
            </w:pPr>
            <w:r>
              <w:rPr>
                <w:rFonts w:hint="eastAsia"/>
                <w:b/>
                <w:bCs/>
                <w:sz w:val="24"/>
              </w:rPr>
              <w:t>表1-1</w:t>
            </w:r>
            <w:r>
              <w:rPr>
                <w:rFonts w:hint="eastAsia"/>
                <w:b/>
                <w:bCs/>
                <w:sz w:val="24"/>
                <w:lang w:val="en-US" w:eastAsia="zh-CN"/>
              </w:rPr>
              <w:t xml:space="preserve">  </w:t>
            </w:r>
            <w:r>
              <w:rPr>
                <w:rFonts w:hint="eastAsia"/>
                <w:b/>
                <w:bCs/>
                <w:sz w:val="24"/>
              </w:rPr>
              <w:t>相关产业政策相符性分析表</w:t>
            </w:r>
          </w:p>
          <w:tbl>
            <w:tblPr>
              <w:tblStyle w:val="30"/>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550"/>
              <w:gridCol w:w="3840"/>
              <w:gridCol w:w="877"/>
            </w:tblGrid>
            <w:tr w14:paraId="6CBD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74C999D4">
                  <w:pPr>
                    <w:adjustRightInd w:val="0"/>
                    <w:snapToGrid w:val="0"/>
                    <w:jc w:val="center"/>
                    <w:rPr>
                      <w:rFonts w:hint="eastAsia"/>
                      <w:b/>
                      <w:bCs/>
                      <w:szCs w:val="21"/>
                    </w:rPr>
                  </w:pPr>
                  <w:r>
                    <w:rPr>
                      <w:rFonts w:hint="eastAsia"/>
                      <w:b/>
                      <w:bCs/>
                      <w:szCs w:val="21"/>
                    </w:rPr>
                    <w:t>序号</w:t>
                  </w:r>
                </w:p>
              </w:tc>
              <w:tc>
                <w:tcPr>
                  <w:tcW w:w="3550" w:type="dxa"/>
                </w:tcPr>
                <w:p w14:paraId="5A9F36B1">
                  <w:pPr>
                    <w:adjustRightInd w:val="0"/>
                    <w:snapToGrid w:val="0"/>
                    <w:jc w:val="center"/>
                    <w:rPr>
                      <w:rFonts w:hint="eastAsia"/>
                      <w:b/>
                      <w:bCs/>
                      <w:szCs w:val="21"/>
                    </w:rPr>
                  </w:pPr>
                  <w:r>
                    <w:rPr>
                      <w:rFonts w:hint="eastAsia"/>
                      <w:b/>
                      <w:bCs/>
                      <w:szCs w:val="21"/>
                    </w:rPr>
                    <w:t>产业政策</w:t>
                  </w:r>
                </w:p>
              </w:tc>
              <w:tc>
                <w:tcPr>
                  <w:tcW w:w="3840" w:type="dxa"/>
                </w:tcPr>
                <w:p w14:paraId="54279E0A">
                  <w:pPr>
                    <w:adjustRightInd w:val="0"/>
                    <w:snapToGrid w:val="0"/>
                    <w:jc w:val="center"/>
                    <w:rPr>
                      <w:rFonts w:hint="eastAsia"/>
                      <w:b/>
                      <w:bCs/>
                      <w:szCs w:val="21"/>
                    </w:rPr>
                  </w:pPr>
                  <w:r>
                    <w:rPr>
                      <w:rFonts w:hint="eastAsia"/>
                      <w:b/>
                      <w:bCs/>
                      <w:szCs w:val="21"/>
                    </w:rPr>
                    <w:t>本项目情况</w:t>
                  </w:r>
                </w:p>
              </w:tc>
              <w:tc>
                <w:tcPr>
                  <w:tcW w:w="877" w:type="dxa"/>
                </w:tcPr>
                <w:p w14:paraId="1EF3C669">
                  <w:pPr>
                    <w:adjustRightInd w:val="0"/>
                    <w:snapToGrid w:val="0"/>
                    <w:jc w:val="center"/>
                    <w:rPr>
                      <w:rFonts w:hint="eastAsia"/>
                      <w:b/>
                      <w:bCs/>
                      <w:szCs w:val="21"/>
                    </w:rPr>
                  </w:pPr>
                  <w:r>
                    <w:rPr>
                      <w:rFonts w:hint="eastAsia"/>
                      <w:b/>
                      <w:bCs/>
                      <w:szCs w:val="21"/>
                      <w:lang w:val="en-US" w:eastAsia="zh-CN"/>
                    </w:rPr>
                    <w:t>相符</w:t>
                  </w:r>
                  <w:r>
                    <w:rPr>
                      <w:rFonts w:hint="eastAsia"/>
                      <w:b/>
                      <w:bCs/>
                      <w:szCs w:val="21"/>
                    </w:rPr>
                    <w:t>性</w:t>
                  </w:r>
                </w:p>
              </w:tc>
            </w:tr>
            <w:tr w14:paraId="6963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14:paraId="0FB51449">
                  <w:pPr>
                    <w:adjustRightInd w:val="0"/>
                    <w:snapToGrid w:val="0"/>
                    <w:jc w:val="center"/>
                    <w:rPr>
                      <w:rFonts w:hint="eastAsia"/>
                      <w:szCs w:val="21"/>
                      <w:lang w:val="en-US" w:eastAsia="zh-CN"/>
                    </w:rPr>
                  </w:pPr>
                  <w:r>
                    <w:rPr>
                      <w:rFonts w:hint="eastAsia"/>
                      <w:szCs w:val="21"/>
                      <w:lang w:val="en-US" w:eastAsia="zh-CN"/>
                    </w:rPr>
                    <w:t>1</w:t>
                  </w:r>
                </w:p>
              </w:tc>
              <w:tc>
                <w:tcPr>
                  <w:tcW w:w="3550" w:type="dxa"/>
                  <w:vAlign w:val="center"/>
                </w:tcPr>
                <w:p w14:paraId="254690EE">
                  <w:pPr>
                    <w:adjustRightInd w:val="0"/>
                    <w:snapToGrid w:val="0"/>
                    <w:jc w:val="center"/>
                    <w:rPr>
                      <w:szCs w:val="21"/>
                    </w:rPr>
                  </w:pPr>
                  <w:r>
                    <w:rPr>
                      <w:rFonts w:hint="eastAsia"/>
                      <w:szCs w:val="21"/>
                    </w:rPr>
                    <w:t>《限制用地项目目录(2013年本)》、《禁止用地项目目录</w:t>
                  </w:r>
                  <w:r>
                    <w:rPr>
                      <w:rFonts w:hint="eastAsia"/>
                      <w:szCs w:val="21"/>
                      <w:lang w:eastAsia="zh-CN"/>
                    </w:rPr>
                    <w:t>（</w:t>
                  </w:r>
                  <w:r>
                    <w:rPr>
                      <w:rFonts w:hint="eastAsia"/>
                      <w:szCs w:val="21"/>
                    </w:rPr>
                    <w:t>2013年本</w:t>
                  </w:r>
                  <w:r>
                    <w:rPr>
                      <w:rFonts w:hint="eastAsia"/>
                      <w:szCs w:val="21"/>
                      <w:lang w:eastAsia="zh-CN"/>
                    </w:rPr>
                    <w:t>）</w:t>
                  </w:r>
                  <w:r>
                    <w:rPr>
                      <w:rFonts w:hint="eastAsia"/>
                      <w:szCs w:val="21"/>
                    </w:rPr>
                    <w:t>》</w:t>
                  </w:r>
                </w:p>
              </w:tc>
              <w:tc>
                <w:tcPr>
                  <w:tcW w:w="3840" w:type="dxa"/>
                  <w:vAlign w:val="center"/>
                </w:tcPr>
                <w:p w14:paraId="5AE9CF20">
                  <w:pPr>
                    <w:adjustRightInd w:val="0"/>
                    <w:snapToGrid w:val="0"/>
                    <w:jc w:val="center"/>
                    <w:rPr>
                      <w:szCs w:val="21"/>
                    </w:rPr>
                  </w:pPr>
                  <w:r>
                    <w:rPr>
                      <w:rFonts w:hint="eastAsia"/>
                      <w:szCs w:val="21"/>
                    </w:rPr>
                    <w:t>本项目不属于提出的限制和禁止用地项目。</w:t>
                  </w:r>
                </w:p>
              </w:tc>
              <w:tc>
                <w:tcPr>
                  <w:tcW w:w="877" w:type="dxa"/>
                  <w:vAlign w:val="center"/>
                </w:tcPr>
                <w:p w14:paraId="625B4571">
                  <w:pPr>
                    <w:adjustRightInd w:val="0"/>
                    <w:snapToGrid w:val="0"/>
                    <w:jc w:val="center"/>
                    <w:rPr>
                      <w:szCs w:val="21"/>
                    </w:rPr>
                  </w:pPr>
                  <w:r>
                    <w:rPr>
                      <w:rFonts w:hint="eastAsia"/>
                      <w:szCs w:val="21"/>
                      <w:lang w:val="en-US" w:eastAsia="zh-CN"/>
                    </w:rPr>
                    <w:t>相符</w:t>
                  </w:r>
                </w:p>
              </w:tc>
            </w:tr>
            <w:tr w14:paraId="703D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14:paraId="725ABA93">
                  <w:pPr>
                    <w:adjustRightInd w:val="0"/>
                    <w:snapToGrid w:val="0"/>
                    <w:jc w:val="center"/>
                    <w:rPr>
                      <w:rFonts w:hint="eastAsia"/>
                      <w:szCs w:val="21"/>
                      <w:lang w:val="en-US" w:eastAsia="zh-CN"/>
                    </w:rPr>
                  </w:pPr>
                  <w:r>
                    <w:rPr>
                      <w:rFonts w:hint="eastAsia"/>
                      <w:szCs w:val="21"/>
                      <w:lang w:val="en-US" w:eastAsia="zh-CN"/>
                    </w:rPr>
                    <w:t>2</w:t>
                  </w:r>
                </w:p>
              </w:tc>
              <w:tc>
                <w:tcPr>
                  <w:tcW w:w="3550" w:type="dxa"/>
                  <w:vAlign w:val="center"/>
                </w:tcPr>
                <w:p w14:paraId="0FA5861A">
                  <w:pPr>
                    <w:adjustRightInd w:val="0"/>
                    <w:snapToGrid w:val="0"/>
                    <w:jc w:val="center"/>
                    <w:rPr>
                      <w:rFonts w:hint="eastAsia"/>
                      <w:szCs w:val="21"/>
                      <w:lang w:eastAsia="zh-CN"/>
                    </w:rPr>
                  </w:pPr>
                  <w:r>
                    <w:rPr>
                      <w:rFonts w:hint="eastAsia"/>
                      <w:szCs w:val="21"/>
                    </w:rPr>
                    <w:t>《长江经济带发展负面清单指南》</w:t>
                  </w:r>
                  <w:r>
                    <w:rPr>
                      <w:rFonts w:hint="eastAsia"/>
                      <w:szCs w:val="21"/>
                      <w:lang w:eastAsia="zh-CN"/>
                    </w:rPr>
                    <w:t>（</w:t>
                  </w:r>
                  <w:r>
                    <w:rPr>
                      <w:rFonts w:hint="eastAsia"/>
                      <w:szCs w:val="21"/>
                    </w:rPr>
                    <w:t>试行，2022 年版</w:t>
                  </w:r>
                  <w:r>
                    <w:rPr>
                      <w:rFonts w:hint="eastAsia"/>
                      <w:szCs w:val="21"/>
                      <w:lang w:eastAsia="zh-CN"/>
                    </w:rPr>
                    <w:t>）</w:t>
                  </w:r>
                </w:p>
              </w:tc>
              <w:tc>
                <w:tcPr>
                  <w:tcW w:w="3840" w:type="dxa"/>
                  <w:vAlign w:val="center"/>
                </w:tcPr>
                <w:p w14:paraId="1DEEE0BB">
                  <w:pPr>
                    <w:adjustRightInd w:val="0"/>
                    <w:snapToGrid w:val="0"/>
                    <w:jc w:val="center"/>
                    <w:rPr>
                      <w:szCs w:val="21"/>
                    </w:rPr>
                  </w:pPr>
                  <w:r>
                    <w:rPr>
                      <w:rFonts w:hint="eastAsia"/>
                      <w:szCs w:val="21"/>
                    </w:rPr>
                    <w:t>本项目不在 2022年版长江经济带发展负面清单提出的禁止建设的项目中。</w:t>
                  </w:r>
                </w:p>
              </w:tc>
              <w:tc>
                <w:tcPr>
                  <w:tcW w:w="877" w:type="dxa"/>
                  <w:vAlign w:val="center"/>
                </w:tcPr>
                <w:p w14:paraId="50A04660">
                  <w:pPr>
                    <w:adjustRightInd w:val="0"/>
                    <w:snapToGrid w:val="0"/>
                    <w:jc w:val="center"/>
                    <w:rPr>
                      <w:szCs w:val="21"/>
                    </w:rPr>
                  </w:pPr>
                  <w:r>
                    <w:rPr>
                      <w:rFonts w:hint="eastAsia"/>
                      <w:szCs w:val="21"/>
                      <w:lang w:val="en-US" w:eastAsia="zh-CN"/>
                    </w:rPr>
                    <w:t>相符</w:t>
                  </w:r>
                </w:p>
              </w:tc>
            </w:tr>
            <w:tr w14:paraId="0343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14:paraId="7FD8AD1A">
                  <w:pPr>
                    <w:adjustRightInd w:val="0"/>
                    <w:snapToGrid w:val="0"/>
                    <w:jc w:val="center"/>
                    <w:rPr>
                      <w:rFonts w:hint="eastAsia"/>
                      <w:szCs w:val="21"/>
                      <w:lang w:val="en-US" w:eastAsia="zh-CN"/>
                    </w:rPr>
                  </w:pPr>
                  <w:r>
                    <w:rPr>
                      <w:rFonts w:hint="eastAsia"/>
                      <w:szCs w:val="21"/>
                      <w:lang w:val="en-US" w:eastAsia="zh-CN"/>
                    </w:rPr>
                    <w:t>3</w:t>
                  </w:r>
                </w:p>
              </w:tc>
              <w:tc>
                <w:tcPr>
                  <w:tcW w:w="3550" w:type="dxa"/>
                  <w:vAlign w:val="center"/>
                </w:tcPr>
                <w:p w14:paraId="06E99FC6">
                  <w:pPr>
                    <w:adjustRightInd w:val="0"/>
                    <w:snapToGrid w:val="0"/>
                    <w:jc w:val="center"/>
                    <w:rPr>
                      <w:rFonts w:hint="eastAsia"/>
                      <w:szCs w:val="21"/>
                      <w:lang w:val="en-US" w:eastAsia="zh-CN"/>
                    </w:rPr>
                  </w:pPr>
                  <w:r>
                    <w:rPr>
                      <w:rFonts w:hint="eastAsia"/>
                      <w:szCs w:val="21"/>
                    </w:rPr>
                    <w:t>《市场准入负面清单(2022年版)》</w:t>
                  </w:r>
                  <w:r>
                    <w:rPr>
                      <w:rFonts w:hint="eastAsia"/>
                      <w:szCs w:val="21"/>
                      <w:lang w:eastAsia="zh-CN"/>
                    </w:rPr>
                    <w:t>（</w:t>
                  </w:r>
                  <w:r>
                    <w:rPr>
                      <w:rFonts w:hint="eastAsia"/>
                      <w:szCs w:val="21"/>
                    </w:rPr>
                    <w:t>发改体改规</w:t>
                  </w:r>
                  <w:r>
                    <w:rPr>
                      <w:szCs w:val="21"/>
                    </w:rPr>
                    <w:t>〔</w:t>
                  </w:r>
                  <w:r>
                    <w:rPr>
                      <w:rFonts w:hint="eastAsia"/>
                      <w:szCs w:val="21"/>
                    </w:rPr>
                    <w:t>2022</w:t>
                  </w:r>
                  <w:r>
                    <w:rPr>
                      <w:szCs w:val="21"/>
                    </w:rPr>
                    <w:t>〕</w:t>
                  </w:r>
                  <w:r>
                    <w:rPr>
                      <w:rFonts w:hint="eastAsia"/>
                      <w:szCs w:val="21"/>
                    </w:rPr>
                    <w:t>397号</w:t>
                  </w:r>
                  <w:r>
                    <w:rPr>
                      <w:rFonts w:hint="eastAsia"/>
                      <w:szCs w:val="21"/>
                      <w:lang w:eastAsia="zh-CN"/>
                    </w:rPr>
                    <w:t>）</w:t>
                  </w:r>
                </w:p>
              </w:tc>
              <w:tc>
                <w:tcPr>
                  <w:tcW w:w="3840" w:type="dxa"/>
                  <w:vAlign w:val="center"/>
                </w:tcPr>
                <w:p w14:paraId="4BC024C8">
                  <w:pPr>
                    <w:adjustRightInd w:val="0"/>
                    <w:snapToGrid w:val="0"/>
                    <w:jc w:val="center"/>
                    <w:rPr>
                      <w:szCs w:val="21"/>
                    </w:rPr>
                  </w:pPr>
                  <w:r>
                    <w:rPr>
                      <w:rFonts w:hint="eastAsia"/>
                      <w:szCs w:val="21"/>
                    </w:rPr>
                    <w:t>本项目不在市场准入负面清单中。</w:t>
                  </w:r>
                </w:p>
              </w:tc>
              <w:tc>
                <w:tcPr>
                  <w:tcW w:w="877" w:type="dxa"/>
                  <w:vAlign w:val="center"/>
                </w:tcPr>
                <w:p w14:paraId="7DCC203C">
                  <w:pPr>
                    <w:adjustRightInd w:val="0"/>
                    <w:snapToGrid w:val="0"/>
                    <w:jc w:val="center"/>
                    <w:rPr>
                      <w:szCs w:val="21"/>
                    </w:rPr>
                  </w:pPr>
                  <w:r>
                    <w:rPr>
                      <w:rFonts w:hint="eastAsia"/>
                      <w:szCs w:val="21"/>
                      <w:lang w:val="en-US" w:eastAsia="zh-CN"/>
                    </w:rPr>
                    <w:t>相符</w:t>
                  </w:r>
                </w:p>
              </w:tc>
            </w:tr>
            <w:tr w14:paraId="63E0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14:paraId="1A050A6C">
                  <w:pPr>
                    <w:adjustRightInd w:val="0"/>
                    <w:snapToGrid w:val="0"/>
                    <w:jc w:val="center"/>
                    <w:rPr>
                      <w:rFonts w:hint="eastAsia"/>
                      <w:szCs w:val="21"/>
                      <w:lang w:val="en-US" w:eastAsia="zh-CN"/>
                    </w:rPr>
                  </w:pPr>
                  <w:r>
                    <w:rPr>
                      <w:rFonts w:hint="eastAsia"/>
                      <w:szCs w:val="21"/>
                      <w:lang w:val="en-US" w:eastAsia="zh-CN"/>
                    </w:rPr>
                    <w:t>4</w:t>
                  </w:r>
                </w:p>
              </w:tc>
              <w:tc>
                <w:tcPr>
                  <w:tcW w:w="3550" w:type="dxa"/>
                  <w:vAlign w:val="center"/>
                </w:tcPr>
                <w:p w14:paraId="562FB74D">
                  <w:pPr>
                    <w:adjustRightInd w:val="0"/>
                    <w:snapToGrid w:val="0"/>
                    <w:jc w:val="center"/>
                    <w:rPr>
                      <w:rFonts w:hint="eastAsia"/>
                      <w:szCs w:val="21"/>
                    </w:rPr>
                  </w:pPr>
                  <w:r>
                    <w:rPr>
                      <w:rFonts w:hint="eastAsia"/>
                      <w:szCs w:val="21"/>
                    </w:rPr>
                    <w:t>《长江经济带发展负面清单指南</w:t>
                  </w:r>
                </w:p>
                <w:p w14:paraId="34BD0E5E">
                  <w:pPr>
                    <w:adjustRightInd w:val="0"/>
                    <w:snapToGrid w:val="0"/>
                    <w:jc w:val="center"/>
                    <w:rPr>
                      <w:rFonts w:hint="eastAsia"/>
                      <w:szCs w:val="21"/>
                      <w:lang w:eastAsia="zh-CN"/>
                    </w:rPr>
                  </w:pPr>
                  <w:r>
                    <w:rPr>
                      <w:rFonts w:hint="eastAsia"/>
                      <w:szCs w:val="21"/>
                      <w:lang w:eastAsia="zh-CN"/>
                    </w:rPr>
                    <w:t>（</w:t>
                  </w:r>
                  <w:r>
                    <w:rPr>
                      <w:rFonts w:hint="eastAsia"/>
                      <w:szCs w:val="21"/>
                    </w:rPr>
                    <w:t>试行，2022年版</w:t>
                  </w:r>
                  <w:r>
                    <w:rPr>
                      <w:rFonts w:hint="eastAsia"/>
                      <w:szCs w:val="21"/>
                      <w:lang w:eastAsia="zh-CN"/>
                    </w:rPr>
                    <w:t>）</w:t>
                  </w:r>
                  <w:r>
                    <w:rPr>
                      <w:rFonts w:hint="eastAsia"/>
                      <w:szCs w:val="21"/>
                    </w:rPr>
                    <w:t>江苏省实施细则》</w:t>
                  </w:r>
                  <w:r>
                    <w:rPr>
                      <w:rFonts w:hint="eastAsia"/>
                      <w:szCs w:val="21"/>
                      <w:lang w:eastAsia="zh-CN"/>
                    </w:rPr>
                    <w:t>（</w:t>
                  </w:r>
                  <w:r>
                    <w:rPr>
                      <w:rFonts w:hint="eastAsia"/>
                      <w:szCs w:val="21"/>
                    </w:rPr>
                    <w:t>苏长江办发</w:t>
                  </w:r>
                  <w:r>
                    <w:rPr>
                      <w:szCs w:val="21"/>
                    </w:rPr>
                    <w:t>〔</w:t>
                  </w:r>
                  <w:r>
                    <w:rPr>
                      <w:rFonts w:hint="eastAsia"/>
                      <w:szCs w:val="21"/>
                    </w:rPr>
                    <w:t>20221</w:t>
                  </w:r>
                  <w:r>
                    <w:rPr>
                      <w:szCs w:val="21"/>
                    </w:rPr>
                    <w:t>〕</w:t>
                  </w:r>
                  <w:r>
                    <w:rPr>
                      <w:rFonts w:hint="eastAsia"/>
                      <w:szCs w:val="21"/>
                    </w:rPr>
                    <w:t>55号</w:t>
                  </w:r>
                  <w:r>
                    <w:rPr>
                      <w:rFonts w:hint="eastAsia"/>
                      <w:szCs w:val="21"/>
                      <w:lang w:eastAsia="zh-CN"/>
                    </w:rPr>
                    <w:t>）</w:t>
                  </w:r>
                </w:p>
              </w:tc>
              <w:tc>
                <w:tcPr>
                  <w:tcW w:w="3840" w:type="dxa"/>
                  <w:vAlign w:val="center"/>
                </w:tcPr>
                <w:p w14:paraId="4591D631">
                  <w:pPr>
                    <w:adjustRightInd w:val="0"/>
                    <w:snapToGrid w:val="0"/>
                    <w:jc w:val="center"/>
                    <w:rPr>
                      <w:szCs w:val="21"/>
                    </w:rPr>
                  </w:pPr>
                  <w:r>
                    <w:rPr>
                      <w:rFonts w:hint="eastAsia"/>
                      <w:szCs w:val="21"/>
                    </w:rPr>
                    <w:t>本项目不在 2022年版长江经济带发展负面清单指南江苏省实施细则提出的禁止建设的项目中。</w:t>
                  </w:r>
                </w:p>
              </w:tc>
              <w:tc>
                <w:tcPr>
                  <w:tcW w:w="877" w:type="dxa"/>
                  <w:vAlign w:val="center"/>
                </w:tcPr>
                <w:p w14:paraId="5DC8F006">
                  <w:pPr>
                    <w:adjustRightInd w:val="0"/>
                    <w:snapToGrid w:val="0"/>
                    <w:jc w:val="center"/>
                    <w:rPr>
                      <w:szCs w:val="21"/>
                    </w:rPr>
                  </w:pPr>
                  <w:r>
                    <w:rPr>
                      <w:rFonts w:hint="eastAsia"/>
                      <w:szCs w:val="21"/>
                      <w:lang w:val="en-US" w:eastAsia="zh-CN"/>
                    </w:rPr>
                    <w:t>相符</w:t>
                  </w:r>
                </w:p>
              </w:tc>
            </w:tr>
            <w:bookmarkEnd w:id="14"/>
          </w:tbl>
          <w:p w14:paraId="288BC1BD">
            <w:pPr>
              <w:adjustRightInd w:val="0"/>
              <w:snapToGrid w:val="0"/>
              <w:spacing w:line="360" w:lineRule="auto"/>
              <w:ind w:firstLine="482" w:firstLineChars="200"/>
              <w:rPr>
                <w:b/>
                <w:bCs/>
                <w:sz w:val="24"/>
              </w:rPr>
            </w:pPr>
            <w:r>
              <w:rPr>
                <w:b/>
                <w:bCs/>
                <w:sz w:val="24"/>
              </w:rPr>
              <w:t>2、项目用地性质的合理性</w:t>
            </w:r>
          </w:p>
          <w:p w14:paraId="479EF1B2">
            <w:pPr>
              <w:adjustRightInd w:val="0"/>
              <w:snapToGrid w:val="0"/>
              <w:spacing w:line="360" w:lineRule="auto"/>
              <w:ind w:firstLine="480" w:firstLineChars="200"/>
              <w:rPr>
                <w:kern w:val="0"/>
                <w:sz w:val="24"/>
              </w:rPr>
            </w:pPr>
            <w:r>
              <w:rPr>
                <w:kern w:val="0"/>
                <w:sz w:val="24"/>
              </w:rPr>
              <w:t>（1）本项目用地不在《限制用地项目目录（2012年本）》、《禁止用地项目目录（2012年本）》和《江苏省限制用地项目目录（2013年本）》、《江苏省禁止用地项目目录（2013年本）》等中的“限制用地项目”和“禁止用地项目”名录内。</w:t>
            </w:r>
          </w:p>
          <w:p w14:paraId="07867DB8">
            <w:pPr>
              <w:adjustRightInd w:val="0"/>
              <w:snapToGrid w:val="0"/>
              <w:spacing w:line="360" w:lineRule="auto"/>
              <w:ind w:firstLine="480" w:firstLineChars="200"/>
              <w:rPr>
                <w:kern w:val="0"/>
                <w:sz w:val="24"/>
              </w:rPr>
            </w:pPr>
            <w:r>
              <w:rPr>
                <w:kern w:val="0"/>
                <w:sz w:val="24"/>
              </w:rPr>
              <w:t>（2）本项目不涉及永久基本农田，不涉及国家级生态红线和江苏省生态空间管控区域。项目用地符合《国土资源部国务院扶贫办国家能源局关于支持光伏扶贫和规范光伏发电产业用地的意见》（国土资规〔2017〕8号）规定的使用永久基本农田以外的农用地开展光伏复合项目的情形。</w:t>
            </w:r>
          </w:p>
          <w:p w14:paraId="00D4F76E">
            <w:pPr>
              <w:adjustRightInd w:val="0"/>
              <w:snapToGrid w:val="0"/>
              <w:spacing w:line="360" w:lineRule="auto"/>
              <w:ind w:firstLine="480" w:firstLineChars="200"/>
              <w:rPr>
                <w:kern w:val="0"/>
                <w:sz w:val="24"/>
              </w:rPr>
            </w:pPr>
            <w:r>
              <w:rPr>
                <w:kern w:val="0"/>
                <w:sz w:val="24"/>
              </w:rPr>
              <w:t>（3）《水利部关于加强河湖水域岸线空间管控的指导意见》（水河湖〔2022〕216号）中提出“光伏电站、风力发电等项目不得在河道、湖泊、水库内建设。在湖泊周边、水库库汊建设光伏、风电项目的，要科学论证，严格管控，不得布设在具有防洪、供水功能和水生态、水环境保护需求的区域，不得妨碍行洪通畅，不得危害水库大坝和堤防等水利工程设施安全，不得影响河势稳定和航运安全”。</w:t>
            </w:r>
          </w:p>
          <w:p w14:paraId="4D5E8AB1">
            <w:pPr>
              <w:adjustRightInd w:val="0"/>
              <w:snapToGrid w:val="0"/>
              <w:spacing w:line="360" w:lineRule="auto"/>
              <w:ind w:firstLine="480" w:firstLineChars="200"/>
              <w:rPr>
                <w:kern w:val="0"/>
                <w:sz w:val="24"/>
              </w:rPr>
            </w:pPr>
            <w:r>
              <w:rPr>
                <w:kern w:val="0"/>
                <w:sz w:val="24"/>
              </w:rPr>
              <w:t>本项目选址不在河道、湖泊、水库内，不在具有防洪、供水功能和水生态、水环</w:t>
            </w:r>
          </w:p>
          <w:p w14:paraId="295B02BA">
            <w:pPr>
              <w:adjustRightInd w:val="0"/>
              <w:snapToGrid w:val="0"/>
              <w:spacing w:line="360" w:lineRule="auto"/>
              <w:rPr>
                <w:kern w:val="0"/>
                <w:sz w:val="24"/>
              </w:rPr>
            </w:pPr>
            <w:r>
              <w:rPr>
                <w:kern w:val="0"/>
                <w:sz w:val="24"/>
              </w:rPr>
              <w:t>境保护需求的区域，能够满足《水利部关于加强河湖水域岸线空间管控的指导意见》（水河湖〔2022〕216号）的要求。</w:t>
            </w:r>
          </w:p>
          <w:p w14:paraId="68C20ABE">
            <w:pPr>
              <w:numPr>
                <w:ilvl w:val="0"/>
                <w:numId w:val="3"/>
              </w:numPr>
              <w:adjustRightInd w:val="0"/>
              <w:snapToGrid w:val="0"/>
              <w:spacing w:line="360" w:lineRule="auto"/>
              <w:ind w:firstLine="480" w:firstLineChars="200"/>
              <w:rPr>
                <w:kern w:val="0"/>
                <w:sz w:val="24"/>
              </w:rPr>
            </w:pPr>
            <w:r>
              <w:rPr>
                <w:kern w:val="0"/>
                <w:sz w:val="24"/>
              </w:rPr>
              <w:t>根据《自然资源部办公厅国家林业和草原局办公室国家能源局综合司关于支持光伏发电产业发展规范用地管理有关工作的通知》（自然资办发〔2023〕12号），“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p w14:paraId="4586A936">
            <w:pPr>
              <w:adjustRightInd w:val="0"/>
              <w:snapToGrid w:val="0"/>
              <w:spacing w:line="360" w:lineRule="auto"/>
              <w:ind w:firstLine="480" w:firstLineChars="200"/>
              <w:rPr>
                <w:kern w:val="0"/>
                <w:sz w:val="24"/>
              </w:rPr>
            </w:pPr>
            <w:r>
              <w:rPr>
                <w:kern w:val="0"/>
                <w:sz w:val="24"/>
              </w:rPr>
              <w:t>根据</w:t>
            </w:r>
            <w:r>
              <w:rPr>
                <w:rFonts w:hint="eastAsia"/>
                <w:kern w:val="0"/>
                <w:sz w:val="24"/>
              </w:rPr>
              <w:t>连云港市自然资源和规划局开发区分局出具的关于华润电力青口盐场 240MW渔光互补项目用地性质的情况说明</w:t>
            </w:r>
            <w:r>
              <w:rPr>
                <w:kern w:val="0"/>
                <w:sz w:val="24"/>
              </w:rPr>
              <w:t>（详见</w:t>
            </w:r>
            <w:r>
              <w:rPr>
                <w:rFonts w:hint="eastAsia"/>
                <w:kern w:val="0"/>
                <w:sz w:val="24"/>
                <w:lang w:eastAsia="zh-CN"/>
              </w:rPr>
              <w:t>附件</w:t>
            </w:r>
            <w:r>
              <w:rPr>
                <w:rFonts w:hint="eastAsia"/>
                <w:kern w:val="0"/>
                <w:sz w:val="24"/>
                <w:lang w:val="en-US" w:eastAsia="zh-CN"/>
              </w:rPr>
              <w:t>6</w:t>
            </w:r>
            <w:r>
              <w:rPr>
                <w:kern w:val="0"/>
                <w:sz w:val="24"/>
              </w:rPr>
              <w:t>），本项目用地地类为坑塘水面，本项目选址不在耕地、生态保护红线、历史文化保护线、特殊自然景观价值和文化标识区域、天然林地、国家沙化土地封禁保护区内，不涉及自然保护区，不占用永久基本农田、基本草原、Ⅰ级保护林地和东北内蒙古重点国有林区，能符合自然资办发〔2023〕12号的要求。</w:t>
            </w:r>
          </w:p>
          <w:p w14:paraId="0072F729">
            <w:pPr>
              <w:numPr>
                <w:ilvl w:val="0"/>
                <w:numId w:val="3"/>
              </w:numPr>
              <w:adjustRightInd w:val="0"/>
              <w:snapToGrid w:val="0"/>
              <w:spacing w:line="360" w:lineRule="auto"/>
              <w:ind w:firstLine="480" w:firstLineChars="200"/>
              <w:rPr>
                <w:kern w:val="0"/>
                <w:sz w:val="24"/>
              </w:rPr>
            </w:pPr>
            <w:r>
              <w:rPr>
                <w:kern w:val="0"/>
                <w:sz w:val="24"/>
              </w:rPr>
              <w:t>参照《江苏省自然资源厅省林业局省能源局</w:t>
            </w:r>
            <w:r>
              <w:rPr>
                <w:rFonts w:hint="eastAsia"/>
                <w:kern w:val="0"/>
                <w:sz w:val="24"/>
              </w:rPr>
              <w:t>&lt;</w:t>
            </w:r>
            <w:r>
              <w:rPr>
                <w:kern w:val="0"/>
                <w:sz w:val="24"/>
              </w:rPr>
              <w:t>关于支持光伏发电产业发展规范用地管理的通知</w:t>
            </w:r>
            <w:r>
              <w:rPr>
                <w:rFonts w:hint="eastAsia"/>
                <w:kern w:val="0"/>
                <w:sz w:val="24"/>
              </w:rPr>
              <w:t>&gt;</w:t>
            </w:r>
            <w:r>
              <w:rPr>
                <w:kern w:val="0"/>
                <w:sz w:val="24"/>
              </w:rPr>
              <w:t>》（苏自然资函〔2023〕845号），“新建、扩建光伏发电项目，应当避让耕地、生态保护红线、历史文化保护线、特殊自然景观价值和文化标识区域等，涉及自然保护地的应当符合自然保护地相关法律法规和政策要求，涉及重要湿地的应当严格按照相关法律法规要求履行相关手续，全面分析评估对区域湿地及迁徙候鸟的影响。严禁在国家相关法律法规和规划明确禁止的区域发展光伏发电项目，一律不得占用永久基本农田、Ⅰ级保护林地，不得在河道、湖泊、水库内建设。在湖泊周边、水库库汊建设光伏发电项目的，应当经过科学论证，严格管控，不得布设在具有防洪、供水功能和水生态、水环境保护需求的区域，不得妨碍行洪通畅，不得危害水库大坝和堤防等水利工程设施安全，不得影响河势稳定和航运安全。光伏面板等光伏方阵用地不得占用耕地，占用其他农用地的，应合理控制用地规模，节约集约用地，尽量避免对生态和农业生产造成影响。光伏方阵用地不得改变地表形态，以第三次全国国土调查及后续开展的年度国土变更调查成果为底版，作为单独图层作出标注，依法依规进行管理，实行用地备案，不需按非农建设用地审批。光伏方阵用地允许以租赁方式取得，用地单位与农村集体经济组织或国有土地权利主体、当地乡镇政府签订用地与补偿协议，报当地县级自然资源主管部门备案。”</w:t>
            </w:r>
          </w:p>
          <w:p w14:paraId="483AC142">
            <w:pPr>
              <w:adjustRightInd w:val="0"/>
              <w:snapToGrid w:val="0"/>
              <w:spacing w:line="360" w:lineRule="auto"/>
              <w:ind w:firstLine="480" w:firstLineChars="200"/>
              <w:rPr>
                <w:kern w:val="0"/>
                <w:sz w:val="24"/>
              </w:rPr>
            </w:pPr>
            <w:r>
              <w:rPr>
                <w:kern w:val="0"/>
                <w:sz w:val="24"/>
              </w:rPr>
              <w:t>本项目选址不在耕地、生态保护红线、历史文化保护线、特殊自然景观价值和文化标识区域内，不涉及自然保护地、重要湿地；本项目不在国家相关法律法规和规划明确禁止的区域，不占用永久基本农田、基本草原、Ⅰ级保护林地和东北内蒙古重点国有林区，不在河道、湖泊、水库内建设，不会妨碍行洪通畅、危害水利工程、影响河势稳定和航运安全。符合苏自然资函（2023）845号的要求。</w:t>
            </w:r>
          </w:p>
          <w:p w14:paraId="091301D4">
            <w:pPr>
              <w:tabs>
                <w:tab w:val="left" w:pos="600"/>
              </w:tabs>
              <w:adjustRightInd w:val="0"/>
              <w:spacing w:line="360" w:lineRule="auto"/>
              <w:ind w:firstLine="480" w:firstLineChars="200"/>
              <w:textAlignment w:val="baseline"/>
              <w:rPr>
                <w:kern w:val="0"/>
                <w:sz w:val="24"/>
              </w:rPr>
            </w:pPr>
            <w:r>
              <w:rPr>
                <w:kern w:val="0"/>
                <w:sz w:val="24"/>
              </w:rPr>
              <w:t>根据</w:t>
            </w:r>
            <w:r>
              <w:rPr>
                <w:rFonts w:hint="eastAsia"/>
                <w:kern w:val="0"/>
                <w:sz w:val="24"/>
              </w:rPr>
              <w:t>连云港市自然资源和规划局开发区分局出具的关于华润电力青口盐场 240MW渔光互补项目用地性质的情况说明</w:t>
            </w:r>
            <w:r>
              <w:rPr>
                <w:rFonts w:hint="eastAsia"/>
                <w:kern w:val="0"/>
                <w:sz w:val="24"/>
                <w:lang w:val="en-US" w:eastAsia="zh-CN"/>
              </w:rPr>
              <w:t>以及</w:t>
            </w:r>
            <w:r>
              <w:rPr>
                <w:rFonts w:hint="eastAsia"/>
                <w:kern w:val="0"/>
                <w:sz w:val="24"/>
              </w:rPr>
              <w:t>连云港经济技术开发区社会事业局出具的关于华润电力青口盐场 240MW渔光互补项目用地</w:t>
            </w:r>
            <w:r>
              <w:rPr>
                <w:rFonts w:hint="eastAsia"/>
                <w:kern w:val="0"/>
                <w:sz w:val="24"/>
                <w:lang w:val="en-US" w:eastAsia="zh-CN"/>
              </w:rPr>
              <w:t>意见及</w:t>
            </w:r>
            <w:r>
              <w:rPr>
                <w:rFonts w:hint="eastAsia"/>
                <w:kern w:val="0"/>
                <w:sz w:val="24"/>
              </w:rPr>
              <w:t>是否涉及文物保护单位的情况说明</w:t>
            </w:r>
            <w:r>
              <w:rPr>
                <w:rFonts w:hint="eastAsia"/>
                <w:kern w:val="0"/>
                <w:sz w:val="24"/>
                <w:lang w:eastAsia="zh-CN"/>
              </w:rPr>
              <w:t>（</w:t>
            </w:r>
            <w:r>
              <w:rPr>
                <w:rFonts w:hint="eastAsia"/>
                <w:kern w:val="0"/>
                <w:sz w:val="24"/>
                <w:lang w:val="en-US" w:eastAsia="zh-CN"/>
              </w:rPr>
              <w:t>附件6</w:t>
            </w:r>
            <w:r>
              <w:rPr>
                <w:rFonts w:hint="eastAsia"/>
                <w:kern w:val="0"/>
                <w:sz w:val="24"/>
                <w:lang w:eastAsia="zh-CN"/>
              </w:rPr>
              <w:t>）</w:t>
            </w:r>
            <w:r>
              <w:rPr>
                <w:kern w:val="0"/>
                <w:sz w:val="24"/>
              </w:rPr>
              <w:t>，本项目用地地类为坑塘水面，地块范围不涉及耕地、永久基本农田、不涉及生态保护红线和生态空间管控区。</w:t>
            </w:r>
            <w:r>
              <w:rPr>
                <w:rFonts w:hint="eastAsia"/>
                <w:kern w:val="0"/>
                <w:sz w:val="24"/>
              </w:rPr>
              <w:t>其中升压站用地土地流转手续正在办理中，调规后为建设用地。</w:t>
            </w:r>
            <w:r>
              <w:rPr>
                <w:kern w:val="0"/>
                <w:sz w:val="24"/>
              </w:rPr>
              <w:t>根据</w:t>
            </w:r>
            <w:r>
              <w:rPr>
                <w:rFonts w:hint="eastAsia"/>
                <w:kern w:val="0"/>
                <w:sz w:val="24"/>
              </w:rPr>
              <w:t>连云港经济技术开发区社会事业局</w:t>
            </w:r>
            <w:r>
              <w:rPr>
                <w:kern w:val="0"/>
                <w:sz w:val="24"/>
              </w:rPr>
              <w:t>出具的文件，项目不涉及文物保护范围、未涉及国防光缆安全、不占用河道、湖泊、水库管理范围，不涉及行洪区、滞洪区、蓄洪区。</w:t>
            </w:r>
          </w:p>
          <w:p w14:paraId="7A2EB1D6">
            <w:pPr>
              <w:adjustRightInd w:val="0"/>
              <w:snapToGrid w:val="0"/>
              <w:spacing w:line="360" w:lineRule="auto"/>
              <w:ind w:firstLine="496" w:firstLineChars="200"/>
              <w:rPr>
                <w:spacing w:val="4"/>
                <w:sz w:val="24"/>
              </w:rPr>
            </w:pPr>
            <w:r>
              <w:rPr>
                <w:spacing w:val="4"/>
                <w:sz w:val="24"/>
              </w:rPr>
              <w:t>项目用地性质与规划相符，综上所述，本项目符合相关用地政策要求。</w:t>
            </w:r>
          </w:p>
          <w:p w14:paraId="1BA0B9AF">
            <w:pPr>
              <w:spacing w:line="360" w:lineRule="auto"/>
              <w:ind w:firstLine="482" w:firstLineChars="200"/>
              <w:rPr>
                <w:b/>
                <w:bCs/>
                <w:sz w:val="24"/>
              </w:rPr>
            </w:pPr>
            <w:r>
              <w:rPr>
                <w:b/>
                <w:bCs/>
                <w:sz w:val="24"/>
              </w:rPr>
              <w:t>3、与《连云港市国土空间规划（2021-2035年）》的符合性分析</w:t>
            </w:r>
          </w:p>
          <w:p w14:paraId="71717EDB">
            <w:pPr>
              <w:adjustRightInd w:val="0"/>
              <w:snapToGrid w:val="0"/>
              <w:spacing w:line="360" w:lineRule="auto"/>
              <w:ind w:firstLine="496" w:firstLineChars="200"/>
              <w:rPr>
                <w:spacing w:val="4"/>
                <w:sz w:val="24"/>
              </w:rPr>
            </w:pPr>
            <w:r>
              <w:rPr>
                <w:spacing w:val="4"/>
                <w:sz w:val="24"/>
              </w:rPr>
              <w:t>《连云港市国土空间规划（2021-2035年）》提出连云港市能源开发的方向为：</w:t>
            </w:r>
          </w:p>
          <w:p w14:paraId="2A4943DF">
            <w:pPr>
              <w:adjustRightInd w:val="0"/>
              <w:snapToGrid w:val="0"/>
              <w:spacing w:line="360" w:lineRule="auto"/>
              <w:rPr>
                <w:spacing w:val="4"/>
                <w:sz w:val="24"/>
              </w:rPr>
            </w:pPr>
            <w:r>
              <w:rPr>
                <w:spacing w:val="4"/>
                <w:sz w:val="24"/>
              </w:rPr>
              <w:t>大力发展风能、太阳能、生物质能等新能源，布局建设一批风电场，积极推广太阳能和生物质能应用。</w:t>
            </w:r>
          </w:p>
          <w:p w14:paraId="3C99BDBA">
            <w:pPr>
              <w:adjustRightInd w:val="0"/>
              <w:snapToGrid w:val="0"/>
              <w:spacing w:line="360" w:lineRule="auto"/>
              <w:ind w:firstLine="496" w:firstLineChars="200"/>
              <w:rPr>
                <w:spacing w:val="4"/>
                <w:sz w:val="24"/>
              </w:rPr>
            </w:pPr>
            <w:r>
              <w:rPr>
                <w:spacing w:val="4"/>
                <w:sz w:val="24"/>
              </w:rPr>
              <w:t>《连云港市国土空间规划（2021-2035年）》：统筹划定生态保护红线、永久基本农田、城镇开发边界三条控制线，将其作为调整经济结构、规划产业发展、推进城镇户不可逾越的红线。生态保护红线：生态空间范围内具有特殊重要生态功能、必须强制性严格保护的区域，严格禁止生产性、开发性建设活动；永久基本农田：保障国家粮食安全和重要农产品供给，保持永久基本农田布局总体稳定；城镇开发边界：框定总量，限定容量，防止城镇无序蔓延，划定集中进行城镇开发建设、以城镇功能为主的区域边界。根据《连云港市国土空间规划（2021-2035年）》，本项目位于生态保护红线、永久基本农田和城镇开发边界范围之外，为光伏发电项目，且项目所涉区域未涉及自然保护区、风景名胜区、森林公园等环境敏感区域。</w:t>
            </w:r>
          </w:p>
          <w:p w14:paraId="3B89EF09">
            <w:pPr>
              <w:adjustRightInd w:val="0"/>
              <w:snapToGrid w:val="0"/>
              <w:spacing w:line="360" w:lineRule="auto"/>
              <w:ind w:firstLine="496" w:firstLineChars="200"/>
              <w:rPr>
                <w:spacing w:val="4"/>
                <w:sz w:val="24"/>
              </w:rPr>
            </w:pPr>
            <w:r>
              <w:rPr>
                <w:spacing w:val="4"/>
                <w:sz w:val="24"/>
              </w:rPr>
              <w:t>因此，本项目建设符合《连云港市国土空间规划（2021-2035年）》。</w:t>
            </w:r>
          </w:p>
          <w:p w14:paraId="7249ABBD">
            <w:pPr>
              <w:adjustRightInd w:val="0"/>
              <w:snapToGrid w:val="0"/>
              <w:spacing w:line="360" w:lineRule="auto"/>
              <w:ind w:firstLine="482" w:firstLineChars="200"/>
              <w:rPr>
                <w:b/>
                <w:sz w:val="24"/>
                <w:szCs w:val="28"/>
              </w:rPr>
            </w:pPr>
            <w:r>
              <w:rPr>
                <w:b/>
                <w:sz w:val="24"/>
                <w:szCs w:val="28"/>
              </w:rPr>
              <w:t>4、“三线一单”相符性分析</w:t>
            </w:r>
          </w:p>
          <w:p w14:paraId="3E32DD12">
            <w:pPr>
              <w:adjustRightInd w:val="0"/>
              <w:snapToGrid w:val="0"/>
              <w:spacing w:line="360" w:lineRule="auto"/>
              <w:ind w:firstLine="480" w:firstLineChars="200"/>
              <w:rPr>
                <w:rFonts w:hint="eastAsia" w:eastAsia="宋体"/>
                <w:lang w:eastAsia="zh-CN"/>
              </w:rPr>
            </w:pPr>
            <w:r>
              <w:rPr>
                <w:rFonts w:hint="eastAsia" w:ascii="宋体" w:hAnsi="宋体" w:cs="宋体"/>
                <w:bCs/>
                <w:sz w:val="24"/>
              </w:rPr>
              <w:t>①</w:t>
            </w:r>
            <w:r>
              <w:rPr>
                <w:spacing w:val="4"/>
                <w:sz w:val="24"/>
              </w:rPr>
              <w:t>与《江苏省国家级生态保护红线规划》（苏政发〔2018〕74号）</w:t>
            </w:r>
            <w:r>
              <w:rPr>
                <w:sz w:val="24"/>
              </w:rPr>
              <w:t>、</w:t>
            </w:r>
            <w:r>
              <w:rPr>
                <w:spacing w:val="4"/>
                <w:sz w:val="24"/>
              </w:rPr>
              <w:t>《江苏省生态空间管控区域规划》</w:t>
            </w:r>
            <w:r>
              <w:rPr>
                <w:sz w:val="24"/>
              </w:rPr>
              <w:t>（苏政发〔2020〕1号）</w:t>
            </w:r>
            <w:r>
              <w:rPr>
                <w:spacing w:val="4"/>
                <w:sz w:val="24"/>
              </w:rPr>
              <w:t>及</w:t>
            </w:r>
            <w:r>
              <w:rPr>
                <w:kern w:val="0"/>
                <w:sz w:val="24"/>
              </w:rPr>
              <w:t>《省政府办公厅关于印发&lt;江苏省生态空间管控区域调整管理办法&gt;的通知》（苏政办发〔2021〕3号）</w:t>
            </w:r>
            <w:r>
              <w:rPr>
                <w:spacing w:val="4"/>
                <w:sz w:val="24"/>
              </w:rPr>
              <w:t>相符性分析</w:t>
            </w:r>
            <w:r>
              <w:rPr>
                <w:rFonts w:hint="eastAsia"/>
                <w:spacing w:val="4"/>
                <w:sz w:val="24"/>
                <w:lang w:eastAsia="zh-CN"/>
              </w:rPr>
              <w:t>。</w:t>
            </w:r>
          </w:p>
        </w:tc>
      </w:tr>
    </w:tbl>
    <w:p w14:paraId="7AD7E076">
      <w:pPr>
        <w:autoSpaceDE w:val="0"/>
        <w:autoSpaceDN w:val="0"/>
        <w:adjustRightInd w:val="0"/>
        <w:snapToGrid w:val="0"/>
        <w:jc w:val="center"/>
        <w:rPr>
          <w:kern w:val="0"/>
          <w:szCs w:val="21"/>
        </w:rPr>
        <w:sectPr>
          <w:footerReference r:id="rId5" w:type="default"/>
          <w:pgSz w:w="11906" w:h="16838"/>
          <w:pgMar w:top="1701" w:right="1531" w:bottom="1701" w:left="1531" w:header="851" w:footer="1077" w:gutter="0"/>
          <w:pgNumType w:start="1"/>
          <w:cols w:space="720" w:num="1"/>
          <w:docGrid w:linePitch="312" w:charSpace="0"/>
        </w:sectPr>
      </w:pPr>
    </w:p>
    <w:tbl>
      <w:tblPr>
        <w:tblStyle w:val="2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01"/>
        <w:gridCol w:w="12867"/>
      </w:tblGrid>
      <w:tr w14:paraId="1136E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02" w:hRule="atLeast"/>
        </w:trPr>
        <w:tc>
          <w:tcPr>
            <w:tcW w:w="223" w:type="pct"/>
            <w:tcMar>
              <w:top w:w="16" w:type="dxa"/>
              <w:left w:w="16" w:type="dxa"/>
              <w:right w:w="16" w:type="dxa"/>
            </w:tcMar>
            <w:vAlign w:val="center"/>
          </w:tcPr>
          <w:p w14:paraId="19D0C925">
            <w:pPr>
              <w:autoSpaceDE w:val="0"/>
              <w:autoSpaceDN w:val="0"/>
              <w:adjustRightInd w:val="0"/>
              <w:snapToGrid w:val="0"/>
              <w:jc w:val="center"/>
              <w:rPr>
                <w:kern w:val="0"/>
                <w:szCs w:val="21"/>
              </w:rPr>
            </w:pPr>
          </w:p>
        </w:tc>
        <w:tc>
          <w:tcPr>
            <w:tcW w:w="4777" w:type="pct"/>
            <w:tcMar>
              <w:top w:w="16" w:type="dxa"/>
              <w:left w:w="16" w:type="dxa"/>
              <w:right w:w="16" w:type="dxa"/>
            </w:tcMar>
            <w:vAlign w:val="center"/>
          </w:tcPr>
          <w:p w14:paraId="2B51E41D">
            <w:pPr>
              <w:spacing w:line="360" w:lineRule="auto"/>
              <w:ind w:firstLine="480" w:firstLineChars="200"/>
              <w:rPr>
                <w:sz w:val="24"/>
              </w:rPr>
            </w:pPr>
            <w:r>
              <w:rPr>
                <w:bCs/>
                <w:sz w:val="24"/>
                <w:szCs w:val="32"/>
              </w:rPr>
              <w:t>项目用地不涉及生态红线，项目区周边生态空间管控区域</w:t>
            </w:r>
            <w:r>
              <w:rPr>
                <w:sz w:val="24"/>
              </w:rPr>
              <w:t>相对位置如表</w:t>
            </w:r>
            <w:r>
              <w:rPr>
                <w:rFonts w:hint="eastAsia"/>
                <w:sz w:val="24"/>
                <w:lang w:val="en-US" w:eastAsia="zh-CN"/>
              </w:rPr>
              <w:t>1-2</w:t>
            </w:r>
            <w:r>
              <w:rPr>
                <w:sz w:val="24"/>
              </w:rPr>
              <w:t>所示。</w:t>
            </w:r>
          </w:p>
          <w:p w14:paraId="6A7745C7">
            <w:pPr>
              <w:jc w:val="center"/>
              <w:rPr>
                <w:b/>
                <w:sz w:val="24"/>
              </w:rPr>
            </w:pPr>
            <w:r>
              <w:rPr>
                <w:b/>
                <w:sz w:val="24"/>
              </w:rPr>
              <w:t>表1-</w:t>
            </w:r>
            <w:r>
              <w:rPr>
                <w:rFonts w:hint="eastAsia"/>
                <w:b/>
                <w:sz w:val="24"/>
                <w:lang w:val="en-US" w:eastAsia="zh-CN"/>
              </w:rPr>
              <w:t>2</w:t>
            </w:r>
            <w:r>
              <w:rPr>
                <w:b/>
                <w:sz w:val="24"/>
              </w:rPr>
              <w:t>项目与周边生态空间管控区域位置关系一览表</w:t>
            </w:r>
          </w:p>
          <w:tbl>
            <w:tblPr>
              <w:tblStyle w:val="29"/>
              <w:tblW w:w="497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0"/>
              <w:gridCol w:w="1135"/>
              <w:gridCol w:w="980"/>
              <w:gridCol w:w="1501"/>
              <w:gridCol w:w="3721"/>
              <w:gridCol w:w="921"/>
              <w:gridCol w:w="1061"/>
              <w:gridCol w:w="1335"/>
              <w:gridCol w:w="1259"/>
            </w:tblGrid>
            <w:tr w14:paraId="3E63D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850" w:type="dxa"/>
                  <w:vMerge w:val="restart"/>
                  <w:tcBorders>
                    <w:top w:val="single" w:color="auto" w:sz="2" w:space="0"/>
                    <w:left w:val="single" w:color="auto" w:sz="2" w:space="0"/>
                    <w:right w:val="single" w:color="auto" w:sz="2" w:space="0"/>
                  </w:tcBorders>
                  <w:vAlign w:val="center"/>
                </w:tcPr>
                <w:p w14:paraId="250FF0EA">
                  <w:pPr>
                    <w:widowControl/>
                    <w:jc w:val="center"/>
                    <w:rPr>
                      <w:b/>
                      <w:color w:val="auto"/>
                      <w:szCs w:val="21"/>
                    </w:rPr>
                  </w:pPr>
                  <w:bookmarkStart w:id="15" w:name="_Hlk35357392"/>
                  <w:r>
                    <w:rPr>
                      <w:b/>
                      <w:color w:val="auto"/>
                      <w:szCs w:val="21"/>
                    </w:rPr>
                    <w:t>名称</w:t>
                  </w:r>
                </w:p>
              </w:tc>
              <w:tc>
                <w:tcPr>
                  <w:tcW w:w="1135" w:type="dxa"/>
                  <w:vMerge w:val="restart"/>
                  <w:tcBorders>
                    <w:top w:val="single" w:color="auto" w:sz="2" w:space="0"/>
                    <w:left w:val="single" w:color="auto" w:sz="2" w:space="0"/>
                    <w:right w:val="single" w:color="auto" w:sz="2" w:space="0"/>
                  </w:tcBorders>
                  <w:vAlign w:val="center"/>
                </w:tcPr>
                <w:p w14:paraId="065A6496">
                  <w:pPr>
                    <w:widowControl/>
                    <w:jc w:val="center"/>
                    <w:rPr>
                      <w:b/>
                      <w:color w:val="auto"/>
                      <w:szCs w:val="21"/>
                    </w:rPr>
                  </w:pPr>
                  <w:r>
                    <w:rPr>
                      <w:b/>
                      <w:color w:val="auto"/>
                      <w:szCs w:val="21"/>
                    </w:rPr>
                    <w:t>县（市、区）</w:t>
                  </w:r>
                </w:p>
              </w:tc>
              <w:tc>
                <w:tcPr>
                  <w:tcW w:w="980" w:type="dxa"/>
                  <w:vMerge w:val="restart"/>
                  <w:tcBorders>
                    <w:top w:val="single" w:color="auto" w:sz="2" w:space="0"/>
                    <w:left w:val="single" w:color="auto" w:sz="2" w:space="0"/>
                    <w:bottom w:val="single" w:color="auto" w:sz="2" w:space="0"/>
                    <w:right w:val="single" w:color="auto" w:sz="2" w:space="0"/>
                  </w:tcBorders>
                  <w:vAlign w:val="center"/>
                </w:tcPr>
                <w:p w14:paraId="000E7DA4">
                  <w:pPr>
                    <w:widowControl/>
                    <w:jc w:val="center"/>
                    <w:rPr>
                      <w:b/>
                      <w:color w:val="auto"/>
                      <w:szCs w:val="21"/>
                    </w:rPr>
                  </w:pPr>
                  <w:r>
                    <w:rPr>
                      <w:b/>
                      <w:color w:val="auto"/>
                      <w:szCs w:val="21"/>
                    </w:rPr>
                    <w:t>主导生态功能</w:t>
                  </w:r>
                </w:p>
              </w:tc>
              <w:tc>
                <w:tcPr>
                  <w:tcW w:w="5222" w:type="dxa"/>
                  <w:gridSpan w:val="2"/>
                  <w:tcBorders>
                    <w:top w:val="single" w:color="auto" w:sz="2" w:space="0"/>
                    <w:left w:val="single" w:color="auto" w:sz="2" w:space="0"/>
                    <w:right w:val="single" w:color="auto" w:sz="4" w:space="0"/>
                  </w:tcBorders>
                  <w:vAlign w:val="center"/>
                </w:tcPr>
                <w:p w14:paraId="47CE5F44">
                  <w:pPr>
                    <w:widowControl/>
                    <w:jc w:val="center"/>
                    <w:rPr>
                      <w:b/>
                      <w:color w:val="auto"/>
                      <w:szCs w:val="21"/>
                    </w:rPr>
                  </w:pPr>
                  <w:r>
                    <w:rPr>
                      <w:b/>
                      <w:color w:val="auto"/>
                      <w:szCs w:val="21"/>
                    </w:rPr>
                    <w:t>红线区域范围</w:t>
                  </w:r>
                </w:p>
              </w:tc>
              <w:tc>
                <w:tcPr>
                  <w:tcW w:w="3317" w:type="dxa"/>
                  <w:gridSpan w:val="3"/>
                  <w:tcBorders>
                    <w:top w:val="single" w:color="auto" w:sz="2" w:space="0"/>
                    <w:left w:val="single" w:color="auto" w:sz="4" w:space="0"/>
                    <w:bottom w:val="single" w:color="auto" w:sz="2" w:space="0"/>
                    <w:right w:val="single" w:color="auto" w:sz="2" w:space="0"/>
                  </w:tcBorders>
                  <w:vAlign w:val="center"/>
                </w:tcPr>
                <w:p w14:paraId="150D3B43">
                  <w:pPr>
                    <w:jc w:val="center"/>
                    <w:rPr>
                      <w:b/>
                      <w:color w:val="auto"/>
                      <w:szCs w:val="21"/>
                    </w:rPr>
                  </w:pPr>
                  <w:r>
                    <w:rPr>
                      <w:b/>
                      <w:color w:val="auto"/>
                      <w:szCs w:val="21"/>
                    </w:rPr>
                    <w:t>面积（平方公里）</w:t>
                  </w:r>
                </w:p>
              </w:tc>
              <w:tc>
                <w:tcPr>
                  <w:tcW w:w="1258" w:type="dxa"/>
                  <w:vMerge w:val="restart"/>
                  <w:tcBorders>
                    <w:top w:val="single" w:color="auto" w:sz="2" w:space="0"/>
                    <w:left w:val="single" w:color="auto" w:sz="2" w:space="0"/>
                    <w:bottom w:val="single" w:color="auto" w:sz="2" w:space="0"/>
                    <w:right w:val="single" w:color="auto" w:sz="2" w:space="0"/>
                  </w:tcBorders>
                  <w:vAlign w:val="center"/>
                </w:tcPr>
                <w:p w14:paraId="5CC3B8C1">
                  <w:pPr>
                    <w:widowControl/>
                    <w:jc w:val="center"/>
                    <w:rPr>
                      <w:bCs/>
                      <w:color w:val="auto"/>
                      <w:szCs w:val="21"/>
                    </w:rPr>
                  </w:pPr>
                  <w:r>
                    <w:rPr>
                      <w:b/>
                      <w:color w:val="auto"/>
                      <w:szCs w:val="21"/>
                    </w:rPr>
                    <w:t>与本项目相对位置关系</w:t>
                  </w:r>
                </w:p>
              </w:tc>
            </w:tr>
            <w:tr w14:paraId="5CAA6A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6" w:hRule="atLeast"/>
                <w:jc w:val="center"/>
              </w:trPr>
              <w:tc>
                <w:tcPr>
                  <w:tcW w:w="850" w:type="dxa"/>
                  <w:vMerge w:val="continue"/>
                  <w:tcBorders>
                    <w:left w:val="single" w:color="auto" w:sz="2" w:space="0"/>
                    <w:bottom w:val="single" w:color="auto" w:sz="2" w:space="0"/>
                    <w:right w:val="single" w:color="auto" w:sz="2" w:space="0"/>
                  </w:tcBorders>
                  <w:vAlign w:val="center"/>
                </w:tcPr>
                <w:p w14:paraId="62E2498A">
                  <w:pPr>
                    <w:widowControl/>
                    <w:jc w:val="center"/>
                    <w:rPr>
                      <w:b/>
                      <w:color w:val="auto"/>
                      <w:szCs w:val="21"/>
                    </w:rPr>
                  </w:pPr>
                </w:p>
              </w:tc>
              <w:tc>
                <w:tcPr>
                  <w:tcW w:w="1135" w:type="dxa"/>
                  <w:vMerge w:val="continue"/>
                  <w:tcBorders>
                    <w:left w:val="single" w:color="auto" w:sz="2" w:space="0"/>
                    <w:bottom w:val="single" w:color="auto" w:sz="2" w:space="0"/>
                    <w:right w:val="single" w:color="auto" w:sz="2" w:space="0"/>
                  </w:tcBorders>
                  <w:vAlign w:val="center"/>
                </w:tcPr>
                <w:p w14:paraId="3A4513D0">
                  <w:pPr>
                    <w:widowControl/>
                    <w:jc w:val="center"/>
                    <w:rPr>
                      <w:b/>
                      <w:color w:val="auto"/>
                      <w:szCs w:val="21"/>
                    </w:rPr>
                  </w:pPr>
                </w:p>
              </w:tc>
              <w:tc>
                <w:tcPr>
                  <w:tcW w:w="980" w:type="dxa"/>
                  <w:vMerge w:val="continue"/>
                  <w:tcBorders>
                    <w:top w:val="single" w:color="auto" w:sz="2" w:space="0"/>
                    <w:left w:val="single" w:color="auto" w:sz="2" w:space="0"/>
                    <w:bottom w:val="single" w:color="auto" w:sz="2" w:space="0"/>
                    <w:right w:val="single" w:color="auto" w:sz="2" w:space="0"/>
                  </w:tcBorders>
                  <w:vAlign w:val="center"/>
                </w:tcPr>
                <w:p w14:paraId="2BCA3FD1">
                  <w:pPr>
                    <w:widowControl/>
                    <w:jc w:val="center"/>
                    <w:rPr>
                      <w:b/>
                      <w:color w:val="auto"/>
                      <w:szCs w:val="21"/>
                    </w:rPr>
                  </w:pPr>
                </w:p>
              </w:tc>
              <w:tc>
                <w:tcPr>
                  <w:tcW w:w="1501" w:type="dxa"/>
                  <w:tcBorders>
                    <w:top w:val="single" w:color="auto" w:sz="2" w:space="0"/>
                    <w:left w:val="single" w:color="auto" w:sz="2" w:space="0"/>
                    <w:bottom w:val="single" w:color="auto" w:sz="2" w:space="0"/>
                    <w:right w:val="single" w:color="auto" w:sz="2" w:space="0"/>
                  </w:tcBorders>
                  <w:vAlign w:val="center"/>
                </w:tcPr>
                <w:p w14:paraId="3B1A70E6">
                  <w:pPr>
                    <w:jc w:val="center"/>
                    <w:rPr>
                      <w:b/>
                      <w:color w:val="auto"/>
                      <w:szCs w:val="21"/>
                    </w:rPr>
                  </w:pPr>
                  <w:r>
                    <w:rPr>
                      <w:b/>
                      <w:color w:val="auto"/>
                      <w:szCs w:val="21"/>
                    </w:rPr>
                    <w:t>国家级生态保护红线范围</w:t>
                  </w:r>
                </w:p>
              </w:tc>
              <w:tc>
                <w:tcPr>
                  <w:tcW w:w="3721" w:type="dxa"/>
                  <w:tcBorders>
                    <w:top w:val="single" w:color="auto" w:sz="2" w:space="0"/>
                    <w:left w:val="single" w:color="auto" w:sz="2" w:space="0"/>
                    <w:bottom w:val="single" w:color="auto" w:sz="2" w:space="0"/>
                    <w:right w:val="single" w:color="auto" w:sz="4" w:space="0"/>
                  </w:tcBorders>
                  <w:vAlign w:val="center"/>
                </w:tcPr>
                <w:p w14:paraId="0FA4CFF8">
                  <w:pPr>
                    <w:jc w:val="center"/>
                    <w:rPr>
                      <w:b/>
                      <w:color w:val="auto"/>
                      <w:szCs w:val="21"/>
                    </w:rPr>
                  </w:pPr>
                  <w:r>
                    <w:rPr>
                      <w:b/>
                      <w:color w:val="auto"/>
                      <w:szCs w:val="21"/>
                    </w:rPr>
                    <w:t>生态空间管控区域范围</w:t>
                  </w:r>
                </w:p>
              </w:tc>
              <w:tc>
                <w:tcPr>
                  <w:tcW w:w="921" w:type="dxa"/>
                  <w:tcBorders>
                    <w:top w:val="single" w:color="auto" w:sz="4" w:space="0"/>
                    <w:left w:val="single" w:color="auto" w:sz="4" w:space="0"/>
                    <w:bottom w:val="single" w:color="auto" w:sz="2" w:space="0"/>
                    <w:right w:val="single" w:color="auto" w:sz="2" w:space="0"/>
                  </w:tcBorders>
                  <w:vAlign w:val="center"/>
                </w:tcPr>
                <w:p w14:paraId="0913A4D4">
                  <w:pPr>
                    <w:widowControl/>
                    <w:jc w:val="center"/>
                    <w:rPr>
                      <w:b/>
                      <w:color w:val="auto"/>
                      <w:szCs w:val="21"/>
                    </w:rPr>
                  </w:pPr>
                  <w:r>
                    <w:rPr>
                      <w:b/>
                      <w:color w:val="auto"/>
                      <w:szCs w:val="21"/>
                    </w:rPr>
                    <w:t>国家级生态保护红线面积</w:t>
                  </w:r>
                </w:p>
                <w:bookmarkEnd w:id="15"/>
              </w:tc>
              <w:tc>
                <w:tcPr>
                  <w:tcW w:w="1061" w:type="dxa"/>
                  <w:tcBorders>
                    <w:top w:val="single" w:color="auto" w:sz="4" w:space="0"/>
                    <w:left w:val="single" w:color="auto" w:sz="2" w:space="0"/>
                    <w:bottom w:val="single" w:color="auto" w:sz="2" w:space="0"/>
                    <w:right w:val="single" w:color="auto" w:sz="2" w:space="0"/>
                  </w:tcBorders>
                  <w:vAlign w:val="center"/>
                </w:tcPr>
                <w:p w14:paraId="276DCDE8">
                  <w:pPr>
                    <w:widowControl/>
                    <w:jc w:val="center"/>
                    <w:rPr>
                      <w:b/>
                      <w:color w:val="auto"/>
                      <w:szCs w:val="21"/>
                    </w:rPr>
                  </w:pPr>
                  <w:r>
                    <w:rPr>
                      <w:b/>
                      <w:color w:val="auto"/>
                      <w:szCs w:val="21"/>
                    </w:rPr>
                    <w:t>生态空间管控区域面积</w:t>
                  </w:r>
                </w:p>
              </w:tc>
              <w:tc>
                <w:tcPr>
                  <w:tcW w:w="1335" w:type="dxa"/>
                  <w:tcBorders>
                    <w:top w:val="single" w:color="auto" w:sz="4" w:space="0"/>
                    <w:left w:val="single" w:color="auto" w:sz="2" w:space="0"/>
                    <w:bottom w:val="single" w:color="auto" w:sz="2" w:space="0"/>
                    <w:right w:val="single" w:color="auto" w:sz="2" w:space="0"/>
                  </w:tcBorders>
                  <w:vAlign w:val="center"/>
                </w:tcPr>
                <w:p w14:paraId="71CC0CC7">
                  <w:pPr>
                    <w:pStyle w:val="161"/>
                    <w:rPr>
                      <w:b/>
                      <w:color w:val="auto"/>
                    </w:rPr>
                  </w:pPr>
                  <w:r>
                    <w:rPr>
                      <w:b/>
                      <w:color w:val="auto"/>
                    </w:rPr>
                    <w:t>总面积</w:t>
                  </w:r>
                </w:p>
              </w:tc>
              <w:tc>
                <w:tcPr>
                  <w:tcW w:w="1258" w:type="dxa"/>
                  <w:vMerge w:val="continue"/>
                  <w:tcBorders>
                    <w:top w:val="single" w:color="auto" w:sz="2" w:space="0"/>
                    <w:left w:val="single" w:color="auto" w:sz="2" w:space="0"/>
                    <w:bottom w:val="single" w:color="auto" w:sz="2" w:space="0"/>
                    <w:right w:val="single" w:color="auto" w:sz="2" w:space="0"/>
                  </w:tcBorders>
                  <w:vAlign w:val="center"/>
                </w:tcPr>
                <w:p w14:paraId="7BE5A841">
                  <w:pPr>
                    <w:widowControl/>
                    <w:jc w:val="center"/>
                    <w:rPr>
                      <w:bCs/>
                      <w:color w:val="auto"/>
                      <w:szCs w:val="21"/>
                    </w:rPr>
                  </w:pPr>
                </w:p>
              </w:tc>
            </w:tr>
            <w:tr w14:paraId="5D1A95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0" w:type="dxa"/>
                  <w:tcBorders>
                    <w:top w:val="single" w:color="auto" w:sz="2" w:space="0"/>
                    <w:left w:val="single" w:color="auto" w:sz="2" w:space="0"/>
                    <w:bottom w:val="single" w:color="auto" w:sz="2" w:space="0"/>
                    <w:right w:val="single" w:color="auto" w:sz="2" w:space="0"/>
                  </w:tcBorders>
                  <w:vAlign w:val="center"/>
                </w:tcPr>
                <w:p w14:paraId="0AE718A8">
                  <w:pPr>
                    <w:pStyle w:val="76"/>
                    <w:snapToGrid w:val="0"/>
                    <w:jc w:val="center"/>
                    <w:rPr>
                      <w:color w:val="auto"/>
                      <w:kern w:val="2"/>
                      <w:sz w:val="21"/>
                      <w:szCs w:val="21"/>
                    </w:rPr>
                  </w:pPr>
                  <w:r>
                    <w:rPr>
                      <w:rFonts w:eastAsia="瀹嬩綋"/>
                      <w:color w:val="auto"/>
                      <w:sz w:val="21"/>
                    </w:rPr>
                    <w:t>通榆河（连云港市区）清水通道维护区</w:t>
                  </w:r>
                </w:p>
              </w:tc>
              <w:tc>
                <w:tcPr>
                  <w:tcW w:w="1135" w:type="dxa"/>
                  <w:tcBorders>
                    <w:top w:val="single" w:color="auto" w:sz="2" w:space="0"/>
                    <w:left w:val="single" w:color="auto" w:sz="2" w:space="0"/>
                    <w:bottom w:val="single" w:color="auto" w:sz="2" w:space="0"/>
                    <w:right w:val="single" w:color="auto" w:sz="2" w:space="0"/>
                  </w:tcBorders>
                  <w:vAlign w:val="center"/>
                </w:tcPr>
                <w:p w14:paraId="0AF68990">
                  <w:pPr>
                    <w:pStyle w:val="76"/>
                    <w:snapToGrid w:val="0"/>
                    <w:jc w:val="center"/>
                    <w:rPr>
                      <w:color w:val="auto"/>
                      <w:kern w:val="2"/>
                      <w:sz w:val="21"/>
                      <w:szCs w:val="21"/>
                    </w:rPr>
                  </w:pPr>
                  <w:r>
                    <w:rPr>
                      <w:rFonts w:hint="eastAsia"/>
                      <w:color w:val="auto"/>
                      <w:kern w:val="2"/>
                      <w:sz w:val="21"/>
                      <w:szCs w:val="21"/>
                      <w:lang w:val="en-US" w:eastAsia="zh-CN"/>
                    </w:rPr>
                    <w:t>连云</w:t>
                  </w:r>
                  <w:r>
                    <w:rPr>
                      <w:color w:val="auto"/>
                      <w:kern w:val="2"/>
                      <w:sz w:val="21"/>
                      <w:szCs w:val="21"/>
                    </w:rPr>
                    <w:t>区</w:t>
                  </w:r>
                </w:p>
              </w:tc>
              <w:tc>
                <w:tcPr>
                  <w:tcW w:w="980" w:type="dxa"/>
                  <w:tcBorders>
                    <w:top w:val="single" w:color="auto" w:sz="2" w:space="0"/>
                    <w:left w:val="single" w:color="auto" w:sz="2" w:space="0"/>
                    <w:bottom w:val="single" w:color="auto" w:sz="2" w:space="0"/>
                    <w:right w:val="single" w:color="auto" w:sz="2" w:space="0"/>
                  </w:tcBorders>
                  <w:vAlign w:val="center"/>
                </w:tcPr>
                <w:p w14:paraId="066EBDC6">
                  <w:pPr>
                    <w:pStyle w:val="76"/>
                    <w:snapToGrid w:val="0"/>
                    <w:jc w:val="center"/>
                    <w:rPr>
                      <w:color w:val="auto"/>
                      <w:kern w:val="2"/>
                      <w:sz w:val="21"/>
                      <w:szCs w:val="21"/>
                    </w:rPr>
                  </w:pPr>
                  <w:r>
                    <w:rPr>
                      <w:color w:val="auto"/>
                      <w:kern w:val="2"/>
                      <w:sz w:val="21"/>
                      <w:szCs w:val="21"/>
                    </w:rPr>
                    <w:t>水源水质</w:t>
                  </w:r>
                </w:p>
                <w:p w14:paraId="515896C9">
                  <w:pPr>
                    <w:pStyle w:val="76"/>
                    <w:snapToGrid w:val="0"/>
                    <w:jc w:val="center"/>
                    <w:rPr>
                      <w:color w:val="auto"/>
                      <w:kern w:val="2"/>
                      <w:sz w:val="21"/>
                      <w:szCs w:val="21"/>
                    </w:rPr>
                  </w:pPr>
                  <w:r>
                    <w:rPr>
                      <w:color w:val="auto"/>
                      <w:kern w:val="2"/>
                      <w:sz w:val="21"/>
                      <w:szCs w:val="21"/>
                    </w:rPr>
                    <w:t>保护</w:t>
                  </w:r>
                </w:p>
              </w:tc>
              <w:tc>
                <w:tcPr>
                  <w:tcW w:w="1501" w:type="dxa"/>
                  <w:tcBorders>
                    <w:top w:val="single" w:color="auto" w:sz="2" w:space="0"/>
                    <w:left w:val="single" w:color="auto" w:sz="2" w:space="0"/>
                    <w:bottom w:val="single" w:color="auto" w:sz="2" w:space="0"/>
                    <w:right w:val="single" w:color="auto" w:sz="2" w:space="0"/>
                  </w:tcBorders>
                  <w:vAlign w:val="center"/>
                </w:tcPr>
                <w:p w14:paraId="29AAB78F">
                  <w:pPr>
                    <w:pStyle w:val="76"/>
                    <w:snapToGrid w:val="0"/>
                    <w:jc w:val="center"/>
                    <w:rPr>
                      <w:color w:val="auto"/>
                      <w:kern w:val="2"/>
                      <w:sz w:val="21"/>
                      <w:szCs w:val="21"/>
                    </w:rPr>
                  </w:pPr>
                  <w:r>
                    <w:rPr>
                      <w:color w:val="auto"/>
                      <w:kern w:val="2"/>
                      <w:sz w:val="21"/>
                      <w:szCs w:val="21"/>
                    </w:rPr>
                    <w:t>/</w:t>
                  </w:r>
                </w:p>
              </w:tc>
              <w:tc>
                <w:tcPr>
                  <w:tcW w:w="3721" w:type="dxa"/>
                  <w:tcBorders>
                    <w:top w:val="single" w:color="auto" w:sz="2" w:space="0"/>
                    <w:left w:val="single" w:color="auto" w:sz="2" w:space="0"/>
                    <w:bottom w:val="single" w:color="auto" w:sz="2" w:space="0"/>
                    <w:right w:val="single" w:color="auto" w:sz="2" w:space="0"/>
                  </w:tcBorders>
                  <w:vAlign w:val="center"/>
                </w:tcPr>
                <w:p w14:paraId="6F575DBA">
                  <w:pPr>
                    <w:jc w:val="left"/>
                    <w:rPr>
                      <w:color w:val="000000" w:themeColor="text1"/>
                      <w:szCs w:val="21"/>
                      <w14:textFill>
                        <w14:solidFill>
                          <w14:schemeClr w14:val="tx1"/>
                        </w14:solidFill>
                      </w14:textFill>
                    </w:rPr>
                  </w:pPr>
                  <w:r>
                    <w:rPr>
                      <w:color w:val="000000" w:themeColor="text1"/>
                      <w14:textFill>
                        <w14:solidFill>
                          <w14:schemeClr w14:val="tx1"/>
                        </w14:solidFill>
                      </w14:textFill>
                    </w:rPr>
                    <w:t>海州区锦屏段生态空间管控区域范围为（东至西盐河，南至锦屏镇李圩村屠庄组，西至</w:t>
                  </w:r>
                  <w:r>
                    <w:rPr>
                      <w:rFonts w:eastAsia="TimesNewRomanPSMT"/>
                      <w:color w:val="000000" w:themeColor="text1"/>
                      <w14:textFill>
                        <w14:solidFill>
                          <w14:schemeClr w14:val="tx1"/>
                        </w14:solidFill>
                      </w14:textFill>
                    </w:rPr>
                    <w:t>G15</w:t>
                  </w:r>
                  <w:r>
                    <w:rPr>
                      <w:color w:val="000000" w:themeColor="text1"/>
                      <w14:textFill>
                        <w14:solidFill>
                          <w14:schemeClr w14:val="tx1"/>
                        </w14:solidFill>
                      </w14:textFill>
                    </w:rPr>
                    <w:t>高速锦屏枢纽、蔷薇湖，北至新坝西路、</w:t>
                  </w:r>
                  <w:r>
                    <w:rPr>
                      <w:rFonts w:eastAsia="TimesNewRomanPSMT"/>
                      <w:color w:val="000000" w:themeColor="text1"/>
                      <w14:textFill>
                        <w14:solidFill>
                          <w14:schemeClr w14:val="tx1"/>
                        </w14:solidFill>
                      </w14:textFill>
                    </w:rPr>
                    <w:t>204</w:t>
                  </w:r>
                  <w:r>
                    <w:rPr>
                      <w:color w:val="000000" w:themeColor="text1"/>
                      <w14:textFill>
                        <w14:solidFill>
                          <w14:schemeClr w14:val="tx1"/>
                        </w14:solidFill>
                      </w14:textFill>
                    </w:rPr>
                    <w:t>国道、</w:t>
                  </w:r>
                  <w:r>
                    <w:rPr>
                      <w:rFonts w:eastAsia="TimesNewRomanPSMT"/>
                      <w:color w:val="000000" w:themeColor="text1"/>
                      <w14:textFill>
                        <w14:solidFill>
                          <w14:schemeClr w14:val="tx1"/>
                        </w14:solidFill>
                      </w14:textFill>
                    </w:rPr>
                    <w:t>G30</w:t>
                  </w:r>
                  <w:r>
                    <w:rPr>
                      <w:color w:val="000000" w:themeColor="text1"/>
                      <w14:textFill>
                        <w14:solidFill>
                          <w14:schemeClr w14:val="tx1"/>
                        </w14:solidFill>
                      </w14:textFill>
                    </w:rPr>
                    <w:t>高速公路）陆域水域，海州浦南段（新浦工业园）通榆河西岸生态空间管控区域范围为（东至通榆河，南至</w:t>
                  </w:r>
                  <w:r>
                    <w:rPr>
                      <w:rFonts w:eastAsia="TimesNewRomanPSMT"/>
                      <w:color w:val="000000" w:themeColor="text1"/>
                      <w14:textFill>
                        <w14:solidFill>
                          <w14:schemeClr w14:val="tx1"/>
                        </w14:solidFill>
                      </w14:textFill>
                    </w:rPr>
                    <w:t>311</w:t>
                  </w:r>
                  <w:r>
                    <w:rPr>
                      <w:color w:val="000000" w:themeColor="text1"/>
                      <w14:textFill>
                        <w14:solidFill>
                          <w14:schemeClr w14:val="tx1"/>
                        </w14:solidFill>
                      </w14:textFill>
                    </w:rPr>
                    <w:t>国道，西至老</w:t>
                  </w:r>
                  <w:r>
                    <w:rPr>
                      <w:rFonts w:eastAsia="TimesNewRomanPSMT"/>
                      <w:color w:val="000000" w:themeColor="text1"/>
                      <w14:textFill>
                        <w14:solidFill>
                          <w14:schemeClr w14:val="tx1"/>
                        </w14:solidFill>
                      </w14:textFill>
                    </w:rPr>
                    <w:t>204</w:t>
                  </w:r>
                  <w:r>
                    <w:rPr>
                      <w:color w:val="000000" w:themeColor="text1"/>
                      <w14:textFill>
                        <w14:solidFill>
                          <w14:schemeClr w14:val="tx1"/>
                        </w14:solidFill>
                      </w14:textFill>
                    </w:rPr>
                    <w:t>国道东侧，北至鲁兰河），鲁兰河南岸与通榆河交汇处上溯生态空间管控区域范围为（东至通榆河，南至鲁兰河南侧堤脚外至国安路北侧，西至发展路东侧，北至鲁兰河）陆域水域；其他市区段生态空间管控区域为两侧各</w:t>
                  </w:r>
                  <w:r>
                    <w:rPr>
                      <w:rFonts w:eastAsia="TimesNewRomanPSMT"/>
                      <w:color w:val="000000" w:themeColor="text1"/>
                      <w14:textFill>
                        <w14:solidFill>
                          <w14:schemeClr w14:val="tx1"/>
                        </w14:solidFill>
                      </w14:textFill>
                    </w:rPr>
                    <w:t>1000</w:t>
                  </w:r>
                  <w:r>
                    <w:rPr>
                      <w:color w:val="000000" w:themeColor="text1"/>
                      <w14:textFill>
                        <w14:solidFill>
                          <w14:schemeClr w14:val="tx1"/>
                        </w14:solidFill>
                      </w14:textFill>
                    </w:rPr>
                    <w:t>米范围，淮沭新河、马河、鲁兰河（北岸）、乌龙河、新沭河（南岸）与通榆河交汇处上溯</w:t>
                  </w:r>
                  <w:r>
                    <w:rPr>
                      <w:rFonts w:eastAsia="TimesNewRomanPSMT"/>
                      <w:color w:val="000000" w:themeColor="text1"/>
                      <w14:textFill>
                        <w14:solidFill>
                          <w14:schemeClr w14:val="tx1"/>
                        </w14:solidFill>
                      </w14:textFill>
                    </w:rPr>
                    <w:t>5000</w:t>
                  </w:r>
                  <w:r>
                    <w:rPr>
                      <w:color w:val="000000" w:themeColor="text1"/>
                      <w14:textFill>
                        <w14:solidFill>
                          <w14:schemeClr w14:val="tx1"/>
                        </w14:solidFill>
                      </w14:textFill>
                    </w:rPr>
                    <w:t>米及两岸各</w:t>
                  </w:r>
                  <w:r>
                    <w:rPr>
                      <w:rFonts w:eastAsia="TimesNewRomanPSMT"/>
                      <w:color w:val="000000" w:themeColor="text1"/>
                      <w14:textFill>
                        <w14:solidFill>
                          <w14:schemeClr w14:val="tx1"/>
                        </w14:solidFill>
                      </w14:textFill>
                    </w:rPr>
                    <w:t>1000</w:t>
                  </w:r>
                  <w:r>
                    <w:rPr>
                      <w:color w:val="000000" w:themeColor="text1"/>
                      <w14:textFill>
                        <w14:solidFill>
                          <w14:schemeClr w14:val="tx1"/>
                        </w14:solidFill>
                      </w14:textFill>
                    </w:rPr>
                    <w:t>米范围内</w:t>
                  </w:r>
                </w:p>
              </w:tc>
              <w:tc>
                <w:tcPr>
                  <w:tcW w:w="921" w:type="dxa"/>
                  <w:tcBorders>
                    <w:top w:val="single" w:color="auto" w:sz="2" w:space="0"/>
                    <w:left w:val="single" w:color="auto" w:sz="2" w:space="0"/>
                    <w:bottom w:val="single" w:color="auto" w:sz="2" w:space="0"/>
                    <w:right w:val="single" w:color="auto" w:sz="2" w:space="0"/>
                  </w:tcBorders>
                  <w:vAlign w:val="center"/>
                </w:tcPr>
                <w:p w14:paraId="57406E8C">
                  <w:pPr>
                    <w:pStyle w:val="76"/>
                    <w:snapToGrid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61" w:type="dxa"/>
                  <w:tcBorders>
                    <w:top w:val="single" w:color="auto" w:sz="2" w:space="0"/>
                    <w:left w:val="single" w:color="auto" w:sz="2" w:space="0"/>
                    <w:bottom w:val="single" w:color="auto" w:sz="2" w:space="0"/>
                    <w:right w:val="single" w:color="auto" w:sz="2" w:space="0"/>
                  </w:tcBorders>
                  <w:vAlign w:val="center"/>
                </w:tcPr>
                <w:p w14:paraId="0DBB53C1">
                  <w:pPr>
                    <w:pStyle w:val="76"/>
                    <w:snapToGrid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105.25</w:t>
                  </w:r>
                </w:p>
              </w:tc>
              <w:tc>
                <w:tcPr>
                  <w:tcW w:w="1335" w:type="dxa"/>
                  <w:tcBorders>
                    <w:top w:val="single" w:color="auto" w:sz="2" w:space="0"/>
                    <w:left w:val="single" w:color="auto" w:sz="2" w:space="0"/>
                    <w:bottom w:val="single" w:color="auto" w:sz="2" w:space="0"/>
                    <w:right w:val="single" w:color="auto" w:sz="2" w:space="0"/>
                  </w:tcBorders>
                  <w:vAlign w:val="center"/>
                </w:tcPr>
                <w:p w14:paraId="3C11BCC4">
                  <w:pPr>
                    <w:pStyle w:val="76"/>
                    <w:snapToGrid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105.25</w:t>
                  </w:r>
                </w:p>
              </w:tc>
              <w:tc>
                <w:tcPr>
                  <w:tcW w:w="1258" w:type="dxa"/>
                  <w:tcBorders>
                    <w:top w:val="single" w:color="auto" w:sz="2" w:space="0"/>
                    <w:left w:val="single" w:color="auto" w:sz="2" w:space="0"/>
                    <w:bottom w:val="single" w:color="auto" w:sz="2" w:space="0"/>
                    <w:right w:val="single" w:color="auto" w:sz="2" w:space="0"/>
                  </w:tcBorders>
                  <w:vAlign w:val="center"/>
                </w:tcPr>
                <w:p w14:paraId="41239386">
                  <w:pPr>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西南</w:t>
                  </w:r>
                  <w:r>
                    <w:rPr>
                      <w:color w:val="000000" w:themeColor="text1"/>
                      <w:kern w:val="0"/>
                      <w:szCs w:val="21"/>
                      <w14:textFill>
                        <w14:solidFill>
                          <w14:schemeClr w14:val="tx1"/>
                        </w14:solidFill>
                      </w14:textFill>
                    </w:rPr>
                    <w:t>侧</w:t>
                  </w:r>
                  <w:r>
                    <w:rPr>
                      <w:rFonts w:hint="eastAsia"/>
                      <w:color w:val="000000" w:themeColor="text1"/>
                      <w:kern w:val="0"/>
                      <w:szCs w:val="21"/>
                      <w:lang w:val="en-US" w:eastAsia="zh-CN"/>
                      <w14:textFill>
                        <w14:solidFill>
                          <w14:schemeClr w14:val="tx1"/>
                        </w14:solidFill>
                      </w14:textFill>
                    </w:rPr>
                    <w:t>110</w:t>
                  </w:r>
                  <w:r>
                    <w:rPr>
                      <w:color w:val="000000" w:themeColor="text1"/>
                      <w:kern w:val="0"/>
                      <w:szCs w:val="21"/>
                      <w14:textFill>
                        <w14:solidFill>
                          <w14:schemeClr w14:val="tx1"/>
                        </w14:solidFill>
                      </w14:textFill>
                    </w:rPr>
                    <w:t>00</w:t>
                  </w:r>
                  <w:r>
                    <w:rPr>
                      <w:rFonts w:hint="eastAsia"/>
                      <w:color w:val="000000" w:themeColor="text1"/>
                      <w:kern w:val="0"/>
                      <w:szCs w:val="21"/>
                      <w14:textFill>
                        <w14:solidFill>
                          <w14:schemeClr w14:val="tx1"/>
                        </w14:solidFill>
                      </w14:textFill>
                    </w:rPr>
                    <w:t>m</w:t>
                  </w:r>
                </w:p>
              </w:tc>
            </w:tr>
            <w:tr w14:paraId="61A7C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0" w:type="dxa"/>
                  <w:tcBorders>
                    <w:top w:val="single" w:color="auto" w:sz="2" w:space="0"/>
                    <w:left w:val="single" w:color="auto" w:sz="2" w:space="0"/>
                    <w:bottom w:val="single" w:color="auto" w:sz="2" w:space="0"/>
                    <w:right w:val="single" w:color="auto" w:sz="2" w:space="0"/>
                  </w:tcBorders>
                  <w:vAlign w:val="center"/>
                </w:tcPr>
                <w:p w14:paraId="75F1F1A8">
                  <w:pPr>
                    <w:jc w:val="left"/>
                    <w:rPr>
                      <w:color w:val="auto"/>
                    </w:rPr>
                  </w:pPr>
                  <w:r>
                    <w:rPr>
                      <w:color w:val="auto"/>
                    </w:rPr>
                    <w:t>新沭河（</w:t>
                  </w:r>
                  <w:r>
                    <w:rPr>
                      <w:rFonts w:eastAsia="瀹嬩綋"/>
                      <w:color w:val="auto"/>
                      <w:sz w:val="21"/>
                    </w:rPr>
                    <w:t>连云港市区</w:t>
                  </w:r>
                  <w:r>
                    <w:rPr>
                      <w:color w:val="auto"/>
                    </w:rPr>
                    <w:t>）洪水调蓄</w:t>
                  </w:r>
                </w:p>
                <w:p w14:paraId="4030B10B">
                  <w:pPr>
                    <w:pStyle w:val="76"/>
                    <w:snapToGrid w:val="0"/>
                    <w:jc w:val="center"/>
                    <w:rPr>
                      <w:color w:val="auto"/>
                      <w:kern w:val="2"/>
                      <w:sz w:val="21"/>
                      <w:szCs w:val="21"/>
                    </w:rPr>
                  </w:pPr>
                  <w:r>
                    <w:rPr>
                      <w:color w:val="auto"/>
                      <w:sz w:val="21"/>
                    </w:rPr>
                    <w:t>区</w:t>
                  </w:r>
                </w:p>
              </w:tc>
              <w:tc>
                <w:tcPr>
                  <w:tcW w:w="1135" w:type="dxa"/>
                  <w:tcBorders>
                    <w:top w:val="single" w:color="auto" w:sz="2" w:space="0"/>
                    <w:left w:val="single" w:color="auto" w:sz="2" w:space="0"/>
                    <w:bottom w:val="single" w:color="auto" w:sz="2" w:space="0"/>
                    <w:right w:val="single" w:color="auto" w:sz="2" w:space="0"/>
                  </w:tcBorders>
                  <w:vAlign w:val="center"/>
                </w:tcPr>
                <w:p w14:paraId="0EE97409">
                  <w:pPr>
                    <w:pStyle w:val="76"/>
                    <w:snapToGrid w:val="0"/>
                    <w:jc w:val="center"/>
                    <w:rPr>
                      <w:color w:val="auto"/>
                      <w:kern w:val="2"/>
                      <w:sz w:val="21"/>
                      <w:szCs w:val="21"/>
                    </w:rPr>
                  </w:pPr>
                  <w:r>
                    <w:rPr>
                      <w:rFonts w:hint="eastAsia"/>
                      <w:color w:val="auto"/>
                      <w:kern w:val="2"/>
                      <w:sz w:val="21"/>
                      <w:szCs w:val="21"/>
                      <w:lang w:val="en-US" w:eastAsia="zh-CN"/>
                    </w:rPr>
                    <w:t>连云</w:t>
                  </w:r>
                  <w:r>
                    <w:rPr>
                      <w:color w:val="auto"/>
                      <w:kern w:val="2"/>
                      <w:sz w:val="21"/>
                      <w:szCs w:val="21"/>
                    </w:rPr>
                    <w:t>区</w:t>
                  </w:r>
                </w:p>
              </w:tc>
              <w:tc>
                <w:tcPr>
                  <w:tcW w:w="980" w:type="dxa"/>
                  <w:tcBorders>
                    <w:top w:val="single" w:color="auto" w:sz="2" w:space="0"/>
                    <w:left w:val="single" w:color="auto" w:sz="2" w:space="0"/>
                    <w:bottom w:val="single" w:color="auto" w:sz="2" w:space="0"/>
                    <w:right w:val="single" w:color="auto" w:sz="2" w:space="0"/>
                  </w:tcBorders>
                  <w:vAlign w:val="center"/>
                </w:tcPr>
                <w:p w14:paraId="505A2801">
                  <w:pPr>
                    <w:pStyle w:val="76"/>
                    <w:snapToGrid w:val="0"/>
                    <w:jc w:val="center"/>
                    <w:rPr>
                      <w:color w:val="auto"/>
                      <w:kern w:val="2"/>
                      <w:sz w:val="21"/>
                      <w:szCs w:val="21"/>
                    </w:rPr>
                  </w:pPr>
                  <w:r>
                    <w:rPr>
                      <w:color w:val="auto"/>
                      <w:sz w:val="21"/>
                    </w:rPr>
                    <w:t>洪水调蓄</w:t>
                  </w:r>
                </w:p>
              </w:tc>
              <w:tc>
                <w:tcPr>
                  <w:tcW w:w="1501" w:type="dxa"/>
                  <w:tcBorders>
                    <w:top w:val="single" w:color="auto" w:sz="2" w:space="0"/>
                    <w:left w:val="single" w:color="auto" w:sz="2" w:space="0"/>
                    <w:bottom w:val="single" w:color="auto" w:sz="2" w:space="0"/>
                    <w:right w:val="single" w:color="auto" w:sz="2" w:space="0"/>
                  </w:tcBorders>
                  <w:vAlign w:val="center"/>
                </w:tcPr>
                <w:p w14:paraId="07ED2741">
                  <w:pPr>
                    <w:pStyle w:val="76"/>
                    <w:snapToGrid w:val="0"/>
                    <w:jc w:val="center"/>
                    <w:rPr>
                      <w:color w:val="auto"/>
                      <w:kern w:val="2"/>
                      <w:sz w:val="21"/>
                      <w:szCs w:val="21"/>
                    </w:rPr>
                  </w:pPr>
                  <w:r>
                    <w:rPr>
                      <w:color w:val="auto"/>
                      <w:kern w:val="2"/>
                      <w:sz w:val="21"/>
                      <w:szCs w:val="21"/>
                    </w:rPr>
                    <w:t>/</w:t>
                  </w:r>
                </w:p>
              </w:tc>
              <w:tc>
                <w:tcPr>
                  <w:tcW w:w="3721" w:type="dxa"/>
                  <w:tcBorders>
                    <w:top w:val="single" w:color="auto" w:sz="2" w:space="0"/>
                    <w:left w:val="single" w:color="auto" w:sz="2" w:space="0"/>
                    <w:bottom w:val="single" w:color="auto" w:sz="2" w:space="0"/>
                    <w:right w:val="single" w:color="auto" w:sz="2" w:space="0"/>
                  </w:tcBorders>
                  <w:vAlign w:val="center"/>
                </w:tcPr>
                <w:p w14:paraId="583414AB">
                  <w:pPr>
                    <w:jc w:val="left"/>
                    <w:rPr>
                      <w:color w:val="auto"/>
                      <w:szCs w:val="21"/>
                    </w:rPr>
                  </w:pPr>
                  <w:r>
                    <w:rPr>
                      <w:rFonts w:hint="eastAsia"/>
                      <w:color w:val="auto"/>
                    </w:rPr>
                    <w:t>连云港市区内新沭河（东海与市区交界线－临洪河）河道及河道与右岸堤脚内范围，长度17.6公里</w:t>
                  </w:r>
                </w:p>
              </w:tc>
              <w:tc>
                <w:tcPr>
                  <w:tcW w:w="921" w:type="dxa"/>
                  <w:tcBorders>
                    <w:top w:val="single" w:color="auto" w:sz="2" w:space="0"/>
                    <w:left w:val="single" w:color="auto" w:sz="2" w:space="0"/>
                    <w:bottom w:val="single" w:color="auto" w:sz="2" w:space="0"/>
                    <w:right w:val="single" w:color="auto" w:sz="2" w:space="0"/>
                  </w:tcBorders>
                  <w:vAlign w:val="center"/>
                </w:tcPr>
                <w:p w14:paraId="32F1814E">
                  <w:pPr>
                    <w:pStyle w:val="76"/>
                    <w:snapToGrid w:val="0"/>
                    <w:jc w:val="center"/>
                    <w:rPr>
                      <w:color w:val="auto"/>
                      <w:kern w:val="2"/>
                      <w:sz w:val="21"/>
                      <w:szCs w:val="21"/>
                    </w:rPr>
                  </w:pPr>
                  <w:r>
                    <w:rPr>
                      <w:color w:val="auto"/>
                      <w:kern w:val="2"/>
                      <w:sz w:val="21"/>
                      <w:szCs w:val="21"/>
                    </w:rPr>
                    <w:t>/</w:t>
                  </w:r>
                </w:p>
              </w:tc>
              <w:tc>
                <w:tcPr>
                  <w:tcW w:w="1061" w:type="dxa"/>
                  <w:tcBorders>
                    <w:top w:val="single" w:color="auto" w:sz="2" w:space="0"/>
                    <w:left w:val="single" w:color="auto" w:sz="2" w:space="0"/>
                    <w:bottom w:val="single" w:color="auto" w:sz="2" w:space="0"/>
                    <w:right w:val="single" w:color="auto" w:sz="2" w:space="0"/>
                  </w:tcBorders>
                  <w:vAlign w:val="center"/>
                </w:tcPr>
                <w:p w14:paraId="29E3B4FF">
                  <w:pPr>
                    <w:pStyle w:val="76"/>
                    <w:snapToGrid w:val="0"/>
                    <w:jc w:val="center"/>
                    <w:rPr>
                      <w:rFonts w:hint="default" w:eastAsia="宋体"/>
                      <w:color w:val="auto"/>
                      <w:kern w:val="2"/>
                      <w:sz w:val="21"/>
                      <w:szCs w:val="21"/>
                      <w:lang w:val="en-US" w:eastAsia="zh-CN"/>
                    </w:rPr>
                  </w:pPr>
                  <w:r>
                    <w:rPr>
                      <w:rFonts w:hint="eastAsia"/>
                      <w:color w:val="auto"/>
                      <w:kern w:val="2"/>
                      <w:sz w:val="21"/>
                      <w:szCs w:val="21"/>
                      <w:lang w:val="en-US" w:eastAsia="zh-CN"/>
                    </w:rPr>
                    <w:t>8.00</w:t>
                  </w:r>
                </w:p>
              </w:tc>
              <w:tc>
                <w:tcPr>
                  <w:tcW w:w="1335" w:type="dxa"/>
                  <w:tcBorders>
                    <w:top w:val="single" w:color="auto" w:sz="2" w:space="0"/>
                    <w:left w:val="single" w:color="auto" w:sz="2" w:space="0"/>
                    <w:bottom w:val="single" w:color="auto" w:sz="2" w:space="0"/>
                    <w:right w:val="single" w:color="auto" w:sz="2" w:space="0"/>
                  </w:tcBorders>
                  <w:vAlign w:val="center"/>
                </w:tcPr>
                <w:p w14:paraId="207585E4">
                  <w:pPr>
                    <w:pStyle w:val="76"/>
                    <w:snapToGrid w:val="0"/>
                    <w:jc w:val="center"/>
                    <w:rPr>
                      <w:rFonts w:hint="default" w:eastAsia="宋体"/>
                      <w:color w:val="auto"/>
                      <w:kern w:val="2"/>
                      <w:sz w:val="21"/>
                      <w:szCs w:val="21"/>
                      <w:lang w:val="en-US" w:eastAsia="zh-CN"/>
                    </w:rPr>
                  </w:pPr>
                  <w:r>
                    <w:rPr>
                      <w:rFonts w:hint="eastAsia"/>
                      <w:color w:val="auto"/>
                      <w:kern w:val="2"/>
                      <w:sz w:val="21"/>
                      <w:szCs w:val="21"/>
                      <w:lang w:val="en-US" w:eastAsia="zh-CN"/>
                    </w:rPr>
                    <w:t>8.00</w:t>
                  </w:r>
                </w:p>
              </w:tc>
              <w:tc>
                <w:tcPr>
                  <w:tcW w:w="1258" w:type="dxa"/>
                  <w:tcBorders>
                    <w:top w:val="single" w:color="auto" w:sz="2" w:space="0"/>
                    <w:left w:val="single" w:color="auto" w:sz="2" w:space="0"/>
                    <w:bottom w:val="single" w:color="auto" w:sz="2" w:space="0"/>
                    <w:right w:val="single" w:color="auto" w:sz="2" w:space="0"/>
                  </w:tcBorders>
                  <w:vAlign w:val="center"/>
                </w:tcPr>
                <w:p w14:paraId="16F08ECA">
                  <w:pPr>
                    <w:adjustRightInd w:val="0"/>
                    <w:snapToGrid w:val="0"/>
                    <w:jc w:val="center"/>
                    <w:rPr>
                      <w:color w:val="auto"/>
                      <w:szCs w:val="21"/>
                    </w:rPr>
                  </w:pPr>
                  <w:r>
                    <w:rPr>
                      <w:rFonts w:hint="eastAsia"/>
                      <w:color w:val="auto"/>
                      <w:kern w:val="0"/>
                      <w:szCs w:val="21"/>
                      <w:lang w:val="en-US" w:eastAsia="zh-CN"/>
                    </w:rPr>
                    <w:t>西南</w:t>
                  </w:r>
                  <w:r>
                    <w:rPr>
                      <w:color w:val="auto"/>
                      <w:kern w:val="0"/>
                      <w:szCs w:val="21"/>
                    </w:rPr>
                    <w:t>侧</w:t>
                  </w:r>
                  <w:r>
                    <w:rPr>
                      <w:rFonts w:hint="eastAsia"/>
                      <w:color w:val="auto"/>
                      <w:kern w:val="0"/>
                      <w:szCs w:val="21"/>
                      <w:lang w:val="en-US" w:eastAsia="zh-CN"/>
                    </w:rPr>
                    <w:t>9</w:t>
                  </w:r>
                  <w:r>
                    <w:rPr>
                      <w:color w:val="auto"/>
                      <w:kern w:val="0"/>
                      <w:szCs w:val="21"/>
                    </w:rPr>
                    <w:t>000</w:t>
                  </w:r>
                  <w:r>
                    <w:rPr>
                      <w:rFonts w:hint="eastAsia"/>
                      <w:color w:val="auto"/>
                      <w:kern w:val="0"/>
                      <w:szCs w:val="21"/>
                    </w:rPr>
                    <w:t>m</w:t>
                  </w:r>
                </w:p>
              </w:tc>
            </w:tr>
          </w:tbl>
          <w:p w14:paraId="36EB1C4E">
            <w:pPr>
              <w:spacing w:line="360" w:lineRule="auto"/>
              <w:ind w:firstLine="482" w:firstLineChars="200"/>
              <w:rPr>
                <w:b/>
                <w:bCs/>
                <w:sz w:val="24"/>
              </w:rPr>
            </w:pPr>
          </w:p>
        </w:tc>
      </w:tr>
    </w:tbl>
    <w:p w14:paraId="5788EFD6">
      <w:pPr>
        <w:autoSpaceDE w:val="0"/>
        <w:autoSpaceDN w:val="0"/>
        <w:adjustRightInd w:val="0"/>
        <w:snapToGrid w:val="0"/>
        <w:jc w:val="center"/>
        <w:rPr>
          <w:kern w:val="0"/>
          <w:szCs w:val="21"/>
        </w:rPr>
        <w:sectPr>
          <w:pgSz w:w="16838" w:h="11906" w:orient="landscape"/>
          <w:pgMar w:top="1531" w:right="1701" w:bottom="1531" w:left="1701" w:header="851" w:footer="1077" w:gutter="0"/>
          <w:cols w:space="720" w:num="1"/>
          <w:docGrid w:linePitch="312" w:charSpace="0"/>
        </w:sectPr>
      </w:pPr>
    </w:p>
    <w:tbl>
      <w:tblPr>
        <w:tblStyle w:val="29"/>
        <w:tblW w:w="9357" w:type="dxa"/>
        <w:tblInd w:w="-26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17"/>
        <w:gridCol w:w="8940"/>
      </w:tblGrid>
      <w:tr w14:paraId="03C7A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02" w:hRule="atLeast"/>
        </w:trPr>
        <w:tc>
          <w:tcPr>
            <w:tcW w:w="417" w:type="dxa"/>
            <w:tcMar>
              <w:top w:w="16" w:type="dxa"/>
              <w:left w:w="16" w:type="dxa"/>
              <w:right w:w="16" w:type="dxa"/>
            </w:tcMar>
            <w:vAlign w:val="center"/>
          </w:tcPr>
          <w:p w14:paraId="2332285D">
            <w:pPr>
              <w:autoSpaceDE w:val="0"/>
              <w:autoSpaceDN w:val="0"/>
              <w:adjustRightInd w:val="0"/>
              <w:snapToGrid w:val="0"/>
              <w:jc w:val="center"/>
              <w:rPr>
                <w:kern w:val="0"/>
                <w:szCs w:val="21"/>
              </w:rPr>
            </w:pPr>
          </w:p>
        </w:tc>
        <w:tc>
          <w:tcPr>
            <w:tcW w:w="8940" w:type="dxa"/>
            <w:tcMar>
              <w:top w:w="16" w:type="dxa"/>
              <w:left w:w="16" w:type="dxa"/>
              <w:right w:w="16" w:type="dxa"/>
            </w:tcMar>
            <w:vAlign w:val="center"/>
          </w:tcPr>
          <w:p w14:paraId="5A1F4859">
            <w:pPr>
              <w:spacing w:line="360" w:lineRule="auto"/>
              <w:ind w:firstLine="480" w:firstLineChars="200"/>
              <w:rPr>
                <w:sz w:val="24"/>
              </w:rPr>
            </w:pPr>
            <w:r>
              <w:rPr>
                <w:sz w:val="24"/>
              </w:rPr>
              <w:t>由上表可知，项目不在国家级生态保护红线区，不在生态空间管控区域，因此，项目建设符合</w:t>
            </w:r>
            <w:r>
              <w:rPr>
                <w:spacing w:val="4"/>
                <w:sz w:val="24"/>
              </w:rPr>
              <w:t>《江苏省国家级生态保护红线规划》（苏政发〔2018〕74号</w:t>
            </w:r>
            <w:r>
              <w:rPr>
                <w:sz w:val="24"/>
              </w:rPr>
              <w:t>、</w:t>
            </w:r>
            <w:r>
              <w:rPr>
                <w:spacing w:val="4"/>
                <w:sz w:val="24"/>
              </w:rPr>
              <w:t>《江苏省生态空间管控区域规划》</w:t>
            </w:r>
            <w:r>
              <w:rPr>
                <w:sz w:val="24"/>
              </w:rPr>
              <w:t>（苏政发〔2020〕1号）</w:t>
            </w:r>
            <w:r>
              <w:rPr>
                <w:spacing w:val="4"/>
                <w:sz w:val="24"/>
              </w:rPr>
              <w:t>及</w:t>
            </w:r>
            <w:r>
              <w:rPr>
                <w:kern w:val="0"/>
                <w:sz w:val="24"/>
              </w:rPr>
              <w:t>《省政府办公厅关于印发&lt;江苏省生态空间管控区域调整管理办法&gt;的通知》（苏政办发〔2021〕3号）</w:t>
            </w:r>
            <w:r>
              <w:rPr>
                <w:sz w:val="24"/>
              </w:rPr>
              <w:t>的相关要求。</w:t>
            </w:r>
          </w:p>
          <w:p w14:paraId="3DF03ECE">
            <w:pPr>
              <w:pStyle w:val="61"/>
              <w:spacing w:before="24" w:after="24" w:line="360" w:lineRule="auto"/>
              <w:ind w:firstLine="480" w:firstLineChars="200"/>
              <w:jc w:val="both"/>
              <w:rPr>
                <w:rFonts w:ascii="Times New Roman"/>
                <w:sz w:val="24"/>
                <w:szCs w:val="24"/>
              </w:rPr>
            </w:pPr>
            <w:r>
              <w:rPr>
                <w:rFonts w:hint="eastAsia" w:hAnsi="宋体" w:cs="宋体"/>
                <w:sz w:val="24"/>
                <w:szCs w:val="24"/>
              </w:rPr>
              <w:t>②</w:t>
            </w:r>
            <w:r>
              <w:rPr>
                <w:rFonts w:ascii="Times New Roman"/>
                <w:sz w:val="24"/>
                <w:szCs w:val="24"/>
              </w:rPr>
              <w:t>环境质量底线</w:t>
            </w:r>
          </w:p>
          <w:p w14:paraId="7AEC661C">
            <w:pPr>
              <w:keepNext/>
              <w:spacing w:line="360" w:lineRule="auto"/>
              <w:ind w:firstLine="480" w:firstLineChars="200"/>
              <w:rPr>
                <w:sz w:val="24"/>
              </w:rPr>
            </w:pPr>
            <w:r>
              <w:rPr>
                <w:sz w:val="24"/>
              </w:rPr>
              <w:t>根据《关于印发连云港市环境质量底线管理办法（试行）的通知》连政办发〔2018〕38号要求，本环评对照该文件进行符合性分析，具体分析结果见表</w:t>
            </w:r>
            <w:r>
              <w:rPr>
                <w:rFonts w:hint="eastAsia"/>
                <w:sz w:val="24"/>
                <w:lang w:val="en-US" w:eastAsia="zh-CN"/>
              </w:rPr>
              <w:t>1-3</w:t>
            </w:r>
            <w:r>
              <w:rPr>
                <w:sz w:val="24"/>
              </w:rPr>
              <w:t>。</w:t>
            </w:r>
          </w:p>
          <w:p w14:paraId="01C6233A">
            <w:pPr>
              <w:keepNext/>
              <w:spacing w:line="460" w:lineRule="exact"/>
              <w:jc w:val="center"/>
              <w:rPr>
                <w:b/>
                <w:bCs/>
                <w:spacing w:val="-6"/>
                <w:kern w:val="0"/>
                <w:sz w:val="24"/>
              </w:rPr>
            </w:pPr>
            <w:r>
              <w:rPr>
                <w:b/>
                <w:bCs/>
                <w:spacing w:val="-6"/>
                <w:kern w:val="0"/>
                <w:sz w:val="24"/>
              </w:rPr>
              <w:t>表1-</w:t>
            </w:r>
            <w:r>
              <w:rPr>
                <w:rFonts w:hint="eastAsia"/>
                <w:b/>
                <w:bCs/>
                <w:spacing w:val="-6"/>
                <w:kern w:val="0"/>
                <w:sz w:val="24"/>
                <w:lang w:val="en-US" w:eastAsia="zh-CN"/>
              </w:rPr>
              <w:t>3</w:t>
            </w:r>
            <w:r>
              <w:rPr>
                <w:b/>
                <w:bCs/>
                <w:spacing w:val="-6"/>
                <w:kern w:val="0"/>
                <w:sz w:val="24"/>
              </w:rPr>
              <w:t>项目与连政办发〔2018〕38号的符合性分析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3371"/>
              <w:gridCol w:w="4096"/>
              <w:gridCol w:w="714"/>
            </w:tblGrid>
            <w:tr w14:paraId="7066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Align w:val="center"/>
                </w:tcPr>
                <w:p w14:paraId="16FB9D50">
                  <w:pPr>
                    <w:jc w:val="center"/>
                    <w:rPr>
                      <w:b/>
                      <w:szCs w:val="21"/>
                    </w:rPr>
                  </w:pPr>
                  <w:r>
                    <w:rPr>
                      <w:b/>
                      <w:szCs w:val="21"/>
                    </w:rPr>
                    <w:t>指标设置</w:t>
                  </w:r>
                </w:p>
              </w:tc>
              <w:tc>
                <w:tcPr>
                  <w:tcW w:w="3371" w:type="dxa"/>
                  <w:vAlign w:val="center"/>
                </w:tcPr>
                <w:p w14:paraId="7C302220">
                  <w:pPr>
                    <w:keepNext/>
                    <w:jc w:val="center"/>
                    <w:rPr>
                      <w:b/>
                      <w:bCs/>
                      <w:szCs w:val="21"/>
                    </w:rPr>
                  </w:pPr>
                  <w:r>
                    <w:rPr>
                      <w:b/>
                      <w:bCs/>
                      <w:szCs w:val="21"/>
                    </w:rPr>
                    <w:t>管控要求</w:t>
                  </w:r>
                </w:p>
              </w:tc>
              <w:tc>
                <w:tcPr>
                  <w:tcW w:w="4096" w:type="dxa"/>
                  <w:vAlign w:val="center"/>
                </w:tcPr>
                <w:p w14:paraId="12225173">
                  <w:pPr>
                    <w:keepNext/>
                    <w:jc w:val="center"/>
                    <w:rPr>
                      <w:b/>
                      <w:bCs/>
                      <w:szCs w:val="21"/>
                    </w:rPr>
                  </w:pPr>
                  <w:r>
                    <w:rPr>
                      <w:b/>
                      <w:bCs/>
                      <w:szCs w:val="21"/>
                    </w:rPr>
                    <w:t>项目情况</w:t>
                  </w:r>
                </w:p>
              </w:tc>
              <w:tc>
                <w:tcPr>
                  <w:tcW w:w="714" w:type="dxa"/>
                  <w:vAlign w:val="center"/>
                </w:tcPr>
                <w:p w14:paraId="3C6E6F64">
                  <w:pPr>
                    <w:keepNext/>
                    <w:jc w:val="center"/>
                    <w:rPr>
                      <w:b/>
                      <w:bCs/>
                      <w:szCs w:val="21"/>
                    </w:rPr>
                  </w:pPr>
                  <w:r>
                    <w:rPr>
                      <w:b/>
                      <w:bCs/>
                      <w:szCs w:val="21"/>
                    </w:rPr>
                    <w:t>相符性</w:t>
                  </w:r>
                </w:p>
              </w:tc>
            </w:tr>
            <w:tr w14:paraId="59D5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Align w:val="center"/>
                </w:tcPr>
                <w:p w14:paraId="7A69A771">
                  <w:pPr>
                    <w:rPr>
                      <w:szCs w:val="21"/>
                    </w:rPr>
                  </w:pPr>
                  <w:r>
                    <w:rPr>
                      <w:szCs w:val="21"/>
                    </w:rPr>
                    <w:t>大气环境质量</w:t>
                  </w:r>
                </w:p>
              </w:tc>
              <w:tc>
                <w:tcPr>
                  <w:tcW w:w="3371" w:type="dxa"/>
                  <w:vAlign w:val="center"/>
                </w:tcPr>
                <w:p w14:paraId="676599F7">
                  <w:pPr>
                    <w:keepNext/>
                    <w:rPr>
                      <w:szCs w:val="21"/>
                    </w:rPr>
                  </w:pPr>
                  <w:r>
                    <w:rPr>
                      <w:szCs w:val="21"/>
                    </w:rPr>
                    <w:t>到2030年，我市PM</w:t>
                  </w:r>
                  <w:r>
                    <w:rPr>
                      <w:szCs w:val="21"/>
                      <w:vertAlign w:val="subscript"/>
                    </w:rPr>
                    <w:t>2.5</w:t>
                  </w:r>
                  <w:r>
                    <w:rPr>
                      <w:szCs w:val="21"/>
                    </w:rPr>
                    <w:t>浓度稳定达到二级标准要求。主要污染物总量减排目标：2030年，大气环境污染物排放总量（不含船舶）SO</w:t>
                  </w:r>
                  <w:r>
                    <w:rPr>
                      <w:szCs w:val="21"/>
                      <w:vertAlign w:val="subscript"/>
                    </w:rPr>
                    <w:t>2</w:t>
                  </w:r>
                  <w:r>
                    <w:rPr>
                      <w:szCs w:val="21"/>
                    </w:rPr>
                    <w:t>控制在2.6万吨，NOx控制在4.4万吨，一次PM</w:t>
                  </w:r>
                  <w:r>
                    <w:rPr>
                      <w:szCs w:val="21"/>
                      <w:vertAlign w:val="subscript"/>
                    </w:rPr>
                    <w:t>2.5</w:t>
                  </w:r>
                  <w:r>
                    <w:rPr>
                      <w:szCs w:val="21"/>
                    </w:rPr>
                    <w:t>控制在1.6万吨，VOCs控制在6.1万吨。</w:t>
                  </w:r>
                </w:p>
              </w:tc>
              <w:tc>
                <w:tcPr>
                  <w:tcW w:w="4096" w:type="dxa"/>
                  <w:vAlign w:val="center"/>
                </w:tcPr>
                <w:p w14:paraId="67B394D8">
                  <w:pPr>
                    <w:widowControl/>
                    <w:jc w:val="left"/>
                    <w:rPr>
                      <w:rFonts w:hint="eastAsia"/>
                      <w:kern w:val="0"/>
                      <w:szCs w:val="21"/>
                      <w:lang w:bidi="ar"/>
                    </w:rPr>
                  </w:pPr>
                  <w:r>
                    <w:rPr>
                      <w:rFonts w:hint="eastAsia"/>
                      <w:kern w:val="0"/>
                      <w:szCs w:val="21"/>
                      <w:lang w:bidi="ar"/>
                    </w:rPr>
                    <w:t>根据《202</w:t>
                  </w:r>
                  <w:r>
                    <w:rPr>
                      <w:rFonts w:hint="eastAsia"/>
                      <w:kern w:val="0"/>
                      <w:szCs w:val="21"/>
                      <w:lang w:val="en-US" w:eastAsia="zh-CN" w:bidi="ar"/>
                    </w:rPr>
                    <w:t>3</w:t>
                  </w:r>
                  <w:r>
                    <w:rPr>
                      <w:rFonts w:hint="eastAsia"/>
                      <w:kern w:val="0"/>
                      <w:szCs w:val="21"/>
                      <w:lang w:bidi="ar"/>
                    </w:rPr>
                    <w:t>年度连云港市生态环境质量状</w:t>
                  </w:r>
                </w:p>
                <w:p w14:paraId="5818C07C">
                  <w:pPr>
                    <w:widowControl/>
                    <w:jc w:val="left"/>
                    <w:rPr>
                      <w:rFonts w:hint="eastAsia"/>
                      <w:kern w:val="0"/>
                      <w:szCs w:val="21"/>
                      <w:lang w:bidi="ar"/>
                    </w:rPr>
                  </w:pPr>
                  <w:r>
                    <w:rPr>
                      <w:rFonts w:hint="eastAsia"/>
                      <w:kern w:val="0"/>
                      <w:szCs w:val="21"/>
                      <w:lang w:bidi="ar"/>
                    </w:rPr>
                    <w:t>况公报》可知，市区环境空气SO</w:t>
                  </w:r>
                  <w:r>
                    <w:rPr>
                      <w:rFonts w:hint="eastAsia"/>
                      <w:kern w:val="0"/>
                      <w:szCs w:val="21"/>
                      <w:vertAlign w:val="subscript"/>
                      <w:lang w:bidi="ar"/>
                    </w:rPr>
                    <w:t>2</w:t>
                  </w:r>
                  <w:r>
                    <w:rPr>
                      <w:rFonts w:hint="eastAsia"/>
                      <w:kern w:val="0"/>
                      <w:szCs w:val="21"/>
                      <w:lang w:bidi="ar"/>
                    </w:rPr>
                    <w:t>、NO</w:t>
                  </w:r>
                  <w:r>
                    <w:rPr>
                      <w:rFonts w:hint="eastAsia"/>
                      <w:kern w:val="0"/>
                      <w:szCs w:val="21"/>
                      <w:vertAlign w:val="subscript"/>
                      <w:lang w:bidi="ar"/>
                    </w:rPr>
                    <w:t>2</w:t>
                  </w:r>
                  <w:r>
                    <w:rPr>
                      <w:rFonts w:hint="eastAsia"/>
                      <w:kern w:val="0"/>
                      <w:szCs w:val="21"/>
                      <w:lang w:bidi="ar"/>
                    </w:rPr>
                    <w:t>、</w:t>
                  </w:r>
                </w:p>
                <w:p w14:paraId="1A7B1FB8">
                  <w:pPr>
                    <w:widowControl/>
                    <w:jc w:val="left"/>
                    <w:rPr>
                      <w:szCs w:val="21"/>
                    </w:rPr>
                  </w:pPr>
                  <w:r>
                    <w:rPr>
                      <w:rFonts w:hint="eastAsia"/>
                      <w:kern w:val="0"/>
                      <w:szCs w:val="21"/>
                      <w:lang w:bidi="ar"/>
                    </w:rPr>
                    <w:t>PM</w:t>
                  </w:r>
                  <w:r>
                    <w:rPr>
                      <w:rFonts w:hint="eastAsia"/>
                      <w:kern w:val="0"/>
                      <w:szCs w:val="21"/>
                      <w:vertAlign w:val="subscript"/>
                      <w:lang w:bidi="ar"/>
                    </w:rPr>
                    <w:t>10</w:t>
                  </w:r>
                  <w:r>
                    <w:rPr>
                      <w:rFonts w:hint="eastAsia"/>
                      <w:kern w:val="0"/>
                      <w:szCs w:val="21"/>
                      <w:lang w:bidi="ar"/>
                    </w:rPr>
                    <w:t>、PM</w:t>
                  </w:r>
                  <w:r>
                    <w:rPr>
                      <w:rFonts w:hint="eastAsia"/>
                      <w:kern w:val="0"/>
                      <w:szCs w:val="21"/>
                      <w:vertAlign w:val="subscript"/>
                      <w:lang w:bidi="ar"/>
                    </w:rPr>
                    <w:t>2.5</w:t>
                  </w:r>
                  <w:r>
                    <w:rPr>
                      <w:rFonts w:hint="eastAsia"/>
                      <w:kern w:val="0"/>
                      <w:szCs w:val="21"/>
                      <w:lang w:bidi="ar"/>
                    </w:rPr>
                    <w:t>等污染物</w:t>
                  </w:r>
                  <w:r>
                    <w:rPr>
                      <w:sz w:val="21"/>
                      <w:szCs w:val="21"/>
                    </w:rPr>
                    <w:t>均满足《环境空气质量标准》（GB3095-2012）二级标准要求；一氧化碳24小时平均第95百分位数浓度满足《环境空气质量标准》（GB3095-2012）二级标准要求；臭氧日最大8小时滑动平均值的第90百分位数浓度超过《环境空气质量标准》（GB3095-2012）二级标准要求</w:t>
                  </w:r>
                  <w:r>
                    <w:rPr>
                      <w:rFonts w:hint="eastAsia"/>
                      <w:kern w:val="0"/>
                      <w:sz w:val="21"/>
                      <w:szCs w:val="21"/>
                      <w:lang w:bidi="ar"/>
                    </w:rPr>
                    <w:t>。区域环境质量较好。</w:t>
                  </w:r>
                  <w:r>
                    <w:rPr>
                      <w:kern w:val="0"/>
                      <w:sz w:val="21"/>
                      <w:szCs w:val="21"/>
                      <w:lang w:bidi="ar"/>
                    </w:rPr>
                    <w:t>本项目为新</w:t>
                  </w:r>
                  <w:r>
                    <w:rPr>
                      <w:kern w:val="0"/>
                      <w:szCs w:val="21"/>
                      <w:lang w:bidi="ar"/>
                    </w:rPr>
                    <w:t>建项目，运行期不产生废气，建成后不会超出环境质量底线。</w:t>
                  </w:r>
                </w:p>
              </w:tc>
              <w:tc>
                <w:tcPr>
                  <w:tcW w:w="714" w:type="dxa"/>
                  <w:vAlign w:val="center"/>
                </w:tcPr>
                <w:p w14:paraId="42CCFC5B">
                  <w:pPr>
                    <w:keepNext/>
                    <w:jc w:val="center"/>
                    <w:rPr>
                      <w:szCs w:val="21"/>
                    </w:rPr>
                  </w:pPr>
                  <w:r>
                    <w:rPr>
                      <w:szCs w:val="21"/>
                    </w:rPr>
                    <w:t>相符</w:t>
                  </w:r>
                </w:p>
              </w:tc>
            </w:tr>
            <w:tr w14:paraId="0B30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Align w:val="center"/>
                </w:tcPr>
                <w:p w14:paraId="4429014A">
                  <w:pPr>
                    <w:rPr>
                      <w:szCs w:val="21"/>
                    </w:rPr>
                  </w:pPr>
                  <w:r>
                    <w:rPr>
                      <w:szCs w:val="21"/>
                    </w:rPr>
                    <w:t>水环境质量</w:t>
                  </w:r>
                </w:p>
              </w:tc>
              <w:tc>
                <w:tcPr>
                  <w:tcW w:w="3371" w:type="dxa"/>
                  <w:vAlign w:val="center"/>
                </w:tcPr>
                <w:p w14:paraId="6F9C3B3F">
                  <w:pPr>
                    <w:keepNext/>
                    <w:rPr>
                      <w:szCs w:val="21"/>
                    </w:rPr>
                  </w:pPr>
                  <w:r>
                    <w:rPr>
                      <w:szCs w:val="21"/>
                    </w:rPr>
                    <w:t>到2030年，地表水省级以上考核断面水质优良（达到或优于Ⅲ类）比例达到77.3%以上，县级以上集中式饮用水水源水质达到或优于Ⅲ类比例保持100%，水生态系统功能基本恢复。2030年全市COD控制在15.61万吨，氨氮控制在1.03万吨。</w:t>
                  </w:r>
                </w:p>
              </w:tc>
              <w:tc>
                <w:tcPr>
                  <w:tcW w:w="4096" w:type="dxa"/>
                  <w:vAlign w:val="center"/>
                </w:tcPr>
                <w:p w14:paraId="5D85040C">
                  <w:pPr>
                    <w:keepNext/>
                    <w:rPr>
                      <w:rFonts w:hint="eastAsia"/>
                      <w:szCs w:val="21"/>
                    </w:rPr>
                  </w:pPr>
                  <w:r>
                    <w:rPr>
                      <w:rFonts w:hint="eastAsia"/>
                      <w:szCs w:val="21"/>
                    </w:rPr>
                    <w:t>区域内主要河流为通榆河</w:t>
                  </w:r>
                  <w:r>
                    <w:rPr>
                      <w:rFonts w:hint="eastAsia"/>
                      <w:szCs w:val="21"/>
                      <w:lang w:eastAsia="zh-CN"/>
                    </w:rPr>
                    <w:t>（</w:t>
                  </w:r>
                  <w:r>
                    <w:rPr>
                      <w:rFonts w:hint="eastAsia"/>
                      <w:szCs w:val="21"/>
                    </w:rPr>
                    <w:t>项目所在地段</w:t>
                  </w:r>
                </w:p>
                <w:p w14:paraId="4847F3AD">
                  <w:pPr>
                    <w:keepNext/>
                    <w:rPr>
                      <w:rFonts w:hint="eastAsia"/>
                      <w:szCs w:val="21"/>
                    </w:rPr>
                  </w:pPr>
                  <w:r>
                    <w:rPr>
                      <w:rFonts w:hint="eastAsia"/>
                      <w:szCs w:val="21"/>
                    </w:rPr>
                    <w:t>又名朱稽河</w:t>
                  </w:r>
                  <w:r>
                    <w:rPr>
                      <w:rFonts w:hint="eastAsia"/>
                      <w:szCs w:val="21"/>
                      <w:lang w:eastAsia="zh-CN"/>
                    </w:rPr>
                    <w:t>）</w:t>
                  </w:r>
                  <w:r>
                    <w:rPr>
                      <w:rFonts w:hint="eastAsia"/>
                      <w:szCs w:val="21"/>
                    </w:rPr>
                    <w:t>，乡干河、六兆河、中正大沟均为通榆河的附属支流。</w:t>
                  </w:r>
                </w:p>
                <w:p w14:paraId="10AA6F9D">
                  <w:pPr>
                    <w:keepNext/>
                    <w:rPr>
                      <w:szCs w:val="21"/>
                    </w:rPr>
                  </w:pPr>
                  <w:r>
                    <w:rPr>
                      <w:rFonts w:hint="eastAsia"/>
                      <w:szCs w:val="21"/>
                    </w:rPr>
                    <w:t>本项目地表水引用连云港市生态环境局2024年1月11日发布的《2023年12月连云港市地表水质量状况》中关于对通榆河</w:t>
                  </w:r>
                  <w:r>
                    <w:rPr>
                      <w:rFonts w:hint="eastAsia"/>
                      <w:szCs w:val="21"/>
                      <w:lang w:eastAsia="zh-CN"/>
                    </w:rPr>
                    <w:t>（</w:t>
                  </w:r>
                  <w:r>
                    <w:rPr>
                      <w:rFonts w:hint="eastAsia"/>
                      <w:szCs w:val="21"/>
                    </w:rPr>
                    <w:t>项目所在地段又名朱稽河</w:t>
                  </w:r>
                  <w:r>
                    <w:rPr>
                      <w:rFonts w:hint="eastAsia"/>
                      <w:szCs w:val="21"/>
                      <w:lang w:eastAsia="zh-CN"/>
                    </w:rPr>
                    <w:t>）</w:t>
                  </w:r>
                  <w:r>
                    <w:rPr>
                      <w:rFonts w:hint="eastAsia"/>
                      <w:szCs w:val="21"/>
                    </w:rPr>
                    <w:t>沭南闸断面的2023年12月的监测结果</w:t>
                  </w:r>
                  <w:r>
                    <w:rPr>
                      <w:rFonts w:hint="eastAsia"/>
                      <w:szCs w:val="21"/>
                      <w:lang w:eastAsia="zh-CN"/>
                    </w:rPr>
                    <w:t>：</w:t>
                  </w:r>
                  <w:r>
                    <w:rPr>
                      <w:rFonts w:hint="eastAsia"/>
                      <w:szCs w:val="21"/>
                      <w:lang w:val="en-US" w:eastAsia="zh-CN"/>
                    </w:rPr>
                    <w:t>2</w:t>
                  </w:r>
                  <w:r>
                    <w:rPr>
                      <w:rFonts w:hint="eastAsia"/>
                      <w:szCs w:val="21"/>
                    </w:rPr>
                    <w:t>023年12月平均水质类别为Ⅲ类水质，满足《地表水环境质量标准</w:t>
                  </w:r>
                  <w:r>
                    <w:rPr>
                      <w:rFonts w:hint="eastAsia"/>
                      <w:szCs w:val="21"/>
                      <w:lang w:eastAsia="zh-CN"/>
                    </w:rPr>
                    <w:t>（</w:t>
                  </w:r>
                  <w:r>
                    <w:rPr>
                      <w:rFonts w:hint="eastAsia"/>
                      <w:szCs w:val="21"/>
                    </w:rPr>
                    <w:t>GB3838-2002</w:t>
                  </w:r>
                  <w:r>
                    <w:rPr>
                      <w:rFonts w:hint="eastAsia"/>
                      <w:szCs w:val="21"/>
                      <w:lang w:eastAsia="zh-CN"/>
                    </w:rPr>
                    <w:t>）</w:t>
                  </w:r>
                  <w:r>
                    <w:rPr>
                      <w:rFonts w:hint="eastAsia"/>
                      <w:szCs w:val="21"/>
                    </w:rPr>
                    <w:t>》中Ⅲ类水质标准要求</w:t>
                  </w:r>
                </w:p>
              </w:tc>
              <w:tc>
                <w:tcPr>
                  <w:tcW w:w="714" w:type="dxa"/>
                  <w:vAlign w:val="center"/>
                </w:tcPr>
                <w:p w14:paraId="73CA9239">
                  <w:pPr>
                    <w:keepNext/>
                    <w:jc w:val="center"/>
                    <w:rPr>
                      <w:szCs w:val="21"/>
                    </w:rPr>
                  </w:pPr>
                  <w:r>
                    <w:rPr>
                      <w:szCs w:val="21"/>
                    </w:rPr>
                    <w:t>相符</w:t>
                  </w:r>
                </w:p>
              </w:tc>
            </w:tr>
            <w:tr w14:paraId="105B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Align w:val="center"/>
                </w:tcPr>
                <w:p w14:paraId="61A14689">
                  <w:pPr>
                    <w:rPr>
                      <w:szCs w:val="21"/>
                    </w:rPr>
                  </w:pPr>
                  <w:r>
                    <w:rPr>
                      <w:szCs w:val="21"/>
                    </w:rPr>
                    <w:t>土壤环境风险</w:t>
                  </w:r>
                </w:p>
              </w:tc>
              <w:tc>
                <w:tcPr>
                  <w:tcW w:w="3371" w:type="dxa"/>
                  <w:vAlign w:val="center"/>
                </w:tcPr>
                <w:p w14:paraId="5D9A0528">
                  <w:pPr>
                    <w:keepNext/>
                    <w:rPr>
                      <w:szCs w:val="21"/>
                    </w:rPr>
                  </w:pPr>
                  <w:r>
                    <w:rPr>
                      <w:szCs w:val="21"/>
                    </w:rPr>
                    <w:t>利用国土、农业、环保等部门的土壤环境监测调查数据，结合土壤污染状况详查，确定土壤环境风险重点管控区域和管控要求。</w:t>
                  </w:r>
                </w:p>
              </w:tc>
              <w:tc>
                <w:tcPr>
                  <w:tcW w:w="4096" w:type="dxa"/>
                  <w:vAlign w:val="center"/>
                </w:tcPr>
                <w:p w14:paraId="3F3AD279">
                  <w:pPr>
                    <w:keepNext/>
                    <w:rPr>
                      <w:szCs w:val="21"/>
                    </w:rPr>
                  </w:pPr>
                  <w:r>
                    <w:rPr>
                      <w:szCs w:val="21"/>
                    </w:rPr>
                    <w:t>本项目用地为光伏发电项目，项目不属于土壤环境风险重点管控区域。</w:t>
                  </w:r>
                </w:p>
              </w:tc>
              <w:tc>
                <w:tcPr>
                  <w:tcW w:w="714" w:type="dxa"/>
                  <w:vAlign w:val="center"/>
                </w:tcPr>
                <w:p w14:paraId="1CA197B3">
                  <w:pPr>
                    <w:keepNext/>
                    <w:jc w:val="center"/>
                    <w:rPr>
                      <w:szCs w:val="21"/>
                    </w:rPr>
                  </w:pPr>
                  <w:r>
                    <w:rPr>
                      <w:szCs w:val="21"/>
                    </w:rPr>
                    <w:t>相符</w:t>
                  </w:r>
                </w:p>
              </w:tc>
            </w:tr>
            <w:tr w14:paraId="6BB2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Align w:val="center"/>
                </w:tcPr>
                <w:p w14:paraId="4FA9DDBC">
                  <w:pPr>
                    <w:rPr>
                      <w:szCs w:val="21"/>
                    </w:rPr>
                  </w:pPr>
                  <w:r>
                    <w:rPr>
                      <w:szCs w:val="21"/>
                    </w:rPr>
                    <w:t>声环境</w:t>
                  </w:r>
                </w:p>
              </w:tc>
              <w:tc>
                <w:tcPr>
                  <w:tcW w:w="3371" w:type="dxa"/>
                  <w:vAlign w:val="center"/>
                </w:tcPr>
                <w:p w14:paraId="7E38ECFF">
                  <w:pPr>
                    <w:keepNext/>
                    <w:jc w:val="center"/>
                    <w:rPr>
                      <w:szCs w:val="21"/>
                    </w:rPr>
                  </w:pPr>
                  <w:r>
                    <w:rPr>
                      <w:szCs w:val="21"/>
                    </w:rPr>
                    <w:t>-</w:t>
                  </w:r>
                </w:p>
              </w:tc>
              <w:tc>
                <w:tcPr>
                  <w:tcW w:w="4096" w:type="dxa"/>
                  <w:vAlign w:val="center"/>
                </w:tcPr>
                <w:p w14:paraId="42CC4D40">
                  <w:pPr>
                    <w:keepNext/>
                    <w:rPr>
                      <w:szCs w:val="21"/>
                    </w:rPr>
                  </w:pPr>
                  <w:r>
                    <w:rPr>
                      <w:szCs w:val="21"/>
                    </w:rPr>
                    <w:t>根据监测结果可知，目前项目所在区域声环境质量较好，能够满足《声环境质量标准》（GB3096-2008）1类标准的要求。</w:t>
                  </w:r>
                </w:p>
              </w:tc>
              <w:tc>
                <w:tcPr>
                  <w:tcW w:w="714" w:type="dxa"/>
                  <w:vAlign w:val="center"/>
                </w:tcPr>
                <w:p w14:paraId="7D2BEEA4">
                  <w:pPr>
                    <w:keepNext/>
                    <w:jc w:val="center"/>
                    <w:rPr>
                      <w:szCs w:val="21"/>
                    </w:rPr>
                  </w:pPr>
                  <w:r>
                    <w:rPr>
                      <w:szCs w:val="21"/>
                    </w:rPr>
                    <w:t>-</w:t>
                  </w:r>
                </w:p>
              </w:tc>
            </w:tr>
          </w:tbl>
          <w:p w14:paraId="1CA27031">
            <w:pPr>
              <w:spacing w:line="360" w:lineRule="auto"/>
              <w:ind w:firstLine="600" w:firstLineChars="250"/>
              <w:rPr>
                <w:sz w:val="24"/>
              </w:rPr>
            </w:pPr>
            <w:r>
              <w:rPr>
                <w:sz w:val="24"/>
              </w:rPr>
              <w:t>综上所述，本项目建设不会改变区域环境功能区质量要求，能维持环境功能区的质量现状，符合《市政府办公室关于印发连云港市环境质量底线管理办法（试行）的通知》（连政办发〔2018〕38号）相关要求。</w:t>
            </w:r>
          </w:p>
          <w:p w14:paraId="0264EFC2">
            <w:pPr>
              <w:snapToGrid w:val="0"/>
              <w:spacing w:line="360" w:lineRule="auto"/>
              <w:ind w:firstLine="480" w:firstLineChars="200"/>
              <w:rPr>
                <w:sz w:val="24"/>
              </w:rPr>
            </w:pPr>
            <w:r>
              <w:rPr>
                <w:sz w:val="24"/>
              </w:rPr>
              <w:t>根据生态环境影响分析章节，本项目施工期、运营期产生的各污染物在采取相应的污染治理措施后能达标排放及妥善处置，污染物的排放在区域环境容量范围内，对周围环境影响较小，不会对区域环境质量底线造成冲击。因此本项目工程建设符合环境质量底线要求。</w:t>
            </w:r>
          </w:p>
          <w:p w14:paraId="1BD04E15">
            <w:pPr>
              <w:pStyle w:val="69"/>
              <w:topLinePunct/>
              <w:autoSpaceDE w:val="0"/>
              <w:autoSpaceDN w:val="0"/>
              <w:adjustRightInd w:val="0"/>
              <w:ind w:firstLine="480"/>
              <w:rPr>
                <w:kern w:val="0"/>
              </w:rPr>
            </w:pPr>
            <w:r>
              <w:rPr>
                <w:rFonts w:hint="eastAsia" w:ascii="宋体" w:hAnsi="宋体" w:cs="宋体"/>
                <w:kern w:val="0"/>
              </w:rPr>
              <w:t>③</w:t>
            </w:r>
            <w:r>
              <w:rPr>
                <w:kern w:val="0"/>
              </w:rPr>
              <w:t>资源利用上线</w:t>
            </w:r>
          </w:p>
          <w:p w14:paraId="0AAAF2E2">
            <w:pPr>
              <w:topLinePunct/>
              <w:autoSpaceDE w:val="0"/>
              <w:autoSpaceDN w:val="0"/>
              <w:adjustRightInd w:val="0"/>
              <w:spacing w:line="360" w:lineRule="auto"/>
              <w:ind w:firstLine="480" w:firstLineChars="200"/>
              <w:rPr>
                <w:rFonts w:hint="eastAsia"/>
                <w:kern w:val="0"/>
                <w:sz w:val="24"/>
              </w:rPr>
            </w:pPr>
            <w:r>
              <w:rPr>
                <w:rFonts w:hint="eastAsia"/>
                <w:kern w:val="0"/>
                <w:sz w:val="24"/>
              </w:rPr>
              <w:t>根据</w:t>
            </w:r>
            <w:r>
              <w:rPr>
                <w:kern w:val="0"/>
                <w:sz w:val="24"/>
              </w:rPr>
              <w:t>《市政府办公室关于印发连云港市资源利用上线管理办法（试行）的通知》（连政办发〔2018〕37号）</w:t>
            </w:r>
            <w:r>
              <w:rPr>
                <w:rFonts w:hint="eastAsia"/>
                <w:kern w:val="0"/>
                <w:sz w:val="24"/>
                <w:lang w:val="en-US" w:eastAsia="zh-CN"/>
              </w:rPr>
              <w:t>以及</w:t>
            </w:r>
            <w:r>
              <w:rPr>
                <w:rFonts w:hint="eastAsia"/>
                <w:kern w:val="0"/>
                <w:sz w:val="24"/>
              </w:rPr>
              <w:t>《连云港市战略环境评价报告》</w:t>
            </w:r>
            <w:r>
              <w:rPr>
                <w:rFonts w:hint="eastAsia"/>
                <w:kern w:val="0"/>
                <w:sz w:val="24"/>
                <w:lang w:eastAsia="zh-CN"/>
              </w:rPr>
              <w:t>（</w:t>
            </w:r>
            <w:r>
              <w:rPr>
                <w:rFonts w:hint="eastAsia"/>
                <w:kern w:val="0"/>
                <w:sz w:val="24"/>
              </w:rPr>
              <w:t>上报稿，2016年10月</w:t>
            </w:r>
            <w:r>
              <w:rPr>
                <w:rFonts w:hint="eastAsia"/>
                <w:kern w:val="0"/>
                <w:sz w:val="24"/>
                <w:lang w:eastAsia="zh-CN"/>
              </w:rPr>
              <w:t>）</w:t>
            </w:r>
            <w:r>
              <w:rPr>
                <w:rFonts w:hint="eastAsia"/>
                <w:kern w:val="0"/>
                <w:sz w:val="24"/>
              </w:rPr>
              <w:t>中“5.3严控资源消耗上线”内容，其明确提出了“资源消耗上限”管控内涵及指标设置要求，本</w:t>
            </w:r>
            <w:r>
              <w:rPr>
                <w:kern w:val="0"/>
                <w:sz w:val="24"/>
              </w:rPr>
              <w:t>评价</w:t>
            </w:r>
            <w:r>
              <w:rPr>
                <w:rFonts w:hint="eastAsia"/>
                <w:kern w:val="0"/>
                <w:sz w:val="24"/>
              </w:rPr>
              <w:t>对照文件进行相符性分析，具体分析结果见表1-4。</w:t>
            </w:r>
          </w:p>
          <w:p w14:paraId="468C5100">
            <w:pPr>
              <w:topLinePunct/>
              <w:autoSpaceDE w:val="0"/>
              <w:autoSpaceDN w:val="0"/>
              <w:adjustRightInd w:val="0"/>
              <w:spacing w:line="360" w:lineRule="auto"/>
              <w:jc w:val="center"/>
              <w:rPr>
                <w:b/>
                <w:bCs/>
                <w:kern w:val="0"/>
                <w:sz w:val="24"/>
              </w:rPr>
            </w:pPr>
            <w:r>
              <w:rPr>
                <w:rFonts w:hint="eastAsia"/>
                <w:b/>
                <w:bCs/>
                <w:kern w:val="0"/>
                <w:sz w:val="24"/>
              </w:rPr>
              <w:t>表1-4与当地资源消耗上限符合性分析表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4489"/>
              <w:gridCol w:w="2210"/>
              <w:gridCol w:w="955"/>
            </w:tblGrid>
            <w:tr w14:paraId="0B4D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4" w:type="dxa"/>
                  <w:vAlign w:val="center"/>
                </w:tcPr>
                <w:p w14:paraId="5800E1A9">
                  <w:pPr>
                    <w:pStyle w:val="61"/>
                    <w:spacing w:before="24" w:after="24"/>
                    <w:jc w:val="center"/>
                    <w:rPr>
                      <w:rFonts w:ascii="Times New Roman"/>
                      <w:b/>
                      <w:bCs/>
                      <w:szCs w:val="21"/>
                    </w:rPr>
                  </w:pPr>
                  <w:r>
                    <w:rPr>
                      <w:rFonts w:ascii="Times New Roman"/>
                      <w:b/>
                      <w:bCs/>
                      <w:szCs w:val="21"/>
                    </w:rPr>
                    <w:t>指标设置</w:t>
                  </w:r>
                </w:p>
              </w:tc>
              <w:tc>
                <w:tcPr>
                  <w:tcW w:w="4489" w:type="dxa"/>
                  <w:vAlign w:val="center"/>
                </w:tcPr>
                <w:p w14:paraId="4E06E51A">
                  <w:pPr>
                    <w:pStyle w:val="61"/>
                    <w:spacing w:before="24" w:after="24"/>
                    <w:jc w:val="center"/>
                    <w:rPr>
                      <w:rFonts w:ascii="Times New Roman"/>
                      <w:b/>
                      <w:bCs/>
                      <w:szCs w:val="21"/>
                    </w:rPr>
                  </w:pPr>
                  <w:r>
                    <w:rPr>
                      <w:rFonts w:ascii="Times New Roman"/>
                      <w:b/>
                      <w:bCs/>
                      <w:szCs w:val="21"/>
                    </w:rPr>
                    <w:t>管控要求</w:t>
                  </w:r>
                </w:p>
              </w:tc>
              <w:tc>
                <w:tcPr>
                  <w:tcW w:w="2210" w:type="dxa"/>
                  <w:vAlign w:val="center"/>
                </w:tcPr>
                <w:p w14:paraId="7717B30D">
                  <w:pPr>
                    <w:pStyle w:val="61"/>
                    <w:spacing w:before="24" w:after="24"/>
                    <w:jc w:val="center"/>
                    <w:rPr>
                      <w:rFonts w:ascii="Times New Roman"/>
                      <w:b/>
                      <w:bCs/>
                      <w:szCs w:val="21"/>
                    </w:rPr>
                  </w:pPr>
                  <w:r>
                    <w:rPr>
                      <w:rFonts w:ascii="Times New Roman"/>
                      <w:b/>
                      <w:bCs/>
                      <w:szCs w:val="21"/>
                    </w:rPr>
                    <w:t>项目情况</w:t>
                  </w:r>
                </w:p>
              </w:tc>
              <w:tc>
                <w:tcPr>
                  <w:tcW w:w="955" w:type="dxa"/>
                  <w:vAlign w:val="center"/>
                </w:tcPr>
                <w:p w14:paraId="4E43D388">
                  <w:pPr>
                    <w:pStyle w:val="61"/>
                    <w:spacing w:before="24" w:after="24"/>
                    <w:jc w:val="center"/>
                    <w:rPr>
                      <w:rFonts w:ascii="Times New Roman"/>
                      <w:b/>
                      <w:bCs/>
                      <w:szCs w:val="21"/>
                    </w:rPr>
                  </w:pPr>
                  <w:r>
                    <w:rPr>
                      <w:rFonts w:ascii="Times New Roman"/>
                      <w:b/>
                      <w:bCs/>
                      <w:szCs w:val="21"/>
                    </w:rPr>
                    <w:t>相符性</w:t>
                  </w:r>
                </w:p>
              </w:tc>
            </w:tr>
            <w:tr w14:paraId="6126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8" w:type="dxa"/>
                  <w:gridSpan w:val="4"/>
                  <w:vAlign w:val="center"/>
                </w:tcPr>
                <w:p w14:paraId="49AE885C">
                  <w:pPr>
                    <w:pStyle w:val="61"/>
                    <w:spacing w:before="24" w:after="24"/>
                    <w:jc w:val="center"/>
                    <w:rPr>
                      <w:rFonts w:hint="eastAsia" w:ascii="Times New Roman"/>
                      <w:szCs w:val="21"/>
                    </w:rPr>
                  </w:pPr>
                  <w:r>
                    <w:rPr>
                      <w:rFonts w:hint="eastAsia" w:ascii="Times New Roman"/>
                      <w:szCs w:val="21"/>
                    </w:rPr>
                    <w:t>《市政府办公室关于印发连云港市资源利用上线管理办法（试行）的通知》（连政办发〔2018〕37号）</w:t>
                  </w:r>
                </w:p>
              </w:tc>
            </w:tr>
            <w:tr w14:paraId="42B2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32ACFC98">
                  <w:pPr>
                    <w:pStyle w:val="61"/>
                    <w:spacing w:before="24" w:after="24"/>
                    <w:jc w:val="center"/>
                    <w:rPr>
                      <w:rFonts w:hint="eastAsia" w:ascii="Times New Roman"/>
                      <w:szCs w:val="21"/>
                    </w:rPr>
                  </w:pPr>
                  <w:r>
                    <w:rPr>
                      <w:rFonts w:hint="eastAsia" w:ascii="Times New Roman"/>
                      <w:szCs w:val="21"/>
                    </w:rPr>
                    <w:t>水资源利</w:t>
                  </w:r>
                </w:p>
                <w:p w14:paraId="2CE9ECA2">
                  <w:pPr>
                    <w:pStyle w:val="61"/>
                    <w:spacing w:before="24" w:after="24"/>
                    <w:jc w:val="center"/>
                    <w:rPr>
                      <w:rFonts w:hint="eastAsia" w:ascii="Times New Roman"/>
                      <w:szCs w:val="21"/>
                    </w:rPr>
                  </w:pPr>
                  <w:r>
                    <w:rPr>
                      <w:rFonts w:hint="eastAsia" w:ascii="Times New Roman"/>
                      <w:szCs w:val="21"/>
                    </w:rPr>
                    <w:t>用管控要</w:t>
                  </w:r>
                </w:p>
                <w:p w14:paraId="4B60680E">
                  <w:pPr>
                    <w:pStyle w:val="61"/>
                    <w:spacing w:before="24" w:after="24"/>
                    <w:jc w:val="center"/>
                    <w:rPr>
                      <w:rFonts w:hint="eastAsia" w:ascii="Times New Roman"/>
                      <w:szCs w:val="21"/>
                    </w:rPr>
                  </w:pPr>
                  <w:r>
                    <w:rPr>
                      <w:rFonts w:hint="eastAsia" w:ascii="Times New Roman"/>
                      <w:szCs w:val="21"/>
                    </w:rPr>
                    <w:t>求</w:t>
                  </w:r>
                </w:p>
              </w:tc>
              <w:tc>
                <w:tcPr>
                  <w:tcW w:w="4489" w:type="dxa"/>
                  <w:vAlign w:val="center"/>
                </w:tcPr>
                <w:p w14:paraId="7DF6EF21">
                  <w:pPr>
                    <w:pStyle w:val="61"/>
                    <w:spacing w:before="24" w:after="24"/>
                    <w:rPr>
                      <w:rFonts w:hint="eastAsia" w:ascii="Times New Roman"/>
                      <w:szCs w:val="21"/>
                    </w:rPr>
                  </w:pPr>
                  <w:r>
                    <w:rPr>
                      <w:rFonts w:ascii="Times New Roman"/>
                      <w:szCs w:val="21"/>
                    </w:rPr>
                    <w:t>严格控制全市水资源利用总量，到2030年，全市年用水总量控制在30.23亿立方米以内，提高河流生态流量保障力度。</w:t>
                  </w:r>
                </w:p>
              </w:tc>
              <w:tc>
                <w:tcPr>
                  <w:tcW w:w="2210" w:type="dxa"/>
                  <w:vMerge w:val="restart"/>
                  <w:vAlign w:val="center"/>
                </w:tcPr>
                <w:p w14:paraId="40AADAAF">
                  <w:pPr>
                    <w:jc w:val="left"/>
                    <w:rPr>
                      <w:rFonts w:hint="eastAsia" w:ascii="Times New Roman"/>
                      <w:szCs w:val="21"/>
                    </w:rPr>
                  </w:pPr>
                  <w:r>
                    <w:rPr>
                      <w:rFonts w:eastAsia="瀹嬩綋"/>
                    </w:rPr>
                    <w:t>本项目属于生态影响类项目，施工用水采用市政管网供水，施工用电就近从附近高压线路引接，经变压器降压后引线至各施工用电点，施工期消耗水、电等资源较少；运营期将太阳能转换成电能，运营期各项基础设施用电直接使用本项目产生的电能，太阳能属于清洁可再生资源。因此，本项目符合资源利用上线要求。</w:t>
                  </w:r>
                </w:p>
              </w:tc>
              <w:tc>
                <w:tcPr>
                  <w:tcW w:w="955" w:type="dxa"/>
                  <w:vMerge w:val="restart"/>
                  <w:vAlign w:val="center"/>
                </w:tcPr>
                <w:p w14:paraId="53532DB6">
                  <w:pPr>
                    <w:jc w:val="center"/>
                    <w:rPr>
                      <w:rFonts w:hint="eastAsia" w:ascii="Times New Roman"/>
                      <w:szCs w:val="21"/>
                    </w:rPr>
                  </w:pPr>
                  <w:r>
                    <w:rPr>
                      <w:szCs w:val="21"/>
                    </w:rPr>
                    <w:t>符</w:t>
                  </w:r>
                  <w:r>
                    <w:rPr>
                      <w:rFonts w:hint="eastAsia"/>
                      <w:szCs w:val="21"/>
                      <w:lang w:val="en-US" w:eastAsia="zh-CN"/>
                    </w:rPr>
                    <w:t>合</w:t>
                  </w:r>
                </w:p>
              </w:tc>
            </w:tr>
            <w:tr w14:paraId="0CD4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22A251F3">
                  <w:pPr>
                    <w:pStyle w:val="61"/>
                    <w:spacing w:before="24" w:after="24"/>
                    <w:rPr>
                      <w:rFonts w:ascii="Times New Roman"/>
                      <w:szCs w:val="21"/>
                    </w:rPr>
                  </w:pPr>
                  <w:r>
                    <w:rPr>
                      <w:rFonts w:ascii="Times New Roman"/>
                      <w:szCs w:val="21"/>
                    </w:rPr>
                    <w:t>土地利用</w:t>
                  </w:r>
                </w:p>
                <w:p w14:paraId="3126BA71">
                  <w:pPr>
                    <w:pStyle w:val="61"/>
                    <w:spacing w:before="24" w:after="24"/>
                    <w:rPr>
                      <w:rFonts w:ascii="Times New Roman"/>
                      <w:b/>
                      <w:bCs/>
                      <w:szCs w:val="21"/>
                    </w:rPr>
                  </w:pPr>
                  <w:r>
                    <w:rPr>
                      <w:rFonts w:ascii="Times New Roman"/>
                      <w:szCs w:val="21"/>
                    </w:rPr>
                    <w:t>管控要求</w:t>
                  </w:r>
                </w:p>
              </w:tc>
              <w:tc>
                <w:tcPr>
                  <w:tcW w:w="4489" w:type="dxa"/>
                  <w:vAlign w:val="center"/>
                </w:tcPr>
                <w:p w14:paraId="35B734E6">
                  <w:pPr>
                    <w:pStyle w:val="61"/>
                    <w:spacing w:before="24" w:after="24"/>
                    <w:rPr>
                      <w:rFonts w:ascii="Times New Roman"/>
                      <w:b/>
                      <w:bCs/>
                      <w:szCs w:val="21"/>
                    </w:rPr>
                  </w:pPr>
                  <w:r>
                    <w:rPr>
                      <w:rFonts w:ascii="Times New Roman"/>
                      <w:szCs w:val="21"/>
                    </w:rPr>
                    <w:t>优化国土空间开展格局，完善土地节约利用体制，全面推进节约集约用地，控制土地开发总体强度。国家级开发区、省级开发区和市区、其他工业集中区新建工业项目平均投资强度分别不低于350万元/亩、280万元/亩、220万元/亩，项目达产后亩均产值分别不低于520万元/亩、400万元/亩、280万元/亩，亩均税收不低于3万元/亩、20万元/亩、15万元/亩。工业用地容积率不得低于1.0，特殊行业容积率不得低于0.8，化工行业用地容积率不得低于0.6，标准厂房用地容积率不得低于1.2，绿地率不得超过15%，工业用地中企业内部行政办公用生活服务设施用地面积不得超过总用地面积的7%，建筑面积不得超过总建筑面积的15%。</w:t>
                  </w:r>
                </w:p>
              </w:tc>
              <w:tc>
                <w:tcPr>
                  <w:tcW w:w="2210" w:type="dxa"/>
                  <w:vMerge w:val="continue"/>
                  <w:vAlign w:val="center"/>
                </w:tcPr>
                <w:p w14:paraId="7CE8180A">
                  <w:pPr>
                    <w:pStyle w:val="61"/>
                    <w:spacing w:before="24" w:after="24"/>
                    <w:jc w:val="center"/>
                    <w:rPr>
                      <w:rFonts w:ascii="Times New Roman"/>
                      <w:b/>
                      <w:bCs/>
                      <w:szCs w:val="21"/>
                    </w:rPr>
                  </w:pPr>
                </w:p>
              </w:tc>
              <w:tc>
                <w:tcPr>
                  <w:tcW w:w="955" w:type="dxa"/>
                  <w:vMerge w:val="continue"/>
                  <w:vAlign w:val="center"/>
                </w:tcPr>
                <w:p w14:paraId="096BB8CF">
                  <w:pPr>
                    <w:pStyle w:val="61"/>
                    <w:spacing w:before="24" w:after="24"/>
                    <w:jc w:val="center"/>
                    <w:rPr>
                      <w:rFonts w:ascii="Times New Roman"/>
                      <w:b/>
                      <w:bCs/>
                      <w:szCs w:val="21"/>
                    </w:rPr>
                  </w:pPr>
                </w:p>
              </w:tc>
            </w:tr>
            <w:tr w14:paraId="39C8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0CA87FC0">
                  <w:pPr>
                    <w:pStyle w:val="61"/>
                    <w:spacing w:before="24" w:after="24"/>
                    <w:rPr>
                      <w:rFonts w:ascii="Times New Roman"/>
                      <w:szCs w:val="21"/>
                    </w:rPr>
                  </w:pPr>
                  <w:r>
                    <w:rPr>
                      <w:rFonts w:ascii="Times New Roman"/>
                      <w:szCs w:val="21"/>
                    </w:rPr>
                    <w:t>能源消耗</w:t>
                  </w:r>
                </w:p>
                <w:p w14:paraId="0BBB826C">
                  <w:pPr>
                    <w:pStyle w:val="61"/>
                    <w:spacing w:before="24" w:after="24"/>
                    <w:rPr>
                      <w:rFonts w:ascii="Times New Roman"/>
                      <w:b/>
                      <w:bCs/>
                      <w:szCs w:val="21"/>
                    </w:rPr>
                  </w:pPr>
                  <w:r>
                    <w:rPr>
                      <w:rFonts w:ascii="Times New Roman"/>
                      <w:szCs w:val="21"/>
                    </w:rPr>
                    <w:t>管控要求</w:t>
                  </w:r>
                </w:p>
              </w:tc>
              <w:tc>
                <w:tcPr>
                  <w:tcW w:w="4489" w:type="dxa"/>
                  <w:vAlign w:val="center"/>
                </w:tcPr>
                <w:p w14:paraId="1E74465E">
                  <w:pPr>
                    <w:pStyle w:val="61"/>
                    <w:spacing w:before="24" w:after="24"/>
                    <w:rPr>
                      <w:rFonts w:ascii="Times New Roman"/>
                      <w:b/>
                      <w:bCs/>
                      <w:szCs w:val="21"/>
                    </w:rPr>
                  </w:pPr>
                  <w:r>
                    <w:rPr>
                      <w:rFonts w:ascii="Times New Roman"/>
                      <w:szCs w:val="21"/>
                    </w:rPr>
                    <w:t>加强对全市能源消耗总量和强度“双控”管理，提高清洁能源使用比例。各行业现有企业能耗严格按照相应行业国家（或省级）标准中对应的单位产品能源消耗限额执行，新建企业能耗严格按照相应行业国家（或省级）标准中对应的单位产品能源消耗准入值执行。</w:t>
                  </w:r>
                </w:p>
              </w:tc>
              <w:tc>
                <w:tcPr>
                  <w:tcW w:w="2210" w:type="dxa"/>
                  <w:vMerge w:val="continue"/>
                  <w:vAlign w:val="center"/>
                </w:tcPr>
                <w:p w14:paraId="7F019246">
                  <w:pPr>
                    <w:pStyle w:val="61"/>
                    <w:spacing w:before="24" w:after="24"/>
                    <w:jc w:val="center"/>
                    <w:rPr>
                      <w:rFonts w:ascii="Times New Roman"/>
                      <w:b/>
                      <w:bCs/>
                      <w:szCs w:val="21"/>
                    </w:rPr>
                  </w:pPr>
                </w:p>
              </w:tc>
              <w:tc>
                <w:tcPr>
                  <w:tcW w:w="955" w:type="dxa"/>
                  <w:vMerge w:val="continue"/>
                  <w:vAlign w:val="center"/>
                </w:tcPr>
                <w:p w14:paraId="2E347B04">
                  <w:pPr>
                    <w:pStyle w:val="61"/>
                    <w:spacing w:before="24" w:after="24"/>
                    <w:jc w:val="center"/>
                    <w:rPr>
                      <w:rFonts w:ascii="Times New Roman"/>
                      <w:b/>
                      <w:bCs/>
                      <w:szCs w:val="21"/>
                    </w:rPr>
                  </w:pPr>
                </w:p>
              </w:tc>
            </w:tr>
            <w:tr w14:paraId="6B0B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8" w:type="dxa"/>
                  <w:gridSpan w:val="4"/>
                  <w:vAlign w:val="center"/>
                </w:tcPr>
                <w:p w14:paraId="28120B32">
                  <w:pPr>
                    <w:pStyle w:val="61"/>
                    <w:spacing w:before="24" w:after="24"/>
                    <w:jc w:val="center"/>
                    <w:rPr>
                      <w:rFonts w:ascii="Times New Roman"/>
                      <w:b/>
                      <w:bCs/>
                      <w:szCs w:val="21"/>
                    </w:rPr>
                  </w:pPr>
                  <w:r>
                    <w:rPr>
                      <w:rFonts w:hint="eastAsia" w:ascii="Times New Roman"/>
                      <w:szCs w:val="21"/>
                    </w:rPr>
                    <w:t>《连云港市战略环境评价报告》</w:t>
                  </w:r>
                  <w:r>
                    <w:rPr>
                      <w:rFonts w:hint="eastAsia" w:ascii="Times New Roman"/>
                      <w:szCs w:val="21"/>
                      <w:lang w:eastAsia="zh-CN"/>
                    </w:rPr>
                    <w:t>（</w:t>
                  </w:r>
                  <w:r>
                    <w:rPr>
                      <w:rFonts w:hint="eastAsia" w:ascii="Times New Roman"/>
                      <w:szCs w:val="21"/>
                    </w:rPr>
                    <w:t>上报稿，2016年10月</w:t>
                  </w:r>
                  <w:r>
                    <w:rPr>
                      <w:rFonts w:hint="eastAsia" w:ascii="Times New Roman"/>
                      <w:szCs w:val="21"/>
                      <w:lang w:eastAsia="zh-CN"/>
                    </w:rPr>
                    <w:t>）</w:t>
                  </w:r>
                </w:p>
              </w:tc>
            </w:tr>
            <w:tr w14:paraId="5AAD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02907F7B">
                  <w:pPr>
                    <w:pStyle w:val="61"/>
                    <w:spacing w:before="24" w:after="24"/>
                    <w:jc w:val="center"/>
                    <w:rPr>
                      <w:rFonts w:ascii="Times New Roman"/>
                      <w:szCs w:val="21"/>
                    </w:rPr>
                  </w:pPr>
                  <w:r>
                    <w:rPr>
                      <w:rFonts w:ascii="Times New Roman"/>
                      <w:szCs w:val="21"/>
                    </w:rPr>
                    <w:t>水资源</w:t>
                  </w:r>
                  <w:r>
                    <w:rPr>
                      <w:rFonts w:hint="eastAsia" w:ascii="Times New Roman"/>
                      <w:szCs w:val="21"/>
                    </w:rPr>
                    <w:t>总量红线</w:t>
                  </w:r>
                </w:p>
              </w:tc>
              <w:tc>
                <w:tcPr>
                  <w:tcW w:w="4489" w:type="dxa"/>
                  <w:vAlign w:val="center"/>
                </w:tcPr>
                <w:p w14:paraId="308D815B">
                  <w:pPr>
                    <w:pStyle w:val="61"/>
                    <w:spacing w:before="24" w:after="24"/>
                    <w:jc w:val="center"/>
                    <w:rPr>
                      <w:rFonts w:hint="eastAsia" w:ascii="Times New Roman" w:eastAsia="宋体"/>
                      <w:szCs w:val="21"/>
                      <w:lang w:eastAsia="zh-CN"/>
                    </w:rPr>
                  </w:pPr>
                  <w:r>
                    <w:rPr>
                      <w:rFonts w:hint="eastAsia" w:ascii="Times New Roman"/>
                      <w:szCs w:val="21"/>
                    </w:rPr>
                    <w:t>以水资源配置、节约和保护为重点，强化生活、生产和生态用水需求和用水过程管理，严格控制用水总量，全面提高用水效率，加快节水型社会建设，促进水资源可持续利用和经济发展方式转变，推动经济社会发展与水资源载能力相协调</w:t>
                  </w:r>
                  <w:r>
                    <w:rPr>
                      <w:rFonts w:hint="eastAsia" w:ascii="Times New Roman"/>
                      <w:szCs w:val="21"/>
                      <w:lang w:eastAsia="zh-CN"/>
                    </w:rPr>
                    <w:t>。</w:t>
                  </w:r>
                </w:p>
              </w:tc>
              <w:tc>
                <w:tcPr>
                  <w:tcW w:w="2210" w:type="dxa"/>
                  <w:vMerge w:val="restart"/>
                  <w:vAlign w:val="center"/>
                </w:tcPr>
                <w:p w14:paraId="6B094950">
                  <w:pPr>
                    <w:pStyle w:val="61"/>
                    <w:spacing w:before="24" w:after="24"/>
                    <w:jc w:val="center"/>
                    <w:rPr>
                      <w:rFonts w:ascii="Times New Roman"/>
                      <w:szCs w:val="21"/>
                    </w:rPr>
                  </w:pPr>
                  <w:r>
                    <w:rPr>
                      <w:rFonts w:hint="eastAsia" w:eastAsia="瀹嬩綋"/>
                    </w:rPr>
                    <w:t>本项目邻近周边村庄集镇</w:t>
                  </w:r>
                  <w:r>
                    <w:rPr>
                      <w:rFonts w:hint="eastAsia" w:eastAsia="瀹嬩綋"/>
                      <w:lang w:eastAsia="zh-CN"/>
                    </w:rPr>
                    <w:t>，</w:t>
                  </w:r>
                  <w:r>
                    <w:rPr>
                      <w:rFonts w:eastAsia="瀹嬩綋"/>
                    </w:rPr>
                    <w:t>项目施工用水采用市政管网供水，施工用电就近从附近高压线路引接，经变压器降压后引线至各施工用电点，施工期消耗水、电等资源较少；运营期将太阳能转换成电能，运营期各项基础设施用电直接使用本项目产生的电能，太阳能属于清洁可再生资源。因此，本项目符合资源利用上线要求。</w:t>
                  </w:r>
                </w:p>
              </w:tc>
              <w:tc>
                <w:tcPr>
                  <w:tcW w:w="955" w:type="dxa"/>
                  <w:vMerge w:val="restart"/>
                  <w:vAlign w:val="center"/>
                </w:tcPr>
                <w:p w14:paraId="6D748566">
                  <w:pPr>
                    <w:pStyle w:val="61"/>
                    <w:spacing w:before="24" w:after="24"/>
                    <w:jc w:val="center"/>
                    <w:rPr>
                      <w:rFonts w:ascii="Times New Roman"/>
                      <w:szCs w:val="21"/>
                    </w:rPr>
                  </w:pPr>
                  <w:r>
                    <w:rPr>
                      <w:szCs w:val="21"/>
                    </w:rPr>
                    <w:t>符</w:t>
                  </w:r>
                  <w:r>
                    <w:rPr>
                      <w:rFonts w:hint="eastAsia"/>
                      <w:szCs w:val="21"/>
                      <w:lang w:val="en-US" w:eastAsia="zh-CN"/>
                    </w:rPr>
                    <w:t>合</w:t>
                  </w:r>
                </w:p>
              </w:tc>
            </w:tr>
            <w:tr w14:paraId="6710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2ADD0882">
                  <w:pPr>
                    <w:pStyle w:val="61"/>
                    <w:spacing w:before="24" w:after="24"/>
                    <w:jc w:val="center"/>
                    <w:rPr>
                      <w:rFonts w:ascii="Times New Roman"/>
                      <w:szCs w:val="21"/>
                    </w:rPr>
                  </w:pPr>
                </w:p>
              </w:tc>
              <w:tc>
                <w:tcPr>
                  <w:tcW w:w="4489" w:type="dxa"/>
                  <w:vAlign w:val="center"/>
                </w:tcPr>
                <w:p w14:paraId="5DC84ECA">
                  <w:pPr>
                    <w:pStyle w:val="61"/>
                    <w:spacing w:before="24" w:after="24"/>
                    <w:jc w:val="center"/>
                    <w:rPr>
                      <w:rFonts w:ascii="Times New Roman"/>
                      <w:szCs w:val="21"/>
                    </w:rPr>
                  </w:pPr>
                  <w:r>
                    <w:rPr>
                      <w:rFonts w:hint="eastAsia" w:ascii="Times New Roman"/>
                      <w:szCs w:val="21"/>
                    </w:rPr>
                    <w:t>严格设定地下水开采总量指标。</w:t>
                  </w:r>
                </w:p>
              </w:tc>
              <w:tc>
                <w:tcPr>
                  <w:tcW w:w="2210" w:type="dxa"/>
                  <w:vMerge w:val="continue"/>
                  <w:vAlign w:val="center"/>
                </w:tcPr>
                <w:p w14:paraId="65779DEB">
                  <w:pPr>
                    <w:pStyle w:val="61"/>
                    <w:spacing w:before="24" w:after="24"/>
                    <w:jc w:val="center"/>
                    <w:rPr>
                      <w:rFonts w:hint="eastAsia" w:eastAsia="瀹嬩綋"/>
                    </w:rPr>
                  </w:pPr>
                </w:p>
              </w:tc>
              <w:tc>
                <w:tcPr>
                  <w:tcW w:w="955" w:type="dxa"/>
                  <w:vMerge w:val="continue"/>
                  <w:vAlign w:val="center"/>
                </w:tcPr>
                <w:p w14:paraId="2C75F3FB">
                  <w:pPr>
                    <w:pStyle w:val="61"/>
                    <w:spacing w:before="24" w:after="24"/>
                    <w:jc w:val="center"/>
                    <w:rPr>
                      <w:szCs w:val="21"/>
                    </w:rPr>
                  </w:pPr>
                </w:p>
              </w:tc>
            </w:tr>
            <w:tr w14:paraId="4346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11B28D8A">
                  <w:pPr>
                    <w:pStyle w:val="61"/>
                    <w:spacing w:before="24" w:after="24"/>
                    <w:jc w:val="center"/>
                    <w:rPr>
                      <w:rFonts w:ascii="Times New Roman"/>
                      <w:szCs w:val="21"/>
                    </w:rPr>
                  </w:pPr>
                </w:p>
              </w:tc>
              <w:tc>
                <w:tcPr>
                  <w:tcW w:w="4489" w:type="dxa"/>
                  <w:vAlign w:val="center"/>
                </w:tcPr>
                <w:p w14:paraId="4AB3FFEB">
                  <w:pPr>
                    <w:pStyle w:val="61"/>
                    <w:spacing w:before="24" w:after="24"/>
                    <w:jc w:val="center"/>
                    <w:rPr>
                      <w:rFonts w:ascii="Times New Roman"/>
                      <w:szCs w:val="21"/>
                    </w:rPr>
                  </w:pPr>
                  <w:r>
                    <w:rPr>
                      <w:rFonts w:hint="eastAsia" w:ascii="Times New Roman"/>
                      <w:szCs w:val="21"/>
                    </w:rPr>
                    <w:t>2030年，全市用水总量控制在31.4亿立方米以内，万元工业增加值用水量控制在12立方米以内。</w:t>
                  </w:r>
                </w:p>
              </w:tc>
              <w:tc>
                <w:tcPr>
                  <w:tcW w:w="2210" w:type="dxa"/>
                  <w:vMerge w:val="continue"/>
                  <w:vAlign w:val="center"/>
                </w:tcPr>
                <w:p w14:paraId="783796DC">
                  <w:pPr>
                    <w:pStyle w:val="61"/>
                    <w:spacing w:before="24" w:after="24"/>
                    <w:jc w:val="center"/>
                    <w:rPr>
                      <w:rFonts w:ascii="Times New Roman"/>
                      <w:szCs w:val="21"/>
                    </w:rPr>
                  </w:pPr>
                </w:p>
              </w:tc>
              <w:tc>
                <w:tcPr>
                  <w:tcW w:w="955" w:type="dxa"/>
                  <w:vMerge w:val="continue"/>
                  <w:vAlign w:val="center"/>
                </w:tcPr>
                <w:p w14:paraId="01BBAAE4">
                  <w:pPr>
                    <w:pStyle w:val="61"/>
                    <w:spacing w:before="24" w:after="24"/>
                    <w:jc w:val="center"/>
                    <w:rPr>
                      <w:rFonts w:ascii="Times New Roman"/>
                      <w:szCs w:val="21"/>
                    </w:rPr>
                  </w:pPr>
                </w:p>
              </w:tc>
            </w:tr>
            <w:tr w14:paraId="5242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23B0AB75">
                  <w:pPr>
                    <w:pStyle w:val="61"/>
                    <w:spacing w:before="24" w:after="24"/>
                    <w:jc w:val="center"/>
                    <w:rPr>
                      <w:rFonts w:ascii="Times New Roman"/>
                      <w:szCs w:val="21"/>
                    </w:rPr>
                  </w:pPr>
                  <w:r>
                    <w:rPr>
                      <w:rFonts w:ascii="Times New Roman"/>
                      <w:szCs w:val="21"/>
                    </w:rPr>
                    <w:t>能源</w:t>
                  </w:r>
                  <w:r>
                    <w:rPr>
                      <w:rFonts w:hint="eastAsia" w:ascii="Times New Roman"/>
                      <w:szCs w:val="21"/>
                    </w:rPr>
                    <w:t>总量红线</w:t>
                  </w:r>
                </w:p>
              </w:tc>
              <w:tc>
                <w:tcPr>
                  <w:tcW w:w="4489" w:type="dxa"/>
                  <w:vAlign w:val="center"/>
                </w:tcPr>
                <w:p w14:paraId="67CC6C03">
                  <w:pPr>
                    <w:pStyle w:val="61"/>
                    <w:spacing w:before="24" w:after="24"/>
                    <w:jc w:val="center"/>
                    <w:rPr>
                      <w:rFonts w:ascii="Times New Roman"/>
                      <w:szCs w:val="21"/>
                    </w:rPr>
                  </w:pPr>
                  <w:r>
                    <w:rPr>
                      <w:rFonts w:hint="eastAsia" w:ascii="Times New Roman"/>
                      <w:szCs w:val="21"/>
                    </w:rPr>
                    <w:t>江苏省小康社会及基本现代化建设中，提出到2030年实现基本现代化，单位GDP能耗和碳排放分别控制在0.5吨标准/万元和1.2吨/万元。考虑到连云港市经济发展现状情况，以及石化基地、精品钢基地及大港口的发展战略需求，综合能源消耗总量将在较长一段时间内，保持较高的增速，因此综合能源消耗总量增速控制3.5%-5%，2030年综合能源消耗总量控制在3200万吨标准煤。</w:t>
                  </w:r>
                </w:p>
              </w:tc>
              <w:tc>
                <w:tcPr>
                  <w:tcW w:w="2210" w:type="dxa"/>
                  <w:vMerge w:val="continue"/>
                  <w:vAlign w:val="center"/>
                </w:tcPr>
                <w:p w14:paraId="364987BF">
                  <w:pPr>
                    <w:pStyle w:val="61"/>
                    <w:spacing w:before="24" w:after="24"/>
                    <w:jc w:val="center"/>
                    <w:rPr>
                      <w:rFonts w:ascii="Times New Roman"/>
                      <w:szCs w:val="21"/>
                    </w:rPr>
                  </w:pPr>
                </w:p>
              </w:tc>
              <w:tc>
                <w:tcPr>
                  <w:tcW w:w="955" w:type="dxa"/>
                  <w:vMerge w:val="continue"/>
                  <w:vAlign w:val="center"/>
                </w:tcPr>
                <w:p w14:paraId="4E8054CD">
                  <w:pPr>
                    <w:pStyle w:val="61"/>
                    <w:spacing w:before="24" w:after="24"/>
                    <w:jc w:val="center"/>
                    <w:rPr>
                      <w:rFonts w:ascii="Times New Roman"/>
                      <w:szCs w:val="21"/>
                    </w:rPr>
                  </w:pPr>
                </w:p>
              </w:tc>
            </w:tr>
          </w:tbl>
          <w:p w14:paraId="1FE61442">
            <w:pPr>
              <w:pStyle w:val="69"/>
              <w:keepLines w:val="0"/>
              <w:pageBreakBefore w:val="0"/>
              <w:widowControl w:val="0"/>
              <w:kinsoku/>
              <w:wordWrap/>
              <w:overflowPunct/>
              <w:topLinePunct/>
              <w:autoSpaceDE w:val="0"/>
              <w:autoSpaceDN w:val="0"/>
              <w:bidi w:val="0"/>
              <w:adjustRightInd w:val="0"/>
              <w:spacing w:line="360" w:lineRule="auto"/>
              <w:ind w:firstLine="480"/>
              <w:textAlignment w:val="auto"/>
              <w:rPr>
                <w:rFonts w:hint="eastAsia" w:ascii="宋体" w:hAnsi="宋体" w:eastAsia="宋体" w:cs="宋体"/>
                <w:kern w:val="0"/>
                <w:lang w:eastAsia="zh-CN"/>
              </w:rPr>
            </w:pPr>
            <w:r>
              <w:rPr>
                <w:rFonts w:hint="eastAsia" w:ascii="宋体" w:hAnsi="宋体" w:cs="宋体"/>
                <w:kern w:val="0"/>
              </w:rPr>
              <w:t>综上所述，本项目与当地资源消耗上限要求相符</w:t>
            </w:r>
            <w:r>
              <w:rPr>
                <w:rFonts w:hint="eastAsia" w:ascii="宋体" w:hAnsi="宋体" w:cs="宋体"/>
                <w:kern w:val="0"/>
                <w:lang w:eastAsia="zh-CN"/>
              </w:rPr>
              <w:t>。</w:t>
            </w:r>
          </w:p>
          <w:p w14:paraId="0E42FBE2">
            <w:pPr>
              <w:pStyle w:val="69"/>
              <w:keepLines w:val="0"/>
              <w:pageBreakBefore w:val="0"/>
              <w:widowControl w:val="0"/>
              <w:kinsoku/>
              <w:wordWrap/>
              <w:overflowPunct/>
              <w:topLinePunct/>
              <w:autoSpaceDE w:val="0"/>
              <w:autoSpaceDN w:val="0"/>
              <w:bidi w:val="0"/>
              <w:adjustRightInd w:val="0"/>
              <w:spacing w:line="360" w:lineRule="auto"/>
              <w:ind w:firstLine="480"/>
              <w:textAlignment w:val="auto"/>
              <w:rPr>
                <w:kern w:val="0"/>
              </w:rPr>
            </w:pPr>
            <w:r>
              <w:rPr>
                <w:rFonts w:hint="eastAsia" w:ascii="宋体" w:hAnsi="宋体" w:cs="宋体"/>
                <w:kern w:val="0"/>
              </w:rPr>
              <w:t>④</w:t>
            </w:r>
            <w:r>
              <w:rPr>
                <w:kern w:val="0"/>
              </w:rPr>
              <w:t>生态环境准入清单</w:t>
            </w:r>
          </w:p>
          <w:p w14:paraId="41705FCE">
            <w:pPr>
              <w:keepLines w:val="0"/>
              <w:pageBreakBefore w:val="0"/>
              <w:widowControl w:val="0"/>
              <w:kinsoku/>
              <w:wordWrap/>
              <w:overflowPunct/>
              <w:autoSpaceDE w:val="0"/>
              <w:autoSpaceDN w:val="0"/>
              <w:bidi w:val="0"/>
              <w:adjustRightInd w:val="0"/>
              <w:snapToGrid w:val="0"/>
              <w:spacing w:line="360" w:lineRule="auto"/>
              <w:ind w:firstLine="480" w:firstLineChars="200"/>
              <w:textAlignment w:val="auto"/>
              <w:rPr>
                <w:kern w:val="21"/>
                <w:sz w:val="24"/>
              </w:rPr>
            </w:pPr>
            <w:r>
              <w:rPr>
                <w:sz w:val="24"/>
                <w:szCs w:val="32"/>
              </w:rPr>
              <w:t>A、与</w:t>
            </w:r>
            <w:r>
              <w:rPr>
                <w:rFonts w:ascii="Times New Roman"/>
                <w:kern w:val="21"/>
                <w:sz w:val="24"/>
                <w:szCs w:val="21"/>
              </w:rPr>
              <w:t>《</w:t>
            </w:r>
            <w:r>
              <w:rPr>
                <w:rFonts w:hint="eastAsia" w:ascii="Times New Roman"/>
                <w:kern w:val="21"/>
                <w:sz w:val="24"/>
                <w:szCs w:val="21"/>
              </w:rPr>
              <w:t>江苏省2023年</w:t>
            </w:r>
            <w:r>
              <w:rPr>
                <w:rFonts w:hint="eastAsia" w:ascii="Times New Roman"/>
                <w:kern w:val="21"/>
                <w:sz w:val="24"/>
                <w:szCs w:val="21"/>
                <w:lang w:val="en-US" w:eastAsia="zh-CN"/>
              </w:rPr>
              <w:t>度</w:t>
            </w:r>
            <w:r>
              <w:rPr>
                <w:rFonts w:hint="eastAsia" w:ascii="Times New Roman"/>
                <w:kern w:val="21"/>
                <w:sz w:val="24"/>
                <w:szCs w:val="21"/>
              </w:rPr>
              <w:t>生态环境分区动态管控</w:t>
            </w:r>
            <w:r>
              <w:rPr>
                <w:rFonts w:hint="eastAsia" w:ascii="Times New Roman"/>
                <w:kern w:val="21"/>
                <w:sz w:val="24"/>
                <w:szCs w:val="21"/>
                <w:lang w:val="en-US" w:eastAsia="zh-CN"/>
              </w:rPr>
              <w:t>动态更新成果公告</w:t>
            </w:r>
            <w:r>
              <w:rPr>
                <w:rFonts w:ascii="Times New Roman"/>
                <w:kern w:val="21"/>
                <w:sz w:val="24"/>
                <w:szCs w:val="21"/>
              </w:rPr>
              <w:t>》</w:t>
            </w:r>
            <w:r>
              <w:rPr>
                <w:rFonts w:hint="eastAsia" w:ascii="Times New Roman"/>
                <w:kern w:val="21"/>
                <w:sz w:val="24"/>
                <w:szCs w:val="21"/>
                <w:lang w:eastAsia="zh-CN"/>
              </w:rPr>
              <w:t>、</w:t>
            </w:r>
            <w:r>
              <w:rPr>
                <w:sz w:val="24"/>
                <w:szCs w:val="32"/>
              </w:rPr>
              <w:t>《连云港市“三线一单”生态环境分区管控实施方案》及其具体管控要求相符性分析</w:t>
            </w:r>
          </w:p>
          <w:p w14:paraId="74B7867E">
            <w:pPr>
              <w:pStyle w:val="61"/>
              <w:keepLines w:val="0"/>
              <w:pageBreakBefore w:val="0"/>
              <w:widowControl w:val="0"/>
              <w:kinsoku/>
              <w:wordWrap/>
              <w:overflowPunct/>
              <w:bidi w:val="0"/>
              <w:spacing w:beforeLines="0" w:afterLines="0" w:line="360" w:lineRule="auto"/>
              <w:ind w:firstLine="480" w:firstLineChars="200"/>
              <w:jc w:val="both"/>
              <w:textAlignment w:val="auto"/>
              <w:rPr>
                <w:rFonts w:ascii="Times New Roman"/>
                <w:kern w:val="21"/>
                <w:sz w:val="24"/>
                <w:szCs w:val="21"/>
              </w:rPr>
            </w:pPr>
            <w:r>
              <w:rPr>
                <w:rFonts w:ascii="Times New Roman"/>
                <w:kern w:val="21"/>
                <w:sz w:val="24"/>
                <w:szCs w:val="21"/>
              </w:rPr>
              <w:t>根据《</w:t>
            </w:r>
            <w:r>
              <w:rPr>
                <w:rFonts w:hint="eastAsia" w:ascii="Times New Roman"/>
                <w:kern w:val="21"/>
                <w:sz w:val="24"/>
                <w:szCs w:val="21"/>
              </w:rPr>
              <w:t>江苏省2023年</w:t>
            </w:r>
            <w:r>
              <w:rPr>
                <w:rFonts w:hint="eastAsia" w:ascii="Times New Roman"/>
                <w:kern w:val="21"/>
                <w:sz w:val="24"/>
                <w:szCs w:val="21"/>
                <w:lang w:val="en-US" w:eastAsia="zh-CN"/>
              </w:rPr>
              <w:t>度</w:t>
            </w:r>
            <w:r>
              <w:rPr>
                <w:rFonts w:hint="eastAsia" w:ascii="Times New Roman"/>
                <w:kern w:val="21"/>
                <w:sz w:val="24"/>
                <w:szCs w:val="21"/>
              </w:rPr>
              <w:t>生态环境分区动态管控</w:t>
            </w:r>
            <w:r>
              <w:rPr>
                <w:rFonts w:hint="eastAsia" w:ascii="Times New Roman"/>
                <w:kern w:val="21"/>
                <w:sz w:val="24"/>
                <w:szCs w:val="21"/>
                <w:lang w:val="en-US" w:eastAsia="zh-CN"/>
              </w:rPr>
              <w:t>动态更新成果公告</w:t>
            </w:r>
            <w:r>
              <w:rPr>
                <w:rFonts w:ascii="Times New Roman"/>
                <w:kern w:val="21"/>
                <w:sz w:val="24"/>
                <w:szCs w:val="21"/>
              </w:rPr>
              <w:t>》</w:t>
            </w:r>
            <w:r>
              <w:rPr>
                <w:rFonts w:hint="eastAsia" w:ascii="Times New Roman"/>
                <w:kern w:val="21"/>
                <w:sz w:val="24"/>
                <w:szCs w:val="21"/>
                <w:lang w:eastAsia="zh-CN"/>
              </w:rPr>
              <w:t>、</w:t>
            </w:r>
            <w:r>
              <w:rPr>
                <w:rFonts w:ascii="Times New Roman"/>
                <w:kern w:val="21"/>
                <w:sz w:val="24"/>
                <w:szCs w:val="21"/>
              </w:rPr>
              <w:t>《连云港市“三线一单”生态环境分区管控实施方案》</w:t>
            </w:r>
            <w:r>
              <w:rPr>
                <w:rFonts w:hint="eastAsia" w:ascii="Times New Roman"/>
                <w:kern w:val="21"/>
                <w:sz w:val="24"/>
                <w:szCs w:val="21"/>
                <w:lang w:eastAsia="zh-CN"/>
              </w:rPr>
              <w:t>（</w:t>
            </w:r>
            <w:r>
              <w:rPr>
                <w:rFonts w:ascii="Times New Roman"/>
                <w:kern w:val="21"/>
                <w:sz w:val="24"/>
                <w:szCs w:val="21"/>
              </w:rPr>
              <w:t>连环发〔2020〕384号）及《&lt;连云港市“三线一单”生态环境分区管控实施方案&gt;具体管控要求》（连环发〔2021〕172号），项目属于连云港市</w:t>
            </w:r>
            <w:r>
              <w:rPr>
                <w:rFonts w:hint="eastAsia" w:ascii="Times New Roman"/>
                <w:kern w:val="21"/>
                <w:sz w:val="24"/>
                <w:szCs w:val="21"/>
                <w:lang w:val="en-US" w:eastAsia="zh-CN"/>
              </w:rPr>
              <w:t>重点</w:t>
            </w:r>
            <w:r>
              <w:rPr>
                <w:rFonts w:ascii="Times New Roman"/>
                <w:kern w:val="21"/>
                <w:sz w:val="24"/>
                <w:szCs w:val="21"/>
              </w:rPr>
              <w:t>管控单元，</w:t>
            </w:r>
            <w:r>
              <w:rPr>
                <w:rFonts w:ascii="Times New Roman"/>
                <w:sz w:val="24"/>
              </w:rPr>
              <w:t>本环评对照文件生态环境准入清单进行相符性分析，具体分析结果见表</w:t>
            </w:r>
            <w:r>
              <w:rPr>
                <w:rFonts w:hint="eastAsia" w:ascii="Times New Roman"/>
                <w:sz w:val="24"/>
                <w:lang w:val="en-US" w:eastAsia="zh-CN"/>
              </w:rPr>
              <w:t>1-5</w:t>
            </w:r>
            <w:r>
              <w:rPr>
                <w:rFonts w:ascii="Times New Roman"/>
                <w:sz w:val="24"/>
              </w:rPr>
              <w:t>所示。</w:t>
            </w:r>
          </w:p>
          <w:p w14:paraId="0E1AF868">
            <w:pPr>
              <w:keepNext/>
              <w:keepLines w:val="0"/>
              <w:pageBreakBefore w:val="0"/>
              <w:widowControl w:val="0"/>
              <w:kinsoku/>
              <w:wordWrap/>
              <w:overflowPunct/>
              <w:bidi w:val="0"/>
              <w:spacing w:line="360" w:lineRule="auto"/>
              <w:jc w:val="center"/>
              <w:textAlignment w:val="auto"/>
              <w:rPr>
                <w:b/>
                <w:bCs/>
                <w:spacing w:val="-6"/>
                <w:kern w:val="0"/>
                <w:sz w:val="24"/>
              </w:rPr>
            </w:pPr>
            <w:r>
              <w:rPr>
                <w:b/>
                <w:bCs/>
                <w:spacing w:val="-6"/>
                <w:kern w:val="0"/>
                <w:sz w:val="24"/>
              </w:rPr>
              <w:t>表1-</w:t>
            </w:r>
            <w:r>
              <w:rPr>
                <w:rFonts w:hint="eastAsia"/>
                <w:b/>
                <w:bCs/>
                <w:spacing w:val="-6"/>
                <w:kern w:val="0"/>
                <w:sz w:val="24"/>
                <w:lang w:val="en-US" w:eastAsia="zh-CN"/>
              </w:rPr>
              <w:t>5</w:t>
            </w:r>
            <w:r>
              <w:rPr>
                <w:b/>
                <w:bCs/>
                <w:spacing w:val="-6"/>
                <w:kern w:val="0"/>
                <w:sz w:val="24"/>
              </w:rPr>
              <w:t xml:space="preserve"> 本项目与管控要求相符性分析表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4897"/>
              <w:gridCol w:w="2493"/>
              <w:gridCol w:w="785"/>
            </w:tblGrid>
            <w:tr w14:paraId="37E1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0D57B8E4">
                  <w:pPr>
                    <w:pStyle w:val="61"/>
                    <w:spacing w:before="24" w:after="24"/>
                    <w:rPr>
                      <w:rFonts w:ascii="Times New Roman"/>
                      <w:b/>
                      <w:bCs/>
                      <w:szCs w:val="21"/>
                    </w:rPr>
                  </w:pPr>
                  <w:r>
                    <w:rPr>
                      <w:rFonts w:ascii="Times New Roman"/>
                      <w:b/>
                      <w:bCs/>
                      <w:szCs w:val="21"/>
                    </w:rPr>
                    <w:t>指标设置</w:t>
                  </w:r>
                </w:p>
              </w:tc>
              <w:tc>
                <w:tcPr>
                  <w:tcW w:w="2752" w:type="pct"/>
                  <w:vAlign w:val="center"/>
                </w:tcPr>
                <w:p w14:paraId="4BAA3A41">
                  <w:pPr>
                    <w:pStyle w:val="61"/>
                    <w:spacing w:before="24" w:after="24"/>
                    <w:rPr>
                      <w:rFonts w:ascii="Times New Roman"/>
                      <w:b/>
                      <w:bCs/>
                      <w:szCs w:val="21"/>
                    </w:rPr>
                  </w:pPr>
                  <w:r>
                    <w:rPr>
                      <w:rFonts w:ascii="Times New Roman"/>
                      <w:b/>
                      <w:bCs/>
                      <w:szCs w:val="21"/>
                    </w:rPr>
                    <w:t>管控内涵</w:t>
                  </w:r>
                </w:p>
              </w:tc>
              <w:tc>
                <w:tcPr>
                  <w:tcW w:w="1401" w:type="pct"/>
                  <w:vAlign w:val="center"/>
                </w:tcPr>
                <w:p w14:paraId="259B7E53">
                  <w:pPr>
                    <w:pStyle w:val="61"/>
                    <w:spacing w:before="24" w:after="24"/>
                    <w:rPr>
                      <w:rFonts w:ascii="Times New Roman"/>
                      <w:b/>
                      <w:bCs/>
                      <w:szCs w:val="21"/>
                    </w:rPr>
                  </w:pPr>
                  <w:r>
                    <w:rPr>
                      <w:rFonts w:ascii="Times New Roman"/>
                      <w:b/>
                      <w:bCs/>
                      <w:szCs w:val="21"/>
                    </w:rPr>
                    <w:t>项目情况</w:t>
                  </w:r>
                </w:p>
              </w:tc>
              <w:tc>
                <w:tcPr>
                  <w:tcW w:w="438" w:type="pct"/>
                  <w:vAlign w:val="center"/>
                </w:tcPr>
                <w:p w14:paraId="36A61508">
                  <w:pPr>
                    <w:pStyle w:val="61"/>
                    <w:spacing w:before="24" w:after="24"/>
                    <w:rPr>
                      <w:rFonts w:ascii="Times New Roman"/>
                      <w:b/>
                      <w:bCs/>
                      <w:szCs w:val="21"/>
                    </w:rPr>
                  </w:pPr>
                  <w:r>
                    <w:rPr>
                      <w:rFonts w:ascii="Times New Roman"/>
                      <w:b/>
                      <w:bCs/>
                      <w:szCs w:val="21"/>
                    </w:rPr>
                    <w:t>相符性</w:t>
                  </w:r>
                </w:p>
              </w:tc>
            </w:tr>
            <w:tr w14:paraId="1F03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vAlign w:val="center"/>
                </w:tcPr>
                <w:p w14:paraId="747B7B9C">
                  <w:pPr>
                    <w:pStyle w:val="61"/>
                    <w:spacing w:before="24" w:after="24"/>
                    <w:rPr>
                      <w:rFonts w:hint="default" w:ascii="Times New Roman" w:hAnsi="Times New Roman" w:eastAsia="Transitional 551 Std Medium" w:cs="Times New Roman"/>
                      <w:b/>
                      <w:bCs/>
                      <w:szCs w:val="21"/>
                    </w:rPr>
                  </w:pPr>
                  <w:r>
                    <w:rPr>
                      <w:rFonts w:hint="default" w:ascii="Times New Roman" w:hAnsi="Times New Roman" w:eastAsia="Transitional 551 Std Medium" w:cs="Times New Roman"/>
                      <w:lang w:val="en-US" w:eastAsia="zh-CN"/>
                    </w:rPr>
                    <w:t>江苏省2023年生态环境分区动态管控方案</w:t>
                  </w:r>
                </w:p>
              </w:tc>
            </w:tr>
            <w:tr w14:paraId="156C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5161E483">
                  <w:pPr>
                    <w:pStyle w:val="61"/>
                    <w:spacing w:before="24" w:after="24"/>
                    <w:rPr>
                      <w:rFonts w:hint="default" w:ascii="Times New Roman" w:hAnsi="Times New Roman" w:eastAsia="Transitional 551 Std Medium" w:cs="Times New Roman"/>
                      <w:b/>
                      <w:bCs/>
                      <w:szCs w:val="21"/>
                    </w:rPr>
                  </w:pPr>
                  <w:r>
                    <w:rPr>
                      <w:rFonts w:hint="default" w:ascii="Times New Roman" w:hAnsi="Times New Roman" w:eastAsia="Transitional 551 Std Medium" w:cs="Times New Roman"/>
                      <w:szCs w:val="21"/>
                    </w:rPr>
                    <w:t>空间布局约束</w:t>
                  </w:r>
                </w:p>
              </w:tc>
              <w:tc>
                <w:tcPr>
                  <w:tcW w:w="2752" w:type="pct"/>
                  <w:vAlign w:val="center"/>
                </w:tcPr>
                <w:p w14:paraId="4CEB32C9">
                  <w:pPr>
                    <w:pStyle w:val="61"/>
                    <w:spacing w:before="24" w:after="24"/>
                    <w:rPr>
                      <w:rFonts w:hint="default" w:ascii="Times New Roman"/>
                      <w:szCs w:val="21"/>
                    </w:rPr>
                  </w:pPr>
                  <w:r>
                    <w:rPr>
                      <w:rFonts w:hint="default" w:ascii="Times New Roman"/>
                      <w:szCs w:val="21"/>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764269F4">
                  <w:pPr>
                    <w:pStyle w:val="61"/>
                    <w:spacing w:before="24" w:after="24"/>
                    <w:rPr>
                      <w:rFonts w:hint="default" w:ascii="Times New Roman"/>
                      <w:szCs w:val="21"/>
                    </w:rPr>
                  </w:pPr>
                  <w:r>
                    <w:rPr>
                      <w:rFonts w:hint="default" w:ascii="Times New Roman"/>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p w14:paraId="66B47829">
                  <w:pPr>
                    <w:pStyle w:val="61"/>
                    <w:spacing w:before="24" w:after="24"/>
                    <w:rPr>
                      <w:rFonts w:hint="default" w:ascii="Times New Roman"/>
                      <w:szCs w:val="21"/>
                    </w:rPr>
                  </w:pPr>
                  <w:r>
                    <w:rPr>
                      <w:rFonts w:hint="default" w:ascii="Times New Roman"/>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70D06E41">
                  <w:pPr>
                    <w:pStyle w:val="61"/>
                    <w:spacing w:before="24" w:after="24"/>
                    <w:rPr>
                      <w:rFonts w:hint="default" w:ascii="Times New Roman"/>
                      <w:szCs w:val="21"/>
                    </w:rPr>
                  </w:pPr>
                  <w:r>
                    <w:rPr>
                      <w:rFonts w:hint="default" w:ascii="Times New Roman"/>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5D8953DB">
                  <w:pPr>
                    <w:pStyle w:val="61"/>
                    <w:spacing w:before="24" w:after="24"/>
                    <w:rPr>
                      <w:rFonts w:hint="default" w:ascii="Times New Roman"/>
                      <w:szCs w:val="21"/>
                    </w:rPr>
                  </w:pPr>
                  <w:r>
                    <w:rPr>
                      <w:rFonts w:hint="default" w:ascii="Times New Roman"/>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401" w:type="pct"/>
                  <w:vAlign w:val="center"/>
                </w:tcPr>
                <w:p w14:paraId="492BAF43">
                  <w:pPr>
                    <w:pStyle w:val="61"/>
                    <w:spacing w:before="24" w:after="24"/>
                    <w:rPr>
                      <w:rFonts w:hint="eastAsia" w:ascii="Times New Roman"/>
                      <w:szCs w:val="21"/>
                      <w:lang w:val="en-US" w:eastAsia="zh-CN"/>
                    </w:rPr>
                  </w:pPr>
                  <w:r>
                    <w:rPr>
                      <w:rFonts w:hint="eastAsia" w:ascii="Times New Roman"/>
                      <w:szCs w:val="21"/>
                      <w:lang w:val="en-US" w:eastAsia="zh-CN"/>
                    </w:rPr>
                    <w:t>本项目不在</w:t>
                  </w:r>
                  <w:r>
                    <w:rPr>
                      <w:rFonts w:hint="default" w:ascii="Times New Roman"/>
                      <w:szCs w:val="21"/>
                    </w:rPr>
                    <w:t>生态保护红线</w:t>
                  </w:r>
                  <w:r>
                    <w:rPr>
                      <w:rFonts w:hint="eastAsia" w:ascii="Times New Roman"/>
                      <w:szCs w:val="21"/>
                      <w:lang w:val="en-US" w:eastAsia="zh-CN"/>
                    </w:rPr>
                    <w:t>内。</w:t>
                  </w:r>
                </w:p>
                <w:p w14:paraId="601F79E9">
                  <w:pPr>
                    <w:pStyle w:val="61"/>
                    <w:spacing w:before="24" w:after="24"/>
                    <w:rPr>
                      <w:rFonts w:hint="eastAsia" w:ascii="Times New Roman"/>
                      <w:szCs w:val="21"/>
                      <w:lang w:eastAsia="zh-CN"/>
                    </w:rPr>
                  </w:pPr>
                  <w:r>
                    <w:rPr>
                      <w:rFonts w:hint="eastAsia" w:ascii="Times New Roman"/>
                      <w:szCs w:val="21"/>
                      <w:lang w:val="en-US" w:eastAsia="zh-CN"/>
                    </w:rPr>
                    <w:t>本项目为四十一、电力、热力生产和供应业/90.太阳能发电4416（不含居民家用光伏发电），为鼓励类项目，不属于</w:t>
                  </w:r>
                  <w:r>
                    <w:rPr>
                      <w:rFonts w:hint="default" w:ascii="Times New Roman"/>
                      <w:szCs w:val="21"/>
                      <w:lang w:val="en-US" w:eastAsia="zh-CN"/>
                    </w:rPr>
                    <w:t>排放</w:t>
                  </w:r>
                  <w:r>
                    <w:rPr>
                      <w:rFonts w:hint="default" w:ascii="Times New Roman"/>
                      <w:szCs w:val="21"/>
                    </w:rPr>
                    <w:t>量大、耗能高、产能过剩的产业</w:t>
                  </w:r>
                  <w:r>
                    <w:rPr>
                      <w:rFonts w:hint="eastAsia" w:ascii="Times New Roman"/>
                      <w:szCs w:val="21"/>
                      <w:lang w:eastAsia="zh-CN"/>
                    </w:rPr>
                    <w:t>。</w:t>
                  </w:r>
                </w:p>
                <w:p w14:paraId="1CFD0525">
                  <w:pPr>
                    <w:pStyle w:val="61"/>
                    <w:spacing w:before="24" w:after="24"/>
                    <w:rPr>
                      <w:rFonts w:hint="eastAsia" w:ascii="Times New Roman"/>
                      <w:szCs w:val="21"/>
                      <w:lang w:eastAsia="zh-CN"/>
                    </w:rPr>
                  </w:pPr>
                  <w:r>
                    <w:rPr>
                      <w:rFonts w:hint="eastAsia" w:ascii="Times New Roman"/>
                      <w:szCs w:val="21"/>
                      <w:lang w:val="en-US" w:eastAsia="zh-CN"/>
                    </w:rPr>
                    <w:t>本项目不属于</w:t>
                  </w:r>
                  <w:r>
                    <w:rPr>
                      <w:rFonts w:hint="default" w:ascii="Times New Roman"/>
                      <w:szCs w:val="21"/>
                    </w:rPr>
                    <w:t>化工生产企业</w:t>
                  </w:r>
                  <w:r>
                    <w:rPr>
                      <w:rFonts w:hint="eastAsia" w:ascii="Times New Roman"/>
                      <w:szCs w:val="21"/>
                      <w:lang w:eastAsia="zh-CN"/>
                    </w:rPr>
                    <w:t>。</w:t>
                  </w:r>
                </w:p>
                <w:p w14:paraId="310DC0EE">
                  <w:pPr>
                    <w:pStyle w:val="61"/>
                    <w:spacing w:before="24" w:after="24"/>
                    <w:rPr>
                      <w:rFonts w:hint="eastAsia" w:ascii="Times New Roman" w:eastAsia="宋体"/>
                      <w:szCs w:val="21"/>
                      <w:lang w:val="en-US" w:eastAsia="zh-CN"/>
                    </w:rPr>
                  </w:pPr>
                  <w:r>
                    <w:rPr>
                      <w:rFonts w:hint="eastAsia" w:ascii="Times New Roman"/>
                      <w:szCs w:val="21"/>
                      <w:lang w:val="en-US" w:eastAsia="zh-CN"/>
                    </w:rPr>
                    <w:t>本项目不属于</w:t>
                  </w:r>
                  <w:r>
                    <w:rPr>
                      <w:rFonts w:hint="default" w:ascii="Times New Roman"/>
                      <w:szCs w:val="21"/>
                    </w:rPr>
                    <w:t>钢铁行业</w:t>
                  </w:r>
                  <w:r>
                    <w:rPr>
                      <w:rFonts w:hint="eastAsia" w:ascii="Times New Roman"/>
                      <w:szCs w:val="21"/>
                      <w:lang w:eastAsia="zh-CN"/>
                    </w:rPr>
                    <w:t>。</w:t>
                  </w:r>
                  <w:r>
                    <w:rPr>
                      <w:rFonts w:hint="eastAsia" w:ascii="Times New Roman"/>
                      <w:szCs w:val="21"/>
                      <w:lang w:val="en-US" w:eastAsia="zh-CN"/>
                    </w:rPr>
                    <w:t>本项目不</w:t>
                  </w:r>
                  <w:r>
                    <w:rPr>
                      <w:rFonts w:hint="default" w:ascii="Times New Roman"/>
                      <w:szCs w:val="21"/>
                    </w:rPr>
                    <w:t>涉及生态保护红线和相关法定保护区</w:t>
                  </w:r>
                  <w:r>
                    <w:rPr>
                      <w:rFonts w:hint="eastAsia" w:ascii="Times New Roman"/>
                      <w:szCs w:val="21"/>
                      <w:lang w:eastAsia="zh-CN"/>
                    </w:rPr>
                    <w:t>。</w:t>
                  </w:r>
                </w:p>
              </w:tc>
              <w:tc>
                <w:tcPr>
                  <w:tcW w:w="438" w:type="pct"/>
                  <w:vAlign w:val="center"/>
                </w:tcPr>
                <w:p w14:paraId="2DD9D29B">
                  <w:pPr>
                    <w:pStyle w:val="61"/>
                    <w:spacing w:before="24" w:after="24"/>
                    <w:rPr>
                      <w:rFonts w:hint="default" w:ascii="Times New Roman" w:hAnsi="Times New Roman" w:eastAsia="Transitional 551 Std Medium" w:cs="Times New Roman"/>
                      <w:b/>
                      <w:bCs/>
                      <w:szCs w:val="21"/>
                    </w:rPr>
                  </w:pPr>
                  <w:r>
                    <w:rPr>
                      <w:szCs w:val="21"/>
                    </w:rPr>
                    <w:t>符</w:t>
                  </w:r>
                  <w:r>
                    <w:rPr>
                      <w:rFonts w:hint="eastAsia"/>
                      <w:szCs w:val="21"/>
                      <w:lang w:val="en-US" w:eastAsia="zh-CN"/>
                    </w:rPr>
                    <w:t>合</w:t>
                  </w:r>
                </w:p>
              </w:tc>
            </w:tr>
            <w:tr w14:paraId="5BAC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0F645805">
                  <w:pPr>
                    <w:pStyle w:val="61"/>
                    <w:spacing w:before="24" w:after="24"/>
                    <w:rPr>
                      <w:rFonts w:hint="default" w:ascii="Times New Roman" w:hAnsi="Times New Roman" w:eastAsia="Transitional 551 Std Medium" w:cs="Times New Roman"/>
                      <w:b/>
                      <w:bCs/>
                      <w:szCs w:val="21"/>
                    </w:rPr>
                  </w:pPr>
                  <w:r>
                    <w:rPr>
                      <w:rFonts w:hint="default" w:ascii="Times New Roman" w:hAnsi="Times New Roman" w:eastAsia="Transitional 551 Std Medium" w:cs="Times New Roman"/>
                    </w:rPr>
                    <w:t>污染物排放管控</w:t>
                  </w:r>
                </w:p>
              </w:tc>
              <w:tc>
                <w:tcPr>
                  <w:tcW w:w="2752" w:type="pct"/>
                  <w:vAlign w:val="center"/>
                </w:tcPr>
                <w:p w14:paraId="2ADAF3B7">
                  <w:pPr>
                    <w:pStyle w:val="61"/>
                    <w:spacing w:before="24" w:after="24"/>
                    <w:rPr>
                      <w:rFonts w:hint="default" w:ascii="Times New Roman"/>
                      <w:szCs w:val="21"/>
                    </w:rPr>
                  </w:pPr>
                  <w:r>
                    <w:rPr>
                      <w:rFonts w:hint="default" w:ascii="Times New Roman"/>
                      <w:szCs w:val="21"/>
                    </w:rPr>
                    <w:t>1．坚持生态环境质量只能更好、不能变坏，实施污染物总量控制，以环境容量定产业、定项目、定规模，确保开发建设行为不突破生态环境承载力。</w:t>
                  </w:r>
                </w:p>
                <w:p w14:paraId="0C31D0B9">
                  <w:pPr>
                    <w:pStyle w:val="61"/>
                    <w:spacing w:before="24" w:after="24"/>
                    <w:rPr>
                      <w:rFonts w:hint="default" w:ascii="Times New Roman"/>
                      <w:szCs w:val="21"/>
                    </w:rPr>
                  </w:pPr>
                  <w:r>
                    <w:rPr>
                      <w:rFonts w:hint="default" w:ascii="Times New Roman"/>
                      <w:szCs w:val="21"/>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401" w:type="pct"/>
                  <w:vAlign w:val="center"/>
                </w:tcPr>
                <w:p w14:paraId="4832AA20">
                  <w:pPr>
                    <w:pStyle w:val="61"/>
                    <w:spacing w:before="24" w:after="24"/>
                    <w:rPr>
                      <w:rFonts w:hint="default" w:ascii="Times New Roman" w:hAnsi="Times New Roman" w:eastAsia="Transitional 551 Std Medium" w:cs="Times New Roman"/>
                      <w:b/>
                      <w:bCs/>
                      <w:szCs w:val="21"/>
                    </w:rPr>
                  </w:pPr>
                  <w:r>
                    <w:rPr>
                      <w:rFonts w:ascii="Times New Roman"/>
                      <w:szCs w:val="21"/>
                    </w:rPr>
                    <w:t>本项目不产生废气，废水不外排，项目产生固体废物均有效处置，不外排，项目不申请污染物排放总量。</w:t>
                  </w:r>
                </w:p>
              </w:tc>
              <w:tc>
                <w:tcPr>
                  <w:tcW w:w="438" w:type="pct"/>
                  <w:vAlign w:val="center"/>
                </w:tcPr>
                <w:p w14:paraId="019D7AC0">
                  <w:pPr>
                    <w:pStyle w:val="61"/>
                    <w:spacing w:before="24" w:after="24"/>
                    <w:rPr>
                      <w:rFonts w:hint="default" w:ascii="Times New Roman" w:hAnsi="Times New Roman" w:eastAsia="Transitional 551 Std Medium" w:cs="Times New Roman"/>
                      <w:b/>
                      <w:bCs/>
                      <w:szCs w:val="21"/>
                    </w:rPr>
                  </w:pPr>
                  <w:r>
                    <w:rPr>
                      <w:szCs w:val="21"/>
                    </w:rPr>
                    <w:t>符</w:t>
                  </w:r>
                  <w:r>
                    <w:rPr>
                      <w:rFonts w:hint="eastAsia"/>
                      <w:szCs w:val="21"/>
                      <w:lang w:val="en-US" w:eastAsia="zh-CN"/>
                    </w:rPr>
                    <w:t>合</w:t>
                  </w:r>
                </w:p>
              </w:tc>
            </w:tr>
            <w:tr w14:paraId="23F4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2794D0A5">
                  <w:pPr>
                    <w:pStyle w:val="61"/>
                    <w:spacing w:before="24" w:after="24"/>
                    <w:rPr>
                      <w:rFonts w:hint="default" w:ascii="Times New Roman" w:hAnsi="Times New Roman" w:eastAsia="Transitional 551 Std Medium" w:cs="Times New Roman"/>
                      <w:b/>
                      <w:bCs/>
                      <w:szCs w:val="21"/>
                    </w:rPr>
                  </w:pPr>
                  <w:r>
                    <w:rPr>
                      <w:rFonts w:hint="default" w:ascii="Times New Roman" w:hAnsi="Times New Roman" w:eastAsia="Transitional 551 Std Medium" w:cs="Times New Roman"/>
                    </w:rPr>
                    <w:t>环境风险防控</w:t>
                  </w:r>
                </w:p>
              </w:tc>
              <w:tc>
                <w:tcPr>
                  <w:tcW w:w="2752" w:type="pct"/>
                  <w:vAlign w:val="center"/>
                </w:tcPr>
                <w:p w14:paraId="35FDE231">
                  <w:pPr>
                    <w:pStyle w:val="61"/>
                    <w:spacing w:before="24" w:after="24"/>
                    <w:rPr>
                      <w:rFonts w:hint="default" w:ascii="Times New Roman"/>
                      <w:szCs w:val="21"/>
                    </w:rPr>
                  </w:pPr>
                  <w:r>
                    <w:rPr>
                      <w:rFonts w:hint="default" w:ascii="Times New Roman"/>
                      <w:szCs w:val="21"/>
                    </w:rPr>
                    <w:t>1．强化饮用水水源环境风险管控。县级以上城市全部建成应急水源或双源供水。</w:t>
                  </w:r>
                </w:p>
                <w:p w14:paraId="2DFDDC70">
                  <w:pPr>
                    <w:pStyle w:val="61"/>
                    <w:spacing w:before="24" w:after="24"/>
                    <w:rPr>
                      <w:rFonts w:hint="default" w:ascii="Times New Roman"/>
                      <w:szCs w:val="21"/>
                    </w:rPr>
                  </w:pPr>
                  <w:r>
                    <w:rPr>
                      <w:rFonts w:hint="default" w:ascii="Times New Roman"/>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44DBD501">
                  <w:pPr>
                    <w:pStyle w:val="61"/>
                    <w:spacing w:before="24" w:after="24"/>
                    <w:rPr>
                      <w:rFonts w:hint="default" w:ascii="Times New Roman"/>
                      <w:szCs w:val="21"/>
                    </w:rPr>
                  </w:pPr>
                  <w:r>
                    <w:rPr>
                      <w:rFonts w:hint="default" w:ascii="Times New Roman"/>
                      <w:szCs w:val="21"/>
                    </w:rPr>
                    <w:t>3．强化环境事故应急管理。深化跨部门、跨区域环境应急协调联动，分区域建立环境应急物资储备库。各级工业园区（集聚区）和企业的环境应急装备和储备物资应纳入储备体系。</w:t>
                  </w:r>
                </w:p>
                <w:p w14:paraId="4F464DE3">
                  <w:pPr>
                    <w:pStyle w:val="61"/>
                    <w:spacing w:before="24" w:after="24"/>
                    <w:rPr>
                      <w:rFonts w:hint="default" w:ascii="Times New Roman"/>
                      <w:szCs w:val="21"/>
                    </w:rPr>
                  </w:pPr>
                  <w:r>
                    <w:rPr>
                      <w:rFonts w:hint="default" w:ascii="Times New Roman"/>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401" w:type="pct"/>
                  <w:vAlign w:val="center"/>
                </w:tcPr>
                <w:p w14:paraId="023B681A">
                  <w:pPr>
                    <w:pStyle w:val="61"/>
                    <w:spacing w:before="24" w:after="24"/>
                    <w:rPr>
                      <w:rFonts w:hint="eastAsia" w:ascii="Times New Roman"/>
                      <w:szCs w:val="21"/>
                      <w:lang w:eastAsia="zh-CN"/>
                    </w:rPr>
                  </w:pPr>
                  <w:r>
                    <w:rPr>
                      <w:rFonts w:ascii="Times New Roman"/>
                      <w:szCs w:val="21"/>
                    </w:rPr>
                    <w:t>本项目</w:t>
                  </w:r>
                  <w:r>
                    <w:rPr>
                      <w:rFonts w:hint="eastAsia" w:ascii="Times New Roman"/>
                      <w:szCs w:val="21"/>
                      <w:lang w:val="en-US" w:eastAsia="zh-CN"/>
                    </w:rPr>
                    <w:t>所在地不</w:t>
                  </w:r>
                  <w:r>
                    <w:rPr>
                      <w:rFonts w:hint="default" w:ascii="Times New Roman"/>
                      <w:szCs w:val="21"/>
                    </w:rPr>
                    <w:t>涉及饮用水水源</w:t>
                  </w:r>
                  <w:r>
                    <w:rPr>
                      <w:rFonts w:hint="eastAsia" w:ascii="Times New Roman"/>
                      <w:szCs w:val="21"/>
                      <w:lang w:eastAsia="zh-CN"/>
                    </w:rPr>
                    <w:t>。</w:t>
                  </w:r>
                </w:p>
                <w:p w14:paraId="223B4A1C">
                  <w:pPr>
                    <w:pStyle w:val="61"/>
                    <w:spacing w:before="24" w:after="24"/>
                    <w:rPr>
                      <w:rFonts w:hint="eastAsia" w:ascii="Times New Roman"/>
                      <w:szCs w:val="21"/>
                      <w:lang w:eastAsia="zh-CN"/>
                    </w:rPr>
                  </w:pPr>
                  <w:r>
                    <w:rPr>
                      <w:rFonts w:hint="eastAsia" w:ascii="Times New Roman"/>
                      <w:szCs w:val="21"/>
                      <w:lang w:val="en-US" w:eastAsia="zh-CN"/>
                    </w:rPr>
                    <w:t>本项目不属于</w:t>
                  </w:r>
                  <w:r>
                    <w:rPr>
                      <w:rFonts w:hint="default" w:ascii="Times New Roman"/>
                      <w:szCs w:val="21"/>
                    </w:rPr>
                    <w:t>化工生产企业</w:t>
                  </w:r>
                  <w:r>
                    <w:rPr>
                      <w:rFonts w:hint="eastAsia" w:ascii="Times New Roman"/>
                      <w:szCs w:val="21"/>
                      <w:lang w:eastAsia="zh-CN"/>
                    </w:rPr>
                    <w:t>。</w:t>
                  </w:r>
                </w:p>
                <w:p w14:paraId="133F24B6">
                  <w:pPr>
                    <w:pStyle w:val="61"/>
                    <w:spacing w:before="24" w:after="24"/>
                    <w:rPr>
                      <w:rFonts w:hint="eastAsia" w:ascii="Times New Roman"/>
                      <w:szCs w:val="21"/>
                      <w:lang w:eastAsia="zh-CN"/>
                    </w:rPr>
                  </w:pPr>
                  <w:r>
                    <w:rPr>
                      <w:rFonts w:hint="eastAsia" w:ascii="Times New Roman"/>
                      <w:szCs w:val="21"/>
                      <w:lang w:val="en-US" w:eastAsia="zh-CN"/>
                    </w:rPr>
                    <w:t>项目</w:t>
                  </w:r>
                  <w:r>
                    <w:rPr>
                      <w:rFonts w:ascii="Times New Roman"/>
                      <w:szCs w:val="21"/>
                    </w:rPr>
                    <w:t>要求企业采取有效的环境风险防范措施、按照要求编制应急预案并定期演练、配备应急物资。</w:t>
                  </w:r>
                </w:p>
              </w:tc>
              <w:tc>
                <w:tcPr>
                  <w:tcW w:w="438" w:type="pct"/>
                  <w:vAlign w:val="center"/>
                </w:tcPr>
                <w:p w14:paraId="615916F1">
                  <w:pPr>
                    <w:pStyle w:val="61"/>
                    <w:spacing w:before="24" w:after="24"/>
                    <w:rPr>
                      <w:rFonts w:hint="default" w:ascii="Times New Roman" w:hAnsi="Times New Roman" w:eastAsia="Transitional 551 Std Medium" w:cs="Times New Roman"/>
                      <w:b/>
                      <w:bCs/>
                      <w:szCs w:val="21"/>
                    </w:rPr>
                  </w:pPr>
                  <w:r>
                    <w:rPr>
                      <w:szCs w:val="21"/>
                    </w:rPr>
                    <w:t>符</w:t>
                  </w:r>
                  <w:r>
                    <w:rPr>
                      <w:rFonts w:hint="eastAsia"/>
                      <w:szCs w:val="21"/>
                      <w:lang w:val="en-US" w:eastAsia="zh-CN"/>
                    </w:rPr>
                    <w:t>合</w:t>
                  </w:r>
                </w:p>
              </w:tc>
            </w:tr>
            <w:tr w14:paraId="3E7D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4251C151">
                  <w:pPr>
                    <w:pStyle w:val="61"/>
                    <w:spacing w:before="24" w:after="24"/>
                    <w:rPr>
                      <w:rFonts w:hint="default" w:ascii="Times New Roman" w:hAnsi="Times New Roman" w:eastAsia="Transitional 551 Std Medium" w:cs="Times New Roman"/>
                      <w:b/>
                      <w:bCs/>
                      <w:szCs w:val="21"/>
                    </w:rPr>
                  </w:pPr>
                  <w:r>
                    <w:rPr>
                      <w:rFonts w:hint="default" w:ascii="Times New Roman" w:hAnsi="Times New Roman" w:eastAsia="Transitional 551 Std Medium" w:cs="Times New Roman"/>
                    </w:rPr>
                    <w:t>资源利用效率要求</w:t>
                  </w:r>
                </w:p>
              </w:tc>
              <w:tc>
                <w:tcPr>
                  <w:tcW w:w="2752" w:type="pct"/>
                  <w:vAlign w:val="center"/>
                </w:tcPr>
                <w:p w14:paraId="6D692A9C">
                  <w:pPr>
                    <w:pStyle w:val="61"/>
                    <w:spacing w:before="24" w:after="24"/>
                    <w:rPr>
                      <w:rFonts w:hint="default" w:ascii="Times New Roman"/>
                      <w:szCs w:val="21"/>
                    </w:rPr>
                  </w:pPr>
                  <w:r>
                    <w:rPr>
                      <w:rFonts w:hint="default" w:ascii="Times New Roman"/>
                      <w:szCs w:val="21"/>
                    </w:rPr>
                    <w:t>1．水资源利用总量及效率要求：到2025年，全省用水总量控制在525.9亿立方米以内，万元地区生产总值用水量、万元工业增加值用水量下降完成国家下达目标，农田灌溉水有效利用系数提高到0.625。</w:t>
                  </w:r>
                </w:p>
                <w:p w14:paraId="2B4BC70A">
                  <w:pPr>
                    <w:pStyle w:val="61"/>
                    <w:spacing w:before="24" w:after="24"/>
                    <w:rPr>
                      <w:rFonts w:hint="default" w:ascii="Times New Roman"/>
                      <w:szCs w:val="21"/>
                    </w:rPr>
                  </w:pPr>
                  <w:r>
                    <w:rPr>
                      <w:rFonts w:hint="default" w:ascii="Times New Roman"/>
                      <w:szCs w:val="21"/>
                    </w:rPr>
                    <w:t>2．土地资源总量要求：到2025年，江苏省耕地保有量不低于5977万亩，其中永久基本农田保护面积不低于5344万亩。</w:t>
                  </w:r>
                </w:p>
                <w:p w14:paraId="118B5F09">
                  <w:pPr>
                    <w:pStyle w:val="61"/>
                    <w:spacing w:before="24" w:after="24"/>
                    <w:rPr>
                      <w:rFonts w:hint="default" w:ascii="Times New Roman"/>
                      <w:szCs w:val="21"/>
                    </w:rPr>
                  </w:pPr>
                  <w:r>
                    <w:rPr>
                      <w:rFonts w:hint="default" w:ascii="Times New Roman"/>
                      <w:szCs w:val="21"/>
                    </w:rPr>
                    <w:t>3．禁燃区要求：在禁燃区内，禁止销售、燃用高污染燃料；禁止新建、扩建燃用高污染燃料的设施，已建成的，应当在城市人民政府规定的期限内改用天然气、页岩气、液化石油气、电或者其他清洁能源。</w:t>
                  </w:r>
                </w:p>
              </w:tc>
              <w:tc>
                <w:tcPr>
                  <w:tcW w:w="1401" w:type="pct"/>
                  <w:vAlign w:val="center"/>
                </w:tcPr>
                <w:p w14:paraId="50E3869D">
                  <w:pPr>
                    <w:pStyle w:val="61"/>
                    <w:spacing w:before="24" w:after="24"/>
                    <w:rPr>
                      <w:rFonts w:hint="default" w:ascii="Times New Roman" w:hAnsi="Times New Roman" w:eastAsia="Transitional 551 Std Medium" w:cs="Times New Roman"/>
                      <w:b/>
                      <w:bCs/>
                      <w:szCs w:val="21"/>
                    </w:rPr>
                  </w:pPr>
                  <w:r>
                    <w:rPr>
                      <w:rFonts w:ascii="Times New Roman"/>
                      <w:szCs w:val="21"/>
                    </w:rPr>
                    <w:t>本项目为光伏发电项目，有利于优化能源结构；本项目利用坑塘水面，土地利用率高，节约利用了土地资源。</w:t>
                  </w:r>
                </w:p>
              </w:tc>
              <w:tc>
                <w:tcPr>
                  <w:tcW w:w="438" w:type="pct"/>
                  <w:vAlign w:val="center"/>
                </w:tcPr>
                <w:p w14:paraId="2AC37D8E">
                  <w:pPr>
                    <w:pStyle w:val="61"/>
                    <w:spacing w:before="24" w:after="24"/>
                    <w:rPr>
                      <w:rFonts w:hint="default" w:ascii="Times New Roman" w:hAnsi="Times New Roman" w:eastAsia="Transitional 551 Std Medium" w:cs="Times New Roman"/>
                      <w:b/>
                      <w:bCs/>
                      <w:szCs w:val="21"/>
                    </w:rPr>
                  </w:pPr>
                  <w:r>
                    <w:rPr>
                      <w:szCs w:val="21"/>
                    </w:rPr>
                    <w:t>符</w:t>
                  </w:r>
                  <w:r>
                    <w:rPr>
                      <w:rFonts w:hint="eastAsia"/>
                      <w:szCs w:val="21"/>
                      <w:lang w:val="en-US" w:eastAsia="zh-CN"/>
                    </w:rPr>
                    <w:t>合</w:t>
                  </w:r>
                </w:p>
              </w:tc>
            </w:tr>
            <w:tr w14:paraId="6C4C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vAlign w:val="center"/>
                </w:tcPr>
                <w:p w14:paraId="456F4207">
                  <w:pPr>
                    <w:pStyle w:val="61"/>
                    <w:spacing w:before="24" w:after="24"/>
                    <w:rPr>
                      <w:rFonts w:ascii="Times New Roman"/>
                      <w:b/>
                      <w:bCs/>
                      <w:szCs w:val="21"/>
                    </w:rPr>
                  </w:pPr>
                  <w:r>
                    <w:rPr>
                      <w:rFonts w:ascii="Times New Roman"/>
                      <w:szCs w:val="21"/>
                    </w:rPr>
                    <w:t>《市生态环境局关于印发&lt;连云港市“三线一单”生态环境分区管控实施方案&gt;具体管控要求的通知》（连环发〔2021〕172 号）</w:t>
                  </w:r>
                </w:p>
              </w:tc>
            </w:tr>
            <w:tr w14:paraId="0C7B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6AE82158">
                  <w:pPr>
                    <w:pStyle w:val="61"/>
                    <w:spacing w:before="24" w:after="24"/>
                    <w:rPr>
                      <w:rFonts w:ascii="Times New Roman"/>
                      <w:szCs w:val="21"/>
                    </w:rPr>
                  </w:pPr>
                  <w:r>
                    <w:rPr>
                      <w:rFonts w:ascii="Times New Roman"/>
                      <w:szCs w:val="21"/>
                    </w:rPr>
                    <w:t>空间布局约束</w:t>
                  </w:r>
                </w:p>
              </w:tc>
              <w:tc>
                <w:tcPr>
                  <w:tcW w:w="2752" w:type="pct"/>
                  <w:vAlign w:val="center"/>
                </w:tcPr>
                <w:p w14:paraId="216D4717">
                  <w:pPr>
                    <w:pStyle w:val="61"/>
                    <w:spacing w:before="24" w:after="24"/>
                    <w:rPr>
                      <w:rFonts w:ascii="Times New Roman"/>
                      <w:szCs w:val="21"/>
                    </w:rPr>
                  </w:pPr>
                  <w:r>
                    <w:rPr>
                      <w:rFonts w:ascii="Times New Roman"/>
                      <w:szCs w:val="21"/>
                    </w:rPr>
                    <w:t>（1）各类开发建设活动应符合国土空间规划、城镇总体规划、土地利用规划详细规划等相关要求。</w:t>
                  </w:r>
                </w:p>
              </w:tc>
              <w:tc>
                <w:tcPr>
                  <w:tcW w:w="1401" w:type="pct"/>
                  <w:vAlign w:val="center"/>
                </w:tcPr>
                <w:p w14:paraId="1A8C447D">
                  <w:pPr>
                    <w:pStyle w:val="61"/>
                    <w:spacing w:before="24" w:after="24"/>
                    <w:rPr>
                      <w:rFonts w:ascii="Times New Roman"/>
                      <w:szCs w:val="21"/>
                    </w:rPr>
                  </w:pPr>
                  <w:r>
                    <w:rPr>
                      <w:rFonts w:ascii="Times New Roman"/>
                      <w:szCs w:val="21"/>
                    </w:rPr>
                    <w:t>本项目建设符合《连云港市国土空间规划（2021-2035年）》、《连云港市“十四五”生态环境保护规划》、《连云港市</w:t>
                  </w:r>
                  <w:r>
                    <w:rPr>
                      <w:rFonts w:hint="eastAsia" w:ascii="Times New Roman"/>
                      <w:szCs w:val="21"/>
                      <w:lang w:val="en-US" w:eastAsia="zh-CN"/>
                    </w:rPr>
                    <w:t>连云</w:t>
                  </w:r>
                  <w:r>
                    <w:rPr>
                      <w:rFonts w:ascii="Times New Roman"/>
                      <w:szCs w:val="21"/>
                    </w:rPr>
                    <w:t>区生态空间管控区域调整方案批后公示》等规划相关要求。</w:t>
                  </w:r>
                </w:p>
              </w:tc>
              <w:tc>
                <w:tcPr>
                  <w:tcW w:w="438" w:type="pct"/>
                  <w:vAlign w:val="center"/>
                </w:tcPr>
                <w:p w14:paraId="35126767">
                  <w:pPr>
                    <w:pStyle w:val="61"/>
                    <w:spacing w:before="24" w:after="24"/>
                    <w:rPr>
                      <w:rFonts w:ascii="Times New Roman"/>
                      <w:szCs w:val="21"/>
                    </w:rPr>
                  </w:pPr>
                  <w:r>
                    <w:rPr>
                      <w:rFonts w:ascii="Times New Roman"/>
                      <w:szCs w:val="21"/>
                    </w:rPr>
                    <w:t>相符</w:t>
                  </w:r>
                </w:p>
              </w:tc>
            </w:tr>
            <w:tr w14:paraId="5F24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2253D8B7">
                  <w:pPr>
                    <w:pStyle w:val="61"/>
                    <w:spacing w:before="24" w:after="24"/>
                    <w:rPr>
                      <w:rFonts w:ascii="Times New Roman"/>
                      <w:szCs w:val="21"/>
                    </w:rPr>
                  </w:pPr>
                  <w:r>
                    <w:rPr>
                      <w:rFonts w:ascii="Times New Roman"/>
                    </w:rPr>
                    <w:t>污染物排放管控</w:t>
                  </w:r>
                </w:p>
              </w:tc>
              <w:tc>
                <w:tcPr>
                  <w:tcW w:w="2752" w:type="pct"/>
                  <w:vAlign w:val="center"/>
                </w:tcPr>
                <w:p w14:paraId="2897285B">
                  <w:pPr>
                    <w:pStyle w:val="61"/>
                    <w:spacing w:before="24" w:after="24"/>
                    <w:rPr>
                      <w:rFonts w:ascii="Times New Roman"/>
                      <w:szCs w:val="21"/>
                    </w:rPr>
                  </w:pPr>
                  <w:r>
                    <w:rPr>
                      <w:rFonts w:ascii="Times New Roman"/>
                      <w:szCs w:val="21"/>
                    </w:rPr>
                    <w:t>(1)落实污染物总量控制制度，根据区域环境质量改善目标，削减污染物排放总量。(2)进一步开展管网排查，提升污水收集效率。强化餐饮油烟治理，加强噪声污染防治，严格施工扬尘监管，加强土壤和地下水污染防治与修复。(3)加强农业面源污染治理，严格控制化肥农药施加量，合理水产养殖布局，控制水产养殖污染，逐步削减农业面源污染物排放量。</w:t>
                  </w:r>
                </w:p>
              </w:tc>
              <w:tc>
                <w:tcPr>
                  <w:tcW w:w="1401" w:type="pct"/>
                  <w:vAlign w:val="center"/>
                </w:tcPr>
                <w:p w14:paraId="66351C39">
                  <w:pPr>
                    <w:pStyle w:val="61"/>
                    <w:spacing w:before="24" w:after="24"/>
                    <w:rPr>
                      <w:rFonts w:ascii="Times New Roman"/>
                      <w:szCs w:val="21"/>
                    </w:rPr>
                  </w:pPr>
                  <w:r>
                    <w:rPr>
                      <w:rFonts w:ascii="Times New Roman"/>
                      <w:szCs w:val="21"/>
                    </w:rPr>
                    <w:t>本项目不产生废气，废水不外排，项目产生固体废物均有效处置，不外排，项目不申请污染物排放总量。</w:t>
                  </w:r>
                </w:p>
              </w:tc>
              <w:tc>
                <w:tcPr>
                  <w:tcW w:w="438" w:type="pct"/>
                  <w:vAlign w:val="center"/>
                </w:tcPr>
                <w:p w14:paraId="22D8463B">
                  <w:pPr>
                    <w:pStyle w:val="61"/>
                    <w:spacing w:before="24" w:after="24"/>
                    <w:rPr>
                      <w:rFonts w:ascii="Times New Roman"/>
                      <w:szCs w:val="21"/>
                    </w:rPr>
                  </w:pPr>
                  <w:r>
                    <w:rPr>
                      <w:rFonts w:ascii="Times New Roman"/>
                      <w:szCs w:val="21"/>
                    </w:rPr>
                    <w:t>相符</w:t>
                  </w:r>
                </w:p>
              </w:tc>
            </w:tr>
            <w:tr w14:paraId="7F79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vAlign w:val="center"/>
                </w:tcPr>
                <w:p w14:paraId="7C02237A">
                  <w:pPr>
                    <w:pStyle w:val="61"/>
                    <w:spacing w:before="24" w:after="24"/>
                    <w:rPr>
                      <w:rFonts w:ascii="Times New Roman"/>
                    </w:rPr>
                  </w:pPr>
                  <w:r>
                    <w:rPr>
                      <w:rFonts w:ascii="Times New Roman"/>
                    </w:rPr>
                    <w:t>环境风险防控</w:t>
                  </w:r>
                </w:p>
              </w:tc>
              <w:tc>
                <w:tcPr>
                  <w:tcW w:w="2752" w:type="pct"/>
                  <w:vAlign w:val="center"/>
                </w:tcPr>
                <w:p w14:paraId="6341DE10">
                  <w:pPr>
                    <w:pStyle w:val="61"/>
                    <w:spacing w:before="24" w:after="24"/>
                    <w:rPr>
                      <w:rFonts w:ascii="Times New Roman"/>
                      <w:szCs w:val="21"/>
                    </w:rPr>
                  </w:pPr>
                  <w:r>
                    <w:rPr>
                      <w:rFonts w:ascii="Times New Roman"/>
                      <w:szCs w:val="21"/>
                    </w:rPr>
                    <w:t>（1）加强环境风险防范应急体系建设，加强环境应急预案管理，定期开展应急演练，持续开展环境安全隐患排查整治，提升应急监测能力，加强应急物资管理。（2）合理布局商业、居住、科教等功能区块，严格控制噪声、恶臭、油烟等污染排放较大的建设项目布局。</w:t>
                  </w:r>
                </w:p>
              </w:tc>
              <w:tc>
                <w:tcPr>
                  <w:tcW w:w="1401" w:type="pct"/>
                  <w:vAlign w:val="center"/>
                </w:tcPr>
                <w:p w14:paraId="578B8990">
                  <w:pPr>
                    <w:pStyle w:val="61"/>
                    <w:spacing w:before="24" w:after="24"/>
                    <w:rPr>
                      <w:rFonts w:ascii="Times New Roman"/>
                      <w:szCs w:val="21"/>
                    </w:rPr>
                  </w:pPr>
                  <w:r>
                    <w:rPr>
                      <w:rFonts w:ascii="Times New Roman"/>
                      <w:szCs w:val="21"/>
                    </w:rPr>
                    <w:t>要求企业采取有效的环境风险防范措施、按照要求编制应急预案并定期演练、配备应急物资。</w:t>
                  </w:r>
                </w:p>
              </w:tc>
              <w:tc>
                <w:tcPr>
                  <w:tcW w:w="438" w:type="pct"/>
                  <w:vAlign w:val="center"/>
                </w:tcPr>
                <w:p w14:paraId="1A86A236">
                  <w:pPr>
                    <w:pStyle w:val="61"/>
                    <w:spacing w:before="24" w:after="24"/>
                    <w:rPr>
                      <w:rFonts w:ascii="Times New Roman"/>
                      <w:szCs w:val="21"/>
                    </w:rPr>
                  </w:pPr>
                  <w:r>
                    <w:rPr>
                      <w:rFonts w:ascii="Times New Roman"/>
                      <w:szCs w:val="21"/>
                    </w:rPr>
                    <w:t>相符</w:t>
                  </w:r>
                </w:p>
              </w:tc>
            </w:tr>
            <w:tr w14:paraId="1752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Align w:val="center"/>
                </w:tcPr>
                <w:p w14:paraId="1CBF0F75">
                  <w:pPr>
                    <w:pStyle w:val="61"/>
                    <w:spacing w:before="24" w:after="24"/>
                    <w:rPr>
                      <w:rFonts w:ascii="Times New Roman"/>
                    </w:rPr>
                  </w:pPr>
                  <w:r>
                    <w:rPr>
                      <w:rFonts w:ascii="Times New Roman"/>
                    </w:rPr>
                    <w:t>资源利用效率要求</w:t>
                  </w:r>
                </w:p>
              </w:tc>
              <w:tc>
                <w:tcPr>
                  <w:tcW w:w="2752" w:type="pct"/>
                  <w:vAlign w:val="center"/>
                </w:tcPr>
                <w:p w14:paraId="0F80076D">
                  <w:pPr>
                    <w:pStyle w:val="61"/>
                    <w:spacing w:before="24" w:after="24"/>
                    <w:rPr>
                      <w:rFonts w:ascii="Times New Roman"/>
                      <w:szCs w:val="21"/>
                    </w:rPr>
                  </w:pPr>
                  <w:r>
                    <w:rPr>
                      <w:rFonts w:ascii="Times New Roman"/>
                      <w:szCs w:val="21"/>
                    </w:rPr>
                    <w:t>（1）优化能源结构，加强能源清洁利用。（2）提高土地利用效率，节约集约利用土地资源。</w:t>
                  </w:r>
                </w:p>
              </w:tc>
              <w:tc>
                <w:tcPr>
                  <w:tcW w:w="1401" w:type="pct"/>
                  <w:vAlign w:val="center"/>
                </w:tcPr>
                <w:p w14:paraId="75547D01">
                  <w:pPr>
                    <w:pStyle w:val="61"/>
                    <w:spacing w:before="24" w:after="24"/>
                    <w:rPr>
                      <w:rFonts w:ascii="Times New Roman"/>
                      <w:szCs w:val="21"/>
                    </w:rPr>
                  </w:pPr>
                  <w:r>
                    <w:rPr>
                      <w:rFonts w:ascii="Times New Roman"/>
                      <w:szCs w:val="21"/>
                    </w:rPr>
                    <w:t>本项目为光伏发电项目，有利于优化能源结构；本项目利用坑塘水面，土地利用率高，节约利用了土地资源。</w:t>
                  </w:r>
                </w:p>
              </w:tc>
              <w:tc>
                <w:tcPr>
                  <w:tcW w:w="438" w:type="pct"/>
                  <w:vAlign w:val="center"/>
                </w:tcPr>
                <w:p w14:paraId="1240ADFF">
                  <w:pPr>
                    <w:pStyle w:val="61"/>
                    <w:spacing w:before="24" w:after="24"/>
                    <w:rPr>
                      <w:rFonts w:ascii="Times New Roman"/>
                      <w:szCs w:val="21"/>
                    </w:rPr>
                  </w:pPr>
                  <w:r>
                    <w:rPr>
                      <w:rFonts w:ascii="Times New Roman"/>
                      <w:szCs w:val="21"/>
                    </w:rPr>
                    <w:t>相符</w:t>
                  </w:r>
                </w:p>
              </w:tc>
            </w:tr>
          </w:tbl>
          <w:p w14:paraId="51C7CB51">
            <w:pPr>
              <w:pStyle w:val="61"/>
              <w:spacing w:before="24" w:after="24" w:line="360" w:lineRule="auto"/>
              <w:ind w:firstLine="480" w:firstLineChars="200"/>
              <w:jc w:val="both"/>
              <w:rPr>
                <w:rFonts w:ascii="Times New Roman"/>
                <w:kern w:val="21"/>
                <w:sz w:val="24"/>
                <w:szCs w:val="21"/>
              </w:rPr>
            </w:pPr>
            <w:r>
              <w:rPr>
                <w:rFonts w:ascii="Times New Roman"/>
                <w:kern w:val="21"/>
                <w:sz w:val="24"/>
                <w:szCs w:val="21"/>
              </w:rPr>
              <w:t>由上表可知，本项目符合《市生态环境局关于印发&lt;连云港市“三线一单”生态环境分区管控实施方案&gt;具体管控要求的通知》（连环发〔2021〕172 号）的具体管控要求。</w:t>
            </w:r>
          </w:p>
          <w:p w14:paraId="29D1D5B5">
            <w:pPr>
              <w:adjustRightInd w:val="0"/>
              <w:snapToGrid w:val="0"/>
              <w:spacing w:line="360" w:lineRule="auto"/>
              <w:ind w:firstLine="480" w:firstLineChars="200"/>
              <w:rPr>
                <w:bCs/>
                <w:sz w:val="24"/>
                <w:szCs w:val="28"/>
              </w:rPr>
            </w:pPr>
            <w:r>
              <w:rPr>
                <w:bCs/>
                <w:sz w:val="24"/>
                <w:szCs w:val="28"/>
              </w:rPr>
              <w:t>B、与《连云港市基于空间控制单元的环境准入制度及负面清单管理办法（试行）》（连政办发〔2018〕9号）相符性</w:t>
            </w:r>
          </w:p>
          <w:p w14:paraId="212457C1">
            <w:pPr>
              <w:keepNext/>
              <w:spacing w:line="460" w:lineRule="exact"/>
              <w:jc w:val="center"/>
              <w:rPr>
                <w:b/>
                <w:bCs/>
                <w:spacing w:val="-6"/>
                <w:kern w:val="0"/>
                <w:sz w:val="24"/>
              </w:rPr>
            </w:pPr>
            <w:r>
              <w:rPr>
                <w:b/>
                <w:bCs/>
                <w:spacing w:val="-6"/>
                <w:kern w:val="0"/>
                <w:sz w:val="24"/>
              </w:rPr>
              <w:t>表1-</w:t>
            </w:r>
            <w:r>
              <w:rPr>
                <w:rFonts w:hint="eastAsia"/>
                <w:b/>
                <w:bCs/>
                <w:spacing w:val="-6"/>
                <w:kern w:val="0"/>
                <w:sz w:val="24"/>
                <w:lang w:val="en-US" w:eastAsia="zh-CN"/>
              </w:rPr>
              <w:t>6</w:t>
            </w:r>
            <w:r>
              <w:rPr>
                <w:b/>
                <w:bCs/>
                <w:spacing w:val="-6"/>
                <w:kern w:val="0"/>
                <w:sz w:val="24"/>
              </w:rPr>
              <w:t xml:space="preserve"> 与连政办发〔2018〕9号文相符性</w:t>
            </w:r>
          </w:p>
          <w:tbl>
            <w:tblPr>
              <w:tblStyle w:val="29"/>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7"/>
              <w:gridCol w:w="2654"/>
              <w:gridCol w:w="1395"/>
            </w:tblGrid>
            <w:tr w14:paraId="4655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708" w:type="pct"/>
                  <w:vAlign w:val="center"/>
                </w:tcPr>
                <w:p w14:paraId="762FA695">
                  <w:pPr>
                    <w:pStyle w:val="61"/>
                    <w:spacing w:before="24" w:after="24"/>
                    <w:rPr>
                      <w:rFonts w:ascii="Times New Roman"/>
                      <w:b/>
                      <w:bCs/>
                      <w:szCs w:val="21"/>
                    </w:rPr>
                  </w:pPr>
                  <w:r>
                    <w:rPr>
                      <w:rFonts w:ascii="Times New Roman"/>
                      <w:b/>
                      <w:bCs/>
                      <w:szCs w:val="21"/>
                    </w:rPr>
                    <w:t>管控内涵</w:t>
                  </w:r>
                </w:p>
              </w:tc>
              <w:tc>
                <w:tcPr>
                  <w:tcW w:w="1501" w:type="pct"/>
                  <w:vAlign w:val="center"/>
                </w:tcPr>
                <w:p w14:paraId="2BC2AA26">
                  <w:pPr>
                    <w:pStyle w:val="61"/>
                    <w:spacing w:before="24" w:after="24"/>
                    <w:rPr>
                      <w:rFonts w:ascii="Times New Roman"/>
                      <w:b/>
                      <w:bCs/>
                      <w:szCs w:val="21"/>
                    </w:rPr>
                  </w:pPr>
                  <w:r>
                    <w:rPr>
                      <w:rFonts w:ascii="Times New Roman"/>
                      <w:b/>
                      <w:bCs/>
                      <w:szCs w:val="21"/>
                    </w:rPr>
                    <w:t>项目情况</w:t>
                  </w:r>
                </w:p>
              </w:tc>
              <w:tc>
                <w:tcPr>
                  <w:tcW w:w="789" w:type="pct"/>
                  <w:vAlign w:val="center"/>
                </w:tcPr>
                <w:p w14:paraId="50C39083">
                  <w:pPr>
                    <w:pStyle w:val="61"/>
                    <w:spacing w:before="24" w:after="24"/>
                    <w:rPr>
                      <w:rFonts w:ascii="Times New Roman"/>
                      <w:b/>
                      <w:bCs/>
                      <w:szCs w:val="21"/>
                    </w:rPr>
                  </w:pPr>
                  <w:r>
                    <w:rPr>
                      <w:rFonts w:ascii="Times New Roman"/>
                      <w:b/>
                      <w:bCs/>
                      <w:szCs w:val="21"/>
                    </w:rPr>
                    <w:t>相符性</w:t>
                  </w:r>
                </w:p>
              </w:tc>
            </w:tr>
            <w:tr w14:paraId="1B8F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708" w:type="pct"/>
                  <w:vAlign w:val="center"/>
                </w:tcPr>
                <w:p w14:paraId="492507D2">
                  <w:pPr>
                    <w:jc w:val="left"/>
                    <w:rPr>
                      <w:szCs w:val="21"/>
                    </w:rPr>
                  </w:pPr>
                  <w:r>
                    <w:rPr>
                      <w:rFonts w:eastAsia="瀹嬩綋"/>
                    </w:rPr>
                    <w:t>建设项目选址应符合主体功能区划、产业发展规划、城市总体规划、土地利用规划、环境保护规划、生态保护红线等要求。新建有污染物排放的工业项目应按规划进入符合产业定位的工业园区或工业集中区。</w:t>
                  </w:r>
                </w:p>
              </w:tc>
              <w:tc>
                <w:tcPr>
                  <w:tcW w:w="1501" w:type="pct"/>
                  <w:vAlign w:val="center"/>
                </w:tcPr>
                <w:p w14:paraId="23AE6B08">
                  <w:pPr>
                    <w:jc w:val="left"/>
                    <w:rPr>
                      <w:szCs w:val="21"/>
                    </w:rPr>
                  </w:pPr>
                  <w:r>
                    <w:rPr>
                      <w:rFonts w:eastAsia="瀹嬩綋"/>
                    </w:rPr>
                    <w:t>本项目属于太阳能发电技术的应用，项目的建设符合连云港市城市主体功能区划、区域产业发展规划、城市总体规划、土地利用规划、环境保护规划和生态保护红线等要求，项目建设符合区域</w:t>
                  </w:r>
                  <w:r>
                    <w:rPr>
                      <w:rFonts w:eastAsia="Times New Roman"/>
                    </w:rPr>
                    <w:t>“</w:t>
                  </w:r>
                  <w:r>
                    <w:rPr>
                      <w:rFonts w:eastAsia="瀹嬩綋"/>
                    </w:rPr>
                    <w:t>三线一单</w:t>
                  </w:r>
                  <w:r>
                    <w:rPr>
                      <w:rFonts w:eastAsia="Times New Roman"/>
                    </w:rPr>
                    <w:t>”</w:t>
                  </w:r>
                  <w:r>
                    <w:rPr>
                      <w:rFonts w:eastAsia="瀹嬩綋"/>
                    </w:rPr>
                    <w:t>。</w:t>
                  </w:r>
                </w:p>
              </w:tc>
              <w:tc>
                <w:tcPr>
                  <w:tcW w:w="789" w:type="pct"/>
                  <w:vAlign w:val="center"/>
                </w:tcPr>
                <w:p w14:paraId="376C45C5">
                  <w:pPr>
                    <w:pStyle w:val="61"/>
                    <w:spacing w:before="24" w:after="24"/>
                    <w:rPr>
                      <w:rFonts w:ascii="Times New Roman"/>
                      <w:szCs w:val="21"/>
                    </w:rPr>
                  </w:pPr>
                  <w:r>
                    <w:rPr>
                      <w:rFonts w:ascii="Times New Roman"/>
                      <w:szCs w:val="21"/>
                    </w:rPr>
                    <w:t>相符</w:t>
                  </w:r>
                </w:p>
              </w:tc>
            </w:tr>
            <w:tr w14:paraId="3073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8" w:type="pct"/>
                  <w:vAlign w:val="center"/>
                </w:tcPr>
                <w:p w14:paraId="3F97EFFD">
                  <w:pPr>
                    <w:jc w:val="left"/>
                    <w:rPr>
                      <w:rFonts w:eastAsia="瀹嬩綋"/>
                    </w:rPr>
                  </w:pPr>
                  <w:r>
                    <w:rPr>
                      <w:rFonts w:eastAsia="瀹嬩綋"/>
                    </w:rPr>
                    <w:t>依据空间管制红线，实行分级分类管控。禁止开发区域内，禁止一切形式的建设活动。风景名胜区、森林公园、重要湿地、饮用水源保护区、生态公益林、水源涵养区、洪水调蓄区、清水通道维护区、海洋保护区内实行有限准入的原则，严格限制有损主导生态功能的建设活动。</w:t>
                  </w:r>
                </w:p>
              </w:tc>
              <w:tc>
                <w:tcPr>
                  <w:tcW w:w="1501" w:type="pct"/>
                  <w:vAlign w:val="center"/>
                </w:tcPr>
                <w:p w14:paraId="50524A42">
                  <w:pPr>
                    <w:jc w:val="center"/>
                    <w:rPr>
                      <w:szCs w:val="21"/>
                    </w:rPr>
                  </w:pPr>
                  <w:r>
                    <w:rPr>
                      <w:rFonts w:eastAsia="瀹嬩綋"/>
                    </w:rPr>
                    <w:t>本项目不在生态红线和生态空间管控区范围内。</w:t>
                  </w:r>
                </w:p>
              </w:tc>
              <w:tc>
                <w:tcPr>
                  <w:tcW w:w="789" w:type="pct"/>
                  <w:vAlign w:val="center"/>
                </w:tcPr>
                <w:p w14:paraId="3D9ED2E7">
                  <w:pPr>
                    <w:spacing w:before="24" w:after="24"/>
                    <w:jc w:val="center"/>
                    <w:rPr>
                      <w:szCs w:val="21"/>
                    </w:rPr>
                  </w:pPr>
                  <w:r>
                    <w:rPr>
                      <w:szCs w:val="21"/>
                    </w:rPr>
                    <w:t>相符</w:t>
                  </w:r>
                </w:p>
              </w:tc>
            </w:tr>
            <w:tr w14:paraId="6B09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708" w:type="pct"/>
                  <w:vAlign w:val="center"/>
                </w:tcPr>
                <w:p w14:paraId="27182799">
                  <w:pPr>
                    <w:jc w:val="left"/>
                    <w:rPr>
                      <w:rFonts w:eastAsia="瀹嬩綋"/>
                    </w:rPr>
                  </w:pPr>
                  <w:r>
                    <w:rPr>
                      <w:rFonts w:eastAsia="瀹嬩綋"/>
                    </w:rPr>
                    <w:t>实施严格的流域准入控。水环境综合整治区在无法做到增产不增污的情况下，禁止新（扩）建造纸、焦化、氮肥、有色金属、印染、农副食品加工、原料药制造、制革、农药、电镀等水污染重的项目，禁止建设排放含汞、砷、镉、铬、铅等重金属污染物以及持久性有机污染物的工业项目。</w:t>
                  </w:r>
                </w:p>
              </w:tc>
              <w:tc>
                <w:tcPr>
                  <w:tcW w:w="1501" w:type="pct"/>
                  <w:vAlign w:val="center"/>
                </w:tcPr>
                <w:p w14:paraId="10F9C46F">
                  <w:pPr>
                    <w:jc w:val="left"/>
                    <w:rPr>
                      <w:szCs w:val="21"/>
                    </w:rPr>
                  </w:pPr>
                  <w:r>
                    <w:rPr>
                      <w:rFonts w:eastAsia="瀹嬩綋"/>
                    </w:rPr>
                    <w:t>本项目属于渔光互补发电项目，不属于造纸、焦化、氮肥、有色金属、印染、农副食品加工、原料药制造、制革、农药、电镀等水污染重的项目；且不属于建设排放含汞、砷、镉、铬、铅等重金属污染物以及持久性有机污染物的工业项目。</w:t>
                  </w:r>
                </w:p>
              </w:tc>
              <w:tc>
                <w:tcPr>
                  <w:tcW w:w="789" w:type="pct"/>
                  <w:vAlign w:val="center"/>
                </w:tcPr>
                <w:p w14:paraId="5CF3C430">
                  <w:pPr>
                    <w:spacing w:before="24" w:after="24"/>
                    <w:jc w:val="center"/>
                    <w:rPr>
                      <w:szCs w:val="21"/>
                    </w:rPr>
                  </w:pPr>
                  <w:r>
                    <w:rPr>
                      <w:szCs w:val="21"/>
                    </w:rPr>
                    <w:t>相符</w:t>
                  </w:r>
                </w:p>
              </w:tc>
            </w:tr>
            <w:tr w14:paraId="693B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708" w:type="pct"/>
                  <w:vAlign w:val="center"/>
                </w:tcPr>
                <w:p w14:paraId="76008412">
                  <w:pPr>
                    <w:jc w:val="left"/>
                    <w:rPr>
                      <w:rFonts w:eastAsia="瀹嬩綋"/>
                    </w:rPr>
                  </w:pPr>
                  <w:r>
                    <w:rPr>
                      <w:rFonts w:eastAsia="瀹嬩綋"/>
                    </w:rPr>
                    <w:t>严控大气污染项目，落实禁燃区要求。大气环境质量红线区禁止新（扩）建大气污染严重的火电、冶炼、水泥项目以及燃煤锅炉。禁燃区禁止销售、使用一切高污染燃料项目。</w:t>
                  </w:r>
                </w:p>
              </w:tc>
              <w:tc>
                <w:tcPr>
                  <w:tcW w:w="1501" w:type="pct"/>
                  <w:vAlign w:val="center"/>
                </w:tcPr>
                <w:p w14:paraId="60DFFEFF">
                  <w:pPr>
                    <w:jc w:val="left"/>
                    <w:rPr>
                      <w:rFonts w:eastAsia="瀹嬩綋"/>
                      <w:szCs w:val="21"/>
                    </w:rPr>
                  </w:pPr>
                  <w:r>
                    <w:rPr>
                      <w:rFonts w:eastAsia="瀹嬩綋"/>
                    </w:rPr>
                    <w:t>本项目不属于大气污染严重的项目。</w:t>
                  </w:r>
                </w:p>
              </w:tc>
              <w:tc>
                <w:tcPr>
                  <w:tcW w:w="789" w:type="pct"/>
                  <w:vAlign w:val="center"/>
                </w:tcPr>
                <w:p w14:paraId="74ED6CD4">
                  <w:pPr>
                    <w:spacing w:before="24" w:after="24"/>
                    <w:jc w:val="center"/>
                    <w:rPr>
                      <w:szCs w:val="21"/>
                    </w:rPr>
                  </w:pPr>
                  <w:r>
                    <w:rPr>
                      <w:szCs w:val="21"/>
                    </w:rPr>
                    <w:t>相符</w:t>
                  </w:r>
                </w:p>
              </w:tc>
            </w:tr>
            <w:tr w14:paraId="58D9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708" w:type="pct"/>
                  <w:vAlign w:val="center"/>
                </w:tcPr>
                <w:p w14:paraId="238758B9">
                  <w:pPr>
                    <w:jc w:val="left"/>
                    <w:rPr>
                      <w:rFonts w:eastAsia="瀹嬩綋"/>
                    </w:rPr>
                  </w:pPr>
                  <w:r>
                    <w:rPr>
                      <w:rFonts w:eastAsia="瀹嬩綋"/>
                    </w:rPr>
                    <w:t>人居安全保障区禁止新（扩）建存在重大环境安全隐患的工业项目。</w:t>
                  </w:r>
                </w:p>
              </w:tc>
              <w:tc>
                <w:tcPr>
                  <w:tcW w:w="1501" w:type="pct"/>
                  <w:vAlign w:val="center"/>
                </w:tcPr>
                <w:p w14:paraId="09E8AC03">
                  <w:pPr>
                    <w:jc w:val="left"/>
                    <w:rPr>
                      <w:szCs w:val="21"/>
                    </w:rPr>
                  </w:pPr>
                  <w:r>
                    <w:rPr>
                      <w:rFonts w:eastAsia="瀹嬩綋"/>
                    </w:rPr>
                    <w:t>本项目不属于存在重大安全隐患的工业项目。</w:t>
                  </w:r>
                </w:p>
              </w:tc>
              <w:tc>
                <w:tcPr>
                  <w:tcW w:w="789" w:type="pct"/>
                  <w:vAlign w:val="center"/>
                </w:tcPr>
                <w:p w14:paraId="1BEB3AEC">
                  <w:pPr>
                    <w:spacing w:before="24" w:after="24"/>
                    <w:jc w:val="center"/>
                    <w:rPr>
                      <w:szCs w:val="21"/>
                    </w:rPr>
                  </w:pPr>
                  <w:r>
                    <w:rPr>
                      <w:szCs w:val="21"/>
                    </w:rPr>
                    <w:t>相符</w:t>
                  </w:r>
                </w:p>
              </w:tc>
            </w:tr>
            <w:tr w14:paraId="75D3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708" w:type="pct"/>
                  <w:vAlign w:val="center"/>
                </w:tcPr>
                <w:p w14:paraId="247594B6">
                  <w:pPr>
                    <w:jc w:val="left"/>
                    <w:rPr>
                      <w:rFonts w:eastAsia="瀹嬩綋"/>
                    </w:rPr>
                  </w:pPr>
                  <w:r>
                    <w:rPr>
                      <w:rFonts w:eastAsia="瀹嬩綋"/>
                    </w:rPr>
                    <w:t>严格管控钢铁、石化、化工、火电等重点产业布局。钢铁重点布局在赣榆临港产业区，石化重点布局在徐圩新区，化工项目按不同园区的产业定位，布局在具有其产业定位的园区内，严格执行《市政府关于印发连云港市深入推进化工行业转型发展实施细则的通知》（连政办发</w:t>
                  </w:r>
                  <w:r>
                    <w:t>〔</w:t>
                  </w:r>
                  <w:r>
                    <w:rPr>
                      <w:rFonts w:eastAsia="Times New Roman"/>
                    </w:rPr>
                    <w:t>2017</w:t>
                  </w:r>
                  <w:r>
                    <w:t>〕</w:t>
                  </w:r>
                  <w:r>
                    <w:rPr>
                      <w:rFonts w:eastAsia="Times New Roman"/>
                    </w:rPr>
                    <w:t>7</w:t>
                  </w:r>
                  <w:r>
                    <w:rPr>
                      <w:rFonts w:eastAsia="瀹嬩綋"/>
                    </w:rPr>
                    <w:t>号）和《关于印发连云港市化工产业建设项目环境准入管控要求和负面清单的通知》（连环发</w:t>
                  </w:r>
                  <w:r>
                    <w:t>〔</w:t>
                  </w:r>
                  <w:r>
                    <w:rPr>
                      <w:rFonts w:eastAsia="Times New Roman"/>
                    </w:rPr>
                    <w:t>2017</w:t>
                  </w:r>
                  <w:r>
                    <w:t>〕</w:t>
                  </w:r>
                  <w:r>
                    <w:rPr>
                      <w:rFonts w:eastAsia="Times New Roman"/>
                    </w:rPr>
                    <w:t>134</w:t>
                  </w:r>
                  <w:r>
                    <w:rPr>
                      <w:rFonts w:eastAsia="瀹嬩綋"/>
                    </w:rPr>
                    <w:t>号）。重点建设徐圩</w:t>
                  </w:r>
                  <w:r>
                    <w:rPr>
                      <w:rFonts w:eastAsia="Times New Roman"/>
                    </w:rPr>
                    <w:t>IGCC</w:t>
                  </w:r>
                  <w:r>
                    <w:rPr>
                      <w:rFonts w:eastAsia="瀹嬩綋"/>
                    </w:rPr>
                    <w:t>和赣榆天然气热电联产电厂，其他地区原则上不再新建燃煤电厂。</w:t>
                  </w:r>
                </w:p>
              </w:tc>
              <w:tc>
                <w:tcPr>
                  <w:tcW w:w="1501" w:type="pct"/>
                  <w:vAlign w:val="center"/>
                </w:tcPr>
                <w:p w14:paraId="42242B36">
                  <w:pPr>
                    <w:jc w:val="left"/>
                    <w:rPr>
                      <w:szCs w:val="21"/>
                    </w:rPr>
                  </w:pPr>
                  <w:r>
                    <w:rPr>
                      <w:rFonts w:eastAsia="瀹嬩綋"/>
                    </w:rPr>
                    <w:t>本项目不属钢铁、石化、化工、火电等重点产业。</w:t>
                  </w:r>
                </w:p>
              </w:tc>
              <w:tc>
                <w:tcPr>
                  <w:tcW w:w="789" w:type="pct"/>
                  <w:vAlign w:val="center"/>
                </w:tcPr>
                <w:p w14:paraId="6ED3E26D">
                  <w:pPr>
                    <w:spacing w:before="24" w:after="24"/>
                    <w:jc w:val="center"/>
                    <w:rPr>
                      <w:szCs w:val="21"/>
                    </w:rPr>
                  </w:pPr>
                  <w:r>
                    <w:rPr>
                      <w:szCs w:val="21"/>
                    </w:rPr>
                    <w:t>相符</w:t>
                  </w:r>
                </w:p>
              </w:tc>
            </w:tr>
            <w:tr w14:paraId="26C4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708" w:type="pct"/>
                  <w:vAlign w:val="center"/>
                </w:tcPr>
                <w:p w14:paraId="4AB9044F">
                  <w:pPr>
                    <w:jc w:val="left"/>
                    <w:rPr>
                      <w:rFonts w:eastAsia="瀹嬩綋"/>
                    </w:rPr>
                  </w:pPr>
                  <w:r>
                    <w:rPr>
                      <w:rFonts w:eastAsia="瀹嬩綋"/>
                    </w:rPr>
                    <w:t>工业项目应符合产业政策，不得采用国家、省和本市淘汰的或禁止使用的工艺、技术和设备，不得建设生产工艺或污染防治技术不成熟的项目；</w:t>
                  </w:r>
                </w:p>
                <w:p w14:paraId="6E65A45F">
                  <w:pPr>
                    <w:jc w:val="left"/>
                    <w:rPr>
                      <w:rFonts w:eastAsia="瀹嬩綋"/>
                    </w:rPr>
                  </w:pPr>
                  <w:r>
                    <w:rPr>
                      <w:rFonts w:eastAsia="瀹嬩綋"/>
                    </w:rPr>
                    <w:t>限制列入环境保护综合名录（</w:t>
                  </w:r>
                  <w:r>
                    <w:rPr>
                      <w:rFonts w:eastAsia="Times New Roman"/>
                    </w:rPr>
                    <w:t>2015</w:t>
                  </w:r>
                  <w:r>
                    <w:rPr>
                      <w:rFonts w:eastAsia="瀹嬩綋"/>
                    </w:rPr>
                    <w:t>年版）的高污染、高环境风险产品的生产。</w:t>
                  </w:r>
                </w:p>
              </w:tc>
              <w:tc>
                <w:tcPr>
                  <w:tcW w:w="1501" w:type="pct"/>
                  <w:vAlign w:val="center"/>
                </w:tcPr>
                <w:p w14:paraId="3F9AADC5">
                  <w:pPr>
                    <w:jc w:val="center"/>
                    <w:rPr>
                      <w:szCs w:val="21"/>
                    </w:rPr>
                  </w:pPr>
                  <w:r>
                    <w:rPr>
                      <w:rFonts w:eastAsia="瀹嬩綋"/>
                    </w:rPr>
                    <w:t>本项目的建设符合国家及地方的产业政策；且本项目不生产《环境保护综合名录》（</w:t>
                  </w:r>
                  <w:r>
                    <w:rPr>
                      <w:rFonts w:eastAsia="Times New Roman"/>
                    </w:rPr>
                    <w:t xml:space="preserve">2021 </w:t>
                  </w:r>
                  <w:r>
                    <w:rPr>
                      <w:rFonts w:eastAsia="瀹嬩綋"/>
                    </w:rPr>
                    <w:t>年版）中高污染、高环境风险产品。</w:t>
                  </w:r>
                </w:p>
              </w:tc>
              <w:tc>
                <w:tcPr>
                  <w:tcW w:w="789" w:type="pct"/>
                  <w:vAlign w:val="center"/>
                </w:tcPr>
                <w:p w14:paraId="3C1A929C">
                  <w:pPr>
                    <w:spacing w:before="24" w:after="24"/>
                    <w:jc w:val="center"/>
                    <w:rPr>
                      <w:szCs w:val="21"/>
                    </w:rPr>
                  </w:pPr>
                  <w:r>
                    <w:rPr>
                      <w:szCs w:val="21"/>
                    </w:rPr>
                    <w:t>相符</w:t>
                  </w:r>
                </w:p>
              </w:tc>
            </w:tr>
            <w:tr w14:paraId="4212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708" w:type="pct"/>
                  <w:vAlign w:val="center"/>
                </w:tcPr>
                <w:p w14:paraId="42C76F23">
                  <w:pPr>
                    <w:jc w:val="left"/>
                    <w:rPr>
                      <w:rFonts w:eastAsia="瀹嬩綋"/>
                    </w:rPr>
                  </w:pPr>
                  <w:r>
                    <w:rPr>
                      <w:rFonts w:eastAsia="瀹嬩綋"/>
                    </w:rPr>
                    <w:t>工业项目排放污染物必须达到国家和地方规定的污染物排放标准，新建企业生产技术和工艺、水耗、能耗、物耗、产排污情况及环境管理等方面应达到国内先进水平（有清洁生产标准的不得低于国内清洁生产先进水平，有国家效率指南的执行国家先进</w:t>
                  </w:r>
                  <w:r>
                    <w:rPr>
                      <w:rFonts w:eastAsia="Times New Roman"/>
                    </w:rPr>
                    <w:t>/</w:t>
                  </w:r>
                  <w:r>
                    <w:rPr>
                      <w:rFonts w:eastAsia="瀹嬩綋"/>
                    </w:rPr>
                    <w:t>标杆水平），扩建、改建的工业项目清洁生产水平不得低于国家清洁生产先进水平。</w:t>
                  </w:r>
                </w:p>
              </w:tc>
              <w:tc>
                <w:tcPr>
                  <w:tcW w:w="1501" w:type="pct"/>
                  <w:vAlign w:val="center"/>
                </w:tcPr>
                <w:p w14:paraId="1EE69629">
                  <w:pPr>
                    <w:jc w:val="left"/>
                    <w:rPr>
                      <w:szCs w:val="21"/>
                    </w:rPr>
                  </w:pPr>
                  <w:r>
                    <w:rPr>
                      <w:rFonts w:eastAsia="瀹嬩綋"/>
                    </w:rPr>
                    <w:t>本项目排放污染物满足国家和地方规定的污染物排放标准；项目属于生态类项目，将太阳能转化为电能，太阳能为清洁能源，项目本身即为清洁能源行业，项目产排污情况优于江苏省连云港市相关指标，项目建成后将制定严格的环境管理制度等。</w:t>
                  </w:r>
                </w:p>
              </w:tc>
              <w:tc>
                <w:tcPr>
                  <w:tcW w:w="789" w:type="pct"/>
                  <w:vAlign w:val="center"/>
                </w:tcPr>
                <w:p w14:paraId="62E42EBD">
                  <w:pPr>
                    <w:spacing w:before="24" w:after="24"/>
                    <w:jc w:val="center"/>
                    <w:rPr>
                      <w:szCs w:val="21"/>
                    </w:rPr>
                  </w:pPr>
                  <w:r>
                    <w:rPr>
                      <w:szCs w:val="21"/>
                    </w:rPr>
                    <w:t>相符</w:t>
                  </w:r>
                </w:p>
              </w:tc>
            </w:tr>
            <w:tr w14:paraId="1939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708" w:type="pct"/>
                  <w:vAlign w:val="center"/>
                </w:tcPr>
                <w:p w14:paraId="7B0911F3">
                  <w:pPr>
                    <w:jc w:val="left"/>
                    <w:rPr>
                      <w:rFonts w:eastAsia="瀹嬩綋"/>
                    </w:rPr>
                  </w:pPr>
                  <w:r>
                    <w:rPr>
                      <w:rFonts w:eastAsia="瀹嬩綋"/>
                    </w:rPr>
                    <w:t>工业项目选址区域应有相应的环境容量，未按要求完</w:t>
                  </w:r>
                  <w:r>
                    <w:rPr>
                      <w:rFonts w:eastAsia="瀹嬩綋"/>
                    </w:rPr>
                    <w:cr/>
                  </w:r>
                  <w:r>
                    <w:rPr>
                      <w:rFonts w:eastAsia="瀹嬩綋"/>
                    </w:rPr>
                    <w:t>污染物总量削减任务的区域和流域，不得建设新增相应污染物排放量的工业项目。</w:t>
                  </w:r>
                </w:p>
              </w:tc>
              <w:tc>
                <w:tcPr>
                  <w:tcW w:w="1501" w:type="pct"/>
                  <w:vAlign w:val="center"/>
                </w:tcPr>
                <w:p w14:paraId="1E15B18F">
                  <w:pPr>
                    <w:jc w:val="left"/>
                    <w:rPr>
                      <w:szCs w:val="21"/>
                    </w:rPr>
                  </w:pPr>
                  <w:r>
                    <w:rPr>
                      <w:rFonts w:eastAsia="瀹嬩綋"/>
                    </w:rPr>
                    <w:t>根据区域环境质量现状结果，项目区域为环境空气质量达标区，本项目为生态类项目。</w:t>
                  </w:r>
                </w:p>
              </w:tc>
              <w:tc>
                <w:tcPr>
                  <w:tcW w:w="789" w:type="pct"/>
                  <w:vAlign w:val="center"/>
                </w:tcPr>
                <w:p w14:paraId="64320445">
                  <w:pPr>
                    <w:spacing w:before="24" w:after="24"/>
                    <w:jc w:val="center"/>
                    <w:rPr>
                      <w:szCs w:val="21"/>
                    </w:rPr>
                  </w:pPr>
                  <w:r>
                    <w:rPr>
                      <w:szCs w:val="21"/>
                    </w:rPr>
                    <w:t>相符</w:t>
                  </w:r>
                </w:p>
              </w:tc>
            </w:tr>
          </w:tbl>
          <w:p w14:paraId="0E366DDE">
            <w:pPr>
              <w:adjustRightInd w:val="0"/>
              <w:snapToGrid w:val="0"/>
              <w:spacing w:line="360" w:lineRule="auto"/>
              <w:ind w:firstLine="480" w:firstLineChars="200"/>
              <w:rPr>
                <w:sz w:val="24"/>
              </w:rPr>
            </w:pPr>
            <w:r>
              <w:rPr>
                <w:kern w:val="0"/>
                <w:sz w:val="24"/>
              </w:rPr>
              <w:t>综上所述，本项目建设符合“三线一单”相关要求。</w:t>
            </w:r>
          </w:p>
          <w:p w14:paraId="40169B8A">
            <w:pPr>
              <w:adjustRightInd w:val="0"/>
              <w:snapToGrid w:val="0"/>
              <w:spacing w:line="360" w:lineRule="auto"/>
              <w:ind w:firstLine="482" w:firstLineChars="200"/>
              <w:rPr>
                <w:b/>
                <w:sz w:val="24"/>
                <w:szCs w:val="28"/>
              </w:rPr>
            </w:pPr>
            <w:r>
              <w:rPr>
                <w:b/>
                <w:sz w:val="24"/>
                <w:szCs w:val="28"/>
              </w:rPr>
              <w:t>4、与《国务院关于印发2030年前碳达峰行动方案的通知》（国发</w:t>
            </w:r>
            <w:r>
              <w:rPr>
                <w:b/>
                <w:sz w:val="24"/>
                <w:szCs w:val="20"/>
              </w:rPr>
              <w:t>〔2021〕</w:t>
            </w:r>
            <w:r>
              <w:rPr>
                <w:b/>
                <w:sz w:val="24"/>
                <w:szCs w:val="28"/>
              </w:rPr>
              <w:t>23号）的相符性分析</w:t>
            </w:r>
          </w:p>
          <w:p w14:paraId="495CD692">
            <w:pPr>
              <w:adjustRightInd w:val="0"/>
              <w:snapToGrid w:val="0"/>
              <w:spacing w:line="360" w:lineRule="auto"/>
              <w:ind w:firstLine="480" w:firstLineChars="200"/>
              <w:rPr>
                <w:bCs/>
                <w:sz w:val="24"/>
                <w:szCs w:val="28"/>
              </w:rPr>
            </w:pPr>
            <w:r>
              <w:rPr>
                <w:bCs/>
                <w:sz w:val="24"/>
                <w:szCs w:val="28"/>
              </w:rPr>
              <w:t>根据《国务院关于印发2030年前碳达峰行动方案的通知》（国发</w:t>
            </w:r>
            <w:r>
              <w:rPr>
                <w:sz w:val="24"/>
                <w:szCs w:val="20"/>
              </w:rPr>
              <w:t>〔2021〕</w:t>
            </w:r>
            <w:r>
              <w:rPr>
                <w:bCs/>
                <w:sz w:val="24"/>
                <w:szCs w:val="28"/>
              </w:rPr>
              <w:t>23号）：大力发展新能源，全面推进风电、太阳能发电大规模开发和高质量发展坚持集中式与分布式并举，加快建设风电和光伏发电基地。加快智能光伏产业创新升级和特色应用，创新“光伏+”模式，推进光伏发电多元布局。坚持陆海并重，推动风电协调快速发展，完善海上风电产业链，鼓励建设海上风电基地。积极发展太阳能光热发电，推动建立光热发电与光伏发电、风电互补调节的风光热综合可再生能源发电基地。因地制宜发展生物质发电、生物质能清洁供暖和生物天然气。探索深化地热能以及波浪能、潮流能、温差能等海洋新能源开发利用。进一步完善可再生能源电力消纳保障机制。到2030年，风电、太阳能发电总装机容量达到12亿千瓦以上。</w:t>
            </w:r>
          </w:p>
          <w:p w14:paraId="1C683DD8">
            <w:pPr>
              <w:spacing w:line="360" w:lineRule="auto"/>
              <w:ind w:firstLine="480" w:firstLineChars="200"/>
              <w:rPr>
                <w:bCs/>
                <w:sz w:val="24"/>
                <w:szCs w:val="28"/>
              </w:rPr>
            </w:pPr>
            <w:r>
              <w:rPr>
                <w:bCs/>
                <w:sz w:val="24"/>
                <w:szCs w:val="28"/>
              </w:rPr>
              <w:t>本项目是渔光互补光伏发电项目，采用光伏＋渔业的模式，积极推动太阳能光热发电，推进光伏发电多元布局。因此，本项目与《国务院关于印发2030年前碳达峰行动方案的通知》（国发〔2021〕23号）相符。</w:t>
            </w:r>
          </w:p>
          <w:p w14:paraId="4DDE69DC">
            <w:pPr>
              <w:numPr>
                <w:ilvl w:val="0"/>
                <w:numId w:val="4"/>
              </w:numPr>
              <w:adjustRightInd w:val="0"/>
              <w:snapToGrid w:val="0"/>
              <w:spacing w:line="360" w:lineRule="auto"/>
              <w:ind w:firstLine="482" w:firstLineChars="200"/>
              <w:rPr>
                <w:b/>
                <w:sz w:val="24"/>
                <w:szCs w:val="28"/>
              </w:rPr>
            </w:pPr>
            <w:r>
              <w:rPr>
                <w:b/>
                <w:sz w:val="24"/>
                <w:szCs w:val="28"/>
              </w:rPr>
              <w:t>《“十四五”工业绿色发展规划》工信部规〔2021〕178号</w:t>
            </w:r>
          </w:p>
          <w:p w14:paraId="2285B727">
            <w:pPr>
              <w:adjustRightInd w:val="0"/>
              <w:snapToGrid w:val="0"/>
              <w:spacing w:line="360" w:lineRule="auto"/>
              <w:ind w:firstLine="480" w:firstLineChars="200"/>
              <w:jc w:val="left"/>
              <w:rPr>
                <w:bCs/>
                <w:sz w:val="24"/>
                <w:szCs w:val="28"/>
              </w:rPr>
            </w:pPr>
            <w:r>
              <w:rPr>
                <w:bCs/>
                <w:sz w:val="24"/>
                <w:szCs w:val="28"/>
              </w:rPr>
              <w:t>根据《“十四五”工业绿色发展规划》工信部规〔2021〕178号：到2025年，工业产业结构、生产方式绿色转型取得显著成效，绿色低碳技术装备广泛应用，能源资源利用效率大幅提高，绿色制造水平全面提升，为2030年工业领域碳达峰奠定坚实基础。</w:t>
            </w:r>
          </w:p>
          <w:p w14:paraId="41B9DDF0">
            <w:pPr>
              <w:adjustRightInd w:val="0"/>
              <w:snapToGrid w:val="0"/>
              <w:spacing w:line="360" w:lineRule="auto"/>
              <w:ind w:firstLine="480" w:firstLineChars="200"/>
              <w:jc w:val="left"/>
              <w:rPr>
                <w:bCs/>
                <w:sz w:val="24"/>
                <w:szCs w:val="28"/>
              </w:rPr>
            </w:pPr>
            <w:r>
              <w:rPr>
                <w:bCs/>
                <w:sz w:val="24"/>
                <w:szCs w:val="28"/>
              </w:rPr>
              <w:t>本项目是渔光互补光伏发电项目，推动太阳能光热发电，可减少传统煤电可以有效减少二氧化碳排放。因此，本项目与《“十四五”工业绿色发展规划》工信部规〔2021〕178号相符。</w:t>
            </w:r>
          </w:p>
          <w:p w14:paraId="60F93168">
            <w:pPr>
              <w:numPr>
                <w:ilvl w:val="0"/>
                <w:numId w:val="4"/>
              </w:numPr>
              <w:adjustRightInd w:val="0"/>
              <w:snapToGrid w:val="0"/>
              <w:spacing w:line="360" w:lineRule="auto"/>
              <w:ind w:firstLine="482" w:firstLineChars="200"/>
              <w:rPr>
                <w:b/>
                <w:sz w:val="24"/>
                <w:szCs w:val="28"/>
              </w:rPr>
            </w:pPr>
            <w:r>
              <w:rPr>
                <w:b/>
                <w:sz w:val="24"/>
                <w:szCs w:val="28"/>
              </w:rPr>
              <w:t>《省政府办公厅关于江苏省“十四五”全社会节能的实施意见》（苏政办发〔2021〕105号）</w:t>
            </w:r>
          </w:p>
          <w:p w14:paraId="1EC9348C">
            <w:pPr>
              <w:adjustRightInd w:val="0"/>
              <w:snapToGrid w:val="0"/>
              <w:spacing w:line="360" w:lineRule="auto"/>
              <w:ind w:firstLine="480" w:firstLineChars="200"/>
              <w:jc w:val="left"/>
              <w:rPr>
                <w:bCs/>
                <w:sz w:val="24"/>
                <w:szCs w:val="28"/>
              </w:rPr>
            </w:pPr>
            <w:r>
              <w:rPr>
                <w:bCs/>
                <w:sz w:val="24"/>
                <w:szCs w:val="28"/>
              </w:rPr>
              <w:t>根据《省政府办公厅关于江苏省“十四五”全社会节能的实施意见》（苏政办发〔2021〕105号），“十四五”期间重点任务要求：将节能贯穿于经济社会发展各领域和全过程，推进资源全面节约、集约、循环利用，增强全民节约意识，倡导简约适度、绿色低碳的生产、生活方式，促进经济社会全面绿色转型。</w:t>
            </w:r>
          </w:p>
          <w:p w14:paraId="11A9F99F">
            <w:pPr>
              <w:adjustRightInd w:val="0"/>
              <w:snapToGrid w:val="0"/>
              <w:spacing w:line="360" w:lineRule="auto"/>
              <w:ind w:firstLine="480" w:firstLineChars="200"/>
              <w:jc w:val="left"/>
              <w:rPr>
                <w:bCs/>
                <w:sz w:val="24"/>
                <w:szCs w:val="28"/>
              </w:rPr>
            </w:pPr>
            <w:r>
              <w:rPr>
                <w:bCs/>
                <w:sz w:val="24"/>
                <w:szCs w:val="28"/>
              </w:rPr>
              <w:t>本项目是渔光互补光伏发电项目，项目的建设有利于推进区域太阳能资源有序开发，是能资源的循环利用。因此，本项目与《省政府办公厅关于江苏省“十四五”全社会节能的实施意见》（苏政办发〔2021〕105号）相符。</w:t>
            </w:r>
          </w:p>
          <w:p w14:paraId="69943684">
            <w:pPr>
              <w:adjustRightInd w:val="0"/>
              <w:snapToGrid w:val="0"/>
              <w:spacing w:line="360" w:lineRule="auto"/>
              <w:ind w:firstLine="482" w:firstLineChars="200"/>
              <w:rPr>
                <w:b/>
                <w:sz w:val="24"/>
                <w:szCs w:val="28"/>
              </w:rPr>
            </w:pPr>
            <w:r>
              <w:rPr>
                <w:b/>
                <w:sz w:val="24"/>
                <w:szCs w:val="28"/>
              </w:rPr>
              <w:t>7、《江苏省“十四五”生态环境保护规划》（苏政办发〔2021〕84号）</w:t>
            </w:r>
          </w:p>
          <w:p w14:paraId="52733051">
            <w:pPr>
              <w:adjustRightInd w:val="0"/>
              <w:snapToGrid w:val="0"/>
              <w:spacing w:line="360" w:lineRule="auto"/>
              <w:ind w:firstLine="480" w:firstLineChars="200"/>
              <w:rPr>
                <w:bCs/>
                <w:sz w:val="24"/>
                <w:szCs w:val="28"/>
              </w:rPr>
            </w:pPr>
            <w:r>
              <w:rPr>
                <w:bCs/>
                <w:sz w:val="24"/>
                <w:szCs w:val="28"/>
              </w:rPr>
              <w:t>根据《江苏省“十四五”生态环境保护规划》（苏政办发〔2021〕84号），“十四五”期间加强源头治理，推动经济社会全面绿色转型：大力发展清洁能源。实施“沐光”专项行动，扩大分布式光伏发电规模，推进太阳能多形式、大范围、高效率转化应用。</w:t>
            </w:r>
          </w:p>
          <w:p w14:paraId="3CF09A8E">
            <w:pPr>
              <w:adjustRightInd w:val="0"/>
              <w:snapToGrid w:val="0"/>
              <w:spacing w:line="360" w:lineRule="auto"/>
              <w:ind w:firstLine="480" w:firstLineChars="200"/>
              <w:rPr>
                <w:bCs/>
                <w:sz w:val="24"/>
                <w:szCs w:val="28"/>
              </w:rPr>
            </w:pPr>
            <w:r>
              <w:rPr>
                <w:bCs/>
                <w:sz w:val="24"/>
                <w:szCs w:val="28"/>
              </w:rPr>
              <w:t>项目位于</w:t>
            </w:r>
            <w:r>
              <w:rPr>
                <w:rFonts w:hint="eastAsia"/>
                <w:bCs/>
                <w:sz w:val="24"/>
                <w:szCs w:val="28"/>
              </w:rPr>
              <w:t>连云港市经济技术开发区青口盐场</w:t>
            </w:r>
            <w:r>
              <w:rPr>
                <w:bCs/>
                <w:sz w:val="24"/>
                <w:szCs w:val="28"/>
              </w:rPr>
              <w:t>，主要利用当地坑塘水面建设光伏电站，项目的建设进一步扩大了当地分布式光伏发电规模，与《江苏省“十四五”生态环境保护规划》（苏政办发〔2021〕84号相符。</w:t>
            </w:r>
          </w:p>
          <w:p w14:paraId="2A3DC12D">
            <w:pPr>
              <w:pStyle w:val="166"/>
              <w:spacing w:line="360" w:lineRule="auto"/>
              <w:ind w:firstLine="482"/>
              <w:rPr>
                <w:rFonts w:cs="Times New Roman"/>
                <w:b/>
                <w:kern w:val="0"/>
                <w:sz w:val="24"/>
                <w:szCs w:val="24"/>
              </w:rPr>
            </w:pPr>
            <w:r>
              <w:rPr>
                <w:rFonts w:cs="Times New Roman"/>
                <w:b/>
                <w:kern w:val="0"/>
                <w:sz w:val="24"/>
                <w:szCs w:val="24"/>
              </w:rPr>
              <w:t>8、与江苏省“十四五”可再生能源发展专项规划相符性分析</w:t>
            </w:r>
          </w:p>
          <w:p w14:paraId="7084B6B0">
            <w:pPr>
              <w:spacing w:line="360" w:lineRule="auto"/>
              <w:ind w:firstLine="480" w:firstLineChars="200"/>
              <w:rPr>
                <w:kern w:val="0"/>
                <w:sz w:val="24"/>
              </w:rPr>
            </w:pPr>
            <w:r>
              <w:rPr>
                <w:kern w:val="0"/>
                <w:sz w:val="24"/>
              </w:rPr>
              <w:t>“三、重点任务（二）</w:t>
            </w:r>
            <w:r>
              <w:rPr>
                <w:bCs/>
                <w:sz w:val="24"/>
              </w:rPr>
              <w:t>因地制宜发展光伏发电 加快推进“光伏+”综合利用。结合生态立体土地综合利用，充分发挥光伏发电与农林牧渔业发展协同优势，在确保农林牧渔业稳产保供前提下，依托农业种植、渔业养殖、生态修复等，因地制宜利用垦区农场、采煤塌陷区、沿海滩涂、养殖鱼塘、农业大棚、山地丘陵等空间资源，开展集中式光伏电站建设。在太阳能资源禀赋较好、建设条件优越、具备持续整体开发条件的地区，优化推进“光伏+”基地化开发。鼓励推广“光伏+”生态旅游、光伏特色小镇等，促进光伏与多种产业有机融合，扩展集中式光伏发电发展空间。稳步有序开展海上光伏建设。到2025年，全省集中式光伏发电装机达到2000万千瓦以上。”</w:t>
            </w:r>
          </w:p>
          <w:p w14:paraId="5DBD0539">
            <w:pPr>
              <w:pStyle w:val="166"/>
              <w:adjustRightInd/>
              <w:snapToGrid/>
              <w:spacing w:line="360" w:lineRule="auto"/>
              <w:ind w:firstLine="480"/>
              <w:rPr>
                <w:rFonts w:cs="Times New Roman"/>
                <w:kern w:val="0"/>
                <w:sz w:val="24"/>
                <w:szCs w:val="24"/>
              </w:rPr>
            </w:pPr>
            <w:r>
              <w:rPr>
                <w:rFonts w:cs="Times New Roman"/>
                <w:bCs/>
                <w:sz w:val="24"/>
              </w:rPr>
              <w:t>本项目属于渔光互补发电项目，符合能源发展专项规划要求。</w:t>
            </w:r>
          </w:p>
          <w:p w14:paraId="20384C28">
            <w:pPr>
              <w:pStyle w:val="10"/>
              <w:ind w:firstLine="480" w:firstLineChars="200"/>
              <w:rPr>
                <w:bCs/>
                <w:kern w:val="2"/>
                <w:sz w:val="24"/>
                <w:szCs w:val="24"/>
              </w:rPr>
            </w:pPr>
            <w:r>
              <w:rPr>
                <w:bCs/>
                <w:kern w:val="2"/>
                <w:sz w:val="24"/>
                <w:szCs w:val="24"/>
              </w:rPr>
              <w:t>（3）其他管理要求</w:t>
            </w:r>
          </w:p>
          <w:p w14:paraId="40A7E0F2">
            <w:pPr>
              <w:widowControl/>
              <w:spacing w:line="360" w:lineRule="auto"/>
              <w:ind w:firstLine="482" w:firstLineChars="200"/>
              <w:rPr>
                <w:b/>
                <w:bCs/>
                <w:sz w:val="24"/>
              </w:rPr>
            </w:pPr>
            <w:r>
              <w:rPr>
                <w:b/>
                <w:bCs/>
                <w:sz w:val="24"/>
              </w:rPr>
              <w:t>项目输电线路、升压变电站的电磁辐射另行环评，本次不进行评价。</w:t>
            </w:r>
          </w:p>
          <w:p w14:paraId="1DFD6CF1">
            <w:pPr>
              <w:spacing w:line="360" w:lineRule="auto"/>
              <w:ind w:firstLine="480" w:firstLineChars="200"/>
            </w:pPr>
            <w:r>
              <w:rPr>
                <w:bCs/>
                <w:sz w:val="24"/>
              </w:rPr>
              <w:t>项目不涉及渔业养殖，渔业养殖及污染物产生情况应另行进行评价，不在本项目评价内容。本项目不属于《</w:t>
            </w:r>
            <w:r>
              <w:rPr>
                <w:rFonts w:hint="eastAsia"/>
                <w:bCs/>
                <w:sz w:val="24"/>
              </w:rPr>
              <w:t>连云港市连云区养殖水域滩涂规划（2022-2030年）修编</w:t>
            </w:r>
            <w:r>
              <w:rPr>
                <w:bCs/>
                <w:sz w:val="24"/>
              </w:rPr>
              <w:t>》划定的禁养区、限养区范围，后续渔业评价部分应根据《</w:t>
            </w:r>
            <w:r>
              <w:rPr>
                <w:rFonts w:hint="eastAsia"/>
                <w:bCs/>
                <w:sz w:val="24"/>
              </w:rPr>
              <w:t>连云港市连云区养殖水域滩涂规划（2022-2030年）修编</w:t>
            </w:r>
            <w:r>
              <w:rPr>
                <w:bCs/>
                <w:sz w:val="24"/>
              </w:rPr>
              <w:t>》要求：“养殖区内符合条件的养殖生产者，应依法申领水域滩涂养殖场证。在养殖生产过程中不得使用任何农药、禁药进行清塘、清淤。应当科学确定养殖密度，合理投饵、使用药物，防止造成水域环境污染，养殖生产应符合《水产养殖质量安全管理规定》。重点加强养殖基地水电路等公共基础设施配套建设、池塘标准化改造提档升级、养殖循环水生态净化设施建设。重点发展无公害标准化生态健康养殖，养殖模式上推广池塘工业化循环水养殖模式、多级人工湿地养殖模式等生态环保节能型新模式；运用生态学效应，实现种养平衡。实施配合饲料替代冰鲜幼杂鱼行动，严格限制冰鲜杂鱼等直接投喂，推动用水和养水相结合。水库养殖需经水库管理部门同意，签订养殖协议，确定养殖区域、品种、方式，鼓励发展不投饵的生态养殖。逐步建立必要尾水处理设施和功能区，养殖尾水排放严格执行《池塘养殖尾水排放标准》（DB32/4043-2021），或将养殖用水循环使用。养殖生产者收集的养殖底泥应用于塘堤护坡或用于种植农产品的肥料，不得随意处置，防止造成二次污染。”</w:t>
            </w:r>
          </w:p>
          <w:p w14:paraId="58B96F4A">
            <w:pPr>
              <w:spacing w:line="360" w:lineRule="auto"/>
              <w:ind w:firstLine="420" w:firstLineChars="200"/>
            </w:pPr>
          </w:p>
          <w:p w14:paraId="7FECD4DB">
            <w:pPr>
              <w:spacing w:line="360" w:lineRule="auto"/>
              <w:ind w:firstLine="420" w:firstLineChars="200"/>
            </w:pPr>
          </w:p>
          <w:p w14:paraId="405C4B6B">
            <w:pPr>
              <w:spacing w:line="360" w:lineRule="auto"/>
              <w:ind w:firstLine="420" w:firstLineChars="200"/>
            </w:pPr>
          </w:p>
          <w:p w14:paraId="427FA73B">
            <w:pPr>
              <w:spacing w:line="360" w:lineRule="auto"/>
              <w:ind w:firstLine="420" w:firstLineChars="200"/>
            </w:pPr>
          </w:p>
          <w:p w14:paraId="45126817">
            <w:pPr>
              <w:spacing w:line="360" w:lineRule="auto"/>
              <w:ind w:firstLine="420" w:firstLineChars="200"/>
            </w:pPr>
          </w:p>
          <w:p w14:paraId="410D1C63">
            <w:pPr>
              <w:spacing w:line="360" w:lineRule="auto"/>
              <w:ind w:firstLine="420" w:firstLineChars="200"/>
            </w:pPr>
          </w:p>
          <w:p w14:paraId="276B1DFA">
            <w:pPr>
              <w:spacing w:line="360" w:lineRule="auto"/>
              <w:ind w:firstLine="420" w:firstLineChars="200"/>
            </w:pPr>
          </w:p>
          <w:p w14:paraId="37C9CA2B">
            <w:pPr>
              <w:spacing w:line="360" w:lineRule="auto"/>
              <w:ind w:firstLine="420" w:firstLineChars="200"/>
            </w:pPr>
          </w:p>
          <w:p w14:paraId="6E6CEE42">
            <w:pPr>
              <w:spacing w:line="360" w:lineRule="auto"/>
              <w:ind w:firstLine="420" w:firstLineChars="200"/>
            </w:pPr>
          </w:p>
          <w:p w14:paraId="45D90249">
            <w:pPr>
              <w:spacing w:line="360" w:lineRule="auto"/>
              <w:ind w:firstLine="420" w:firstLineChars="200"/>
            </w:pPr>
          </w:p>
          <w:p w14:paraId="680FAF7E">
            <w:pPr>
              <w:spacing w:line="360" w:lineRule="auto"/>
              <w:ind w:firstLine="420" w:firstLineChars="200"/>
            </w:pPr>
          </w:p>
          <w:p w14:paraId="3F3667AE">
            <w:pPr>
              <w:spacing w:line="360" w:lineRule="auto"/>
              <w:ind w:firstLine="420" w:firstLineChars="200"/>
            </w:pPr>
          </w:p>
          <w:p w14:paraId="38B6A124">
            <w:pPr>
              <w:spacing w:line="360" w:lineRule="auto"/>
              <w:ind w:firstLine="420" w:firstLineChars="200"/>
            </w:pPr>
          </w:p>
          <w:p w14:paraId="4C323503">
            <w:pPr>
              <w:spacing w:line="360" w:lineRule="auto"/>
              <w:ind w:firstLine="420" w:firstLineChars="200"/>
            </w:pPr>
          </w:p>
          <w:p w14:paraId="471BF850">
            <w:pPr>
              <w:spacing w:line="360" w:lineRule="auto"/>
              <w:ind w:firstLine="420" w:firstLineChars="200"/>
            </w:pPr>
          </w:p>
          <w:p w14:paraId="546CD068">
            <w:pPr>
              <w:spacing w:line="360" w:lineRule="auto"/>
              <w:ind w:firstLine="420" w:firstLineChars="200"/>
            </w:pPr>
          </w:p>
          <w:p w14:paraId="5D223492">
            <w:pPr>
              <w:spacing w:line="360" w:lineRule="auto"/>
              <w:ind w:firstLine="420" w:firstLineChars="200"/>
            </w:pPr>
          </w:p>
          <w:p w14:paraId="3C8FAF36">
            <w:pPr>
              <w:spacing w:line="360" w:lineRule="auto"/>
              <w:ind w:firstLine="420" w:firstLineChars="200"/>
            </w:pPr>
          </w:p>
          <w:p w14:paraId="7F379467">
            <w:pPr>
              <w:spacing w:line="360" w:lineRule="auto"/>
              <w:ind w:firstLine="420" w:firstLineChars="200"/>
            </w:pPr>
          </w:p>
          <w:p w14:paraId="75EBCD2D">
            <w:pPr>
              <w:spacing w:line="360" w:lineRule="auto"/>
              <w:ind w:firstLine="420" w:firstLineChars="200"/>
            </w:pPr>
          </w:p>
          <w:p w14:paraId="0E323742">
            <w:pPr>
              <w:spacing w:line="360" w:lineRule="auto"/>
              <w:ind w:firstLine="420" w:firstLineChars="200"/>
            </w:pPr>
          </w:p>
          <w:p w14:paraId="7495B7AF">
            <w:pPr>
              <w:spacing w:line="360" w:lineRule="auto"/>
              <w:ind w:firstLine="420" w:firstLineChars="200"/>
            </w:pPr>
          </w:p>
          <w:p w14:paraId="266ED36F">
            <w:pPr>
              <w:spacing w:line="360" w:lineRule="auto"/>
              <w:ind w:firstLine="420" w:firstLineChars="200"/>
            </w:pPr>
          </w:p>
          <w:p w14:paraId="1FFBDBE0">
            <w:pPr>
              <w:spacing w:line="360" w:lineRule="auto"/>
              <w:ind w:firstLine="420" w:firstLineChars="200"/>
            </w:pPr>
          </w:p>
          <w:p w14:paraId="34F04E09">
            <w:pPr>
              <w:spacing w:line="360" w:lineRule="auto"/>
              <w:ind w:firstLine="420" w:firstLineChars="200"/>
            </w:pPr>
          </w:p>
          <w:p w14:paraId="291C55AE">
            <w:pPr>
              <w:spacing w:line="360" w:lineRule="auto"/>
              <w:ind w:firstLine="420" w:firstLineChars="200"/>
            </w:pPr>
          </w:p>
          <w:p w14:paraId="15112DEA">
            <w:pPr>
              <w:spacing w:line="360" w:lineRule="auto"/>
              <w:ind w:firstLine="420" w:firstLineChars="200"/>
            </w:pPr>
          </w:p>
          <w:p w14:paraId="778DF88A">
            <w:pPr>
              <w:spacing w:line="360" w:lineRule="auto"/>
              <w:ind w:firstLine="420" w:firstLineChars="200"/>
            </w:pPr>
          </w:p>
          <w:p w14:paraId="70BEEDD8">
            <w:pPr>
              <w:spacing w:line="360" w:lineRule="auto"/>
              <w:ind w:firstLine="420" w:firstLineChars="200"/>
            </w:pPr>
          </w:p>
          <w:p w14:paraId="121C96AB">
            <w:pPr>
              <w:spacing w:line="360" w:lineRule="auto"/>
              <w:rPr>
                <w:b/>
                <w:bCs/>
                <w:sz w:val="24"/>
              </w:rPr>
            </w:pPr>
          </w:p>
        </w:tc>
      </w:tr>
    </w:tbl>
    <w:p w14:paraId="5D195387"/>
    <w:p w14:paraId="421402E6">
      <w:pPr>
        <w:sectPr>
          <w:pgSz w:w="11906" w:h="16838"/>
          <w:pgMar w:top="1701" w:right="1531" w:bottom="1701" w:left="1531" w:header="851" w:footer="1077" w:gutter="0"/>
          <w:cols w:space="720" w:num="1"/>
          <w:docGrid w:linePitch="312" w:charSpace="0"/>
        </w:sectPr>
      </w:pPr>
    </w:p>
    <w:p w14:paraId="0AD46377">
      <w:pPr>
        <w:pStyle w:val="3"/>
        <w:ind w:firstLine="0"/>
        <w:rPr>
          <w:color w:val="auto"/>
        </w:rPr>
      </w:pPr>
      <w:bookmarkStart w:id="16" w:name="_Toc2466"/>
      <w:bookmarkStart w:id="17" w:name="_Toc19523"/>
      <w:r>
        <w:rPr>
          <w:color w:val="auto"/>
        </w:rPr>
        <w:t>二、建设内容</w:t>
      </w:r>
      <w:bookmarkEnd w:id="16"/>
      <w:bookmarkEnd w:id="17"/>
    </w:p>
    <w:tbl>
      <w:tblPr>
        <w:tblStyle w:val="29"/>
        <w:tblW w:w="9457" w:type="dxa"/>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950"/>
      </w:tblGrid>
      <w:tr w14:paraId="4C870278">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07" w:type="dxa"/>
            <w:vAlign w:val="center"/>
          </w:tcPr>
          <w:p w14:paraId="12EE7C6C">
            <w:pPr>
              <w:adjustRightInd w:val="0"/>
              <w:snapToGrid w:val="0"/>
              <w:jc w:val="center"/>
              <w:rPr>
                <w:kern w:val="0"/>
                <w:sz w:val="24"/>
              </w:rPr>
            </w:pPr>
            <w:r>
              <w:rPr>
                <w:kern w:val="0"/>
                <w:sz w:val="24"/>
              </w:rPr>
              <w:t>地理位置</w:t>
            </w:r>
          </w:p>
        </w:tc>
        <w:tc>
          <w:tcPr>
            <w:tcW w:w="8950" w:type="dxa"/>
            <w:vAlign w:val="center"/>
          </w:tcPr>
          <w:p w14:paraId="47F3C2F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rFonts w:hint="eastAsia"/>
                <w:color w:val="000000" w:themeColor="text1"/>
                <w:sz w:val="24"/>
                <w14:textFill>
                  <w14:solidFill>
                    <w14:schemeClr w14:val="tx1"/>
                  </w14:solidFill>
                </w14:textFill>
              </w:rPr>
              <w:t>江苏省连云港市连云港经济技术开发区青口盐场</w:t>
            </w:r>
            <w:r>
              <w:rPr>
                <w:color w:val="000000" w:themeColor="text1"/>
                <w:sz w:val="24"/>
                <w14:textFill>
                  <w14:solidFill>
                    <w14:schemeClr w14:val="tx1"/>
                  </w14:solidFill>
                </w14:textFill>
              </w:rPr>
              <w:t>，中心点坐标为：东经119°</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58.087</w:t>
            </w:r>
            <w:r>
              <w:rPr>
                <w:color w:val="000000" w:themeColor="text1"/>
                <w:sz w:val="24"/>
                <w14:textFill>
                  <w14:solidFill>
                    <w14:schemeClr w14:val="tx1"/>
                  </w14:solidFill>
                </w14:textFill>
              </w:rPr>
              <w:t>″，北纬34°</w:t>
            </w:r>
            <w:r>
              <w:rPr>
                <w:rFonts w:hint="eastAsia"/>
                <w:color w:val="000000" w:themeColor="text1"/>
                <w:sz w:val="24"/>
                <w:lang w:val="en-US" w:eastAsia="zh-CN"/>
                <w14:textFill>
                  <w14:solidFill>
                    <w14:schemeClr w14:val="tx1"/>
                  </w14:solidFill>
                </w14:textFill>
              </w:rPr>
              <w:t>47</w:t>
            </w:r>
            <w:r>
              <w:rPr>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2.551</w:t>
            </w:r>
            <w:r>
              <w:rPr>
                <w:color w:val="000000" w:themeColor="text1"/>
                <w:sz w:val="24"/>
                <w14:textFill>
                  <w14:solidFill>
                    <w14:schemeClr w14:val="tx1"/>
                  </w14:solidFill>
                </w14:textFill>
              </w:rPr>
              <w:t>″。项目地理位置见附图。项目占地面积约</w:t>
            </w:r>
            <w:r>
              <w:rPr>
                <w:rFonts w:hint="eastAsia"/>
                <w:color w:val="000000" w:themeColor="text1"/>
                <w:sz w:val="24"/>
                <w:lang w:val="en-US" w:eastAsia="zh-CN"/>
                <w14:textFill>
                  <w14:solidFill>
                    <w14:schemeClr w14:val="tx1"/>
                  </w14:solidFill>
                </w14:textFill>
              </w:rPr>
              <w:t>3955</w:t>
            </w:r>
            <w:r>
              <w:rPr>
                <w:color w:val="000000" w:themeColor="text1"/>
                <w:sz w:val="24"/>
                <w14:textFill>
                  <w14:solidFill>
                    <w14:schemeClr w14:val="tx1"/>
                  </w14:solidFill>
                </w14:textFill>
              </w:rPr>
              <w:t>亩，其中升压站用地</w:t>
            </w:r>
            <w:r>
              <w:rPr>
                <w:rFonts w:hint="eastAsia"/>
                <w:color w:val="000000" w:themeColor="text1"/>
                <w:sz w:val="24"/>
                <w:lang w:val="en-US" w:eastAsia="zh-CN"/>
                <w14:textFill>
                  <w14:solidFill>
                    <w14:schemeClr w14:val="tx1"/>
                  </w14:solidFill>
                </w14:textFill>
              </w:rPr>
              <w:t>22</w:t>
            </w:r>
            <w:r>
              <w:rPr>
                <w:color w:val="000000" w:themeColor="text1"/>
                <w:sz w:val="24"/>
                <w14:textFill>
                  <w14:solidFill>
                    <w14:schemeClr w14:val="tx1"/>
                  </w14:solidFill>
                </w14:textFill>
              </w:rPr>
              <w:t>亩。场区地形整体较平坦，主要地貌现状均为坑塘水面。</w:t>
            </w:r>
          </w:p>
          <w:p w14:paraId="778AC44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本项目共划分为</w:t>
            </w:r>
            <w:r>
              <w:rPr>
                <w:rFonts w:hint="eastAsia"/>
                <w:color w:val="000000" w:themeColor="text1"/>
                <w:sz w:val="24"/>
                <w14:textFill>
                  <w14:solidFill>
                    <w14:schemeClr w14:val="tx1"/>
                  </w14:solidFill>
                </w14:textFill>
              </w:rPr>
              <w:t>8#地块</w:t>
            </w:r>
            <w:r>
              <w:rPr>
                <w:rFonts w:hint="eastAsia"/>
                <w:color w:val="000000" w:themeColor="text1"/>
                <w:sz w:val="24"/>
                <w:lang w:eastAsia="zh-CN"/>
                <w14:textFill>
                  <w14:solidFill>
                    <w14:schemeClr w14:val="tx1"/>
                  </w14:solidFill>
                </w14:textFill>
              </w:rPr>
              <w:t>、5#北地块、5#南地块</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个光伏阵列地块和1个升压站地块，</w:t>
            </w:r>
            <w:r>
              <w:rPr>
                <w:rFonts w:hint="eastAsia"/>
                <w:color w:val="000000" w:themeColor="text1"/>
                <w:sz w:val="24"/>
                <w14:textFill>
                  <w14:solidFill>
                    <w14:schemeClr w14:val="tx1"/>
                  </w14:solidFill>
                </w14:textFill>
              </w:rPr>
              <w:t>地块用地现状均为坑塘水面。其中升压站用地土地流转手续正在办理中，调规后为建设用地。</w:t>
            </w:r>
            <w:r>
              <w:rPr>
                <w:color w:val="000000" w:themeColor="text1"/>
                <w:sz w:val="24"/>
                <w14:textFill>
                  <w14:solidFill>
                    <w14:schemeClr w14:val="tx1"/>
                  </w14:solidFill>
                </w14:textFill>
              </w:rPr>
              <w:t>项目建设拐点坐标如</w:t>
            </w:r>
            <w:r>
              <w:rPr>
                <w:rFonts w:hint="eastAsia"/>
                <w:b w:val="0"/>
                <w:bCs w:val="0"/>
                <w:sz w:val="24"/>
                <w:lang w:val="en-US" w:eastAsia="zh-CN"/>
              </w:rPr>
              <w:t>图</w:t>
            </w:r>
            <w:r>
              <w:rPr>
                <w:b w:val="0"/>
                <w:bCs w:val="0"/>
                <w:sz w:val="24"/>
              </w:rPr>
              <w:t>2-1</w:t>
            </w:r>
            <w:r>
              <w:rPr>
                <w:rFonts w:hint="eastAsia"/>
                <w:b w:val="0"/>
                <w:bCs w:val="0"/>
                <w:sz w:val="24"/>
                <w:lang w:eastAsia="zh-CN"/>
              </w:rPr>
              <w:t>、</w:t>
            </w:r>
            <w:r>
              <w:rPr>
                <w:b w:val="0"/>
                <w:bCs w:val="0"/>
                <w:sz w:val="24"/>
              </w:rPr>
              <w:t>表2-1</w:t>
            </w:r>
            <w:r>
              <w:rPr>
                <w:color w:val="000000" w:themeColor="text1"/>
                <w:sz w:val="24"/>
                <w14:textFill>
                  <w14:solidFill>
                    <w14:schemeClr w14:val="tx1"/>
                  </w14:solidFill>
                </w14:textFill>
              </w:rPr>
              <w:t>所示：</w:t>
            </w:r>
          </w:p>
          <w:p w14:paraId="5B4E2617">
            <w:pPr>
              <w:jc w:val="center"/>
              <w:rPr>
                <w:color w:val="000000" w:themeColor="text1"/>
                <w:sz w:val="24"/>
                <w14:textFill>
                  <w14:solidFill>
                    <w14:schemeClr w14:val="tx1"/>
                  </w14:solidFill>
                </w14:textFill>
              </w:rPr>
            </w:pPr>
            <w:r>
              <w:rPr>
                <w:sz w:val="21"/>
              </w:rPr>
              <mc:AlternateContent>
                <mc:Choice Requires="wps">
                  <w:drawing>
                    <wp:anchor distT="0" distB="0" distL="114300" distR="114300" simplePos="0" relativeHeight="251664384" behindDoc="0" locked="0" layoutInCell="1" allowOverlap="1">
                      <wp:simplePos x="0" y="0"/>
                      <wp:positionH relativeFrom="column">
                        <wp:posOffset>2906395</wp:posOffset>
                      </wp:positionH>
                      <wp:positionV relativeFrom="paragraph">
                        <wp:posOffset>3768725</wp:posOffset>
                      </wp:positionV>
                      <wp:extent cx="602615" cy="28575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60261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C3897">
                                  <w:pPr>
                                    <w:rPr>
                                      <w:rFonts w:hint="default" w:eastAsia="宋体"/>
                                      <w:color w:val="FF0000"/>
                                      <w:sz w:val="28"/>
                                      <w:szCs w:val="28"/>
                                      <w:lang w:val="en-US" w:eastAsia="zh-CN"/>
                                    </w:rPr>
                                  </w:pPr>
                                  <w:r>
                                    <w:rPr>
                                      <w:rFonts w:hint="eastAsia"/>
                                      <w:color w:val="FF0000"/>
                                      <w:sz w:val="28"/>
                                      <w:szCs w:val="28"/>
                                      <w:lang w:val="en-US" w:eastAsia="zh-CN"/>
                                    </w:rPr>
                                    <w:t>5#南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85pt;margin-top:296.75pt;height:22.5pt;width:47.45pt;z-index:251664384;mso-width-relative:page;mso-height-relative:page;" filled="f" stroked="f" coordsize="21600,21600" o:gfxdata="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LiaSdwAAAALAQAADwAAAAAAAAABACAAAAAiAAAA&#10;ZHJzL2Rvd25yZXYueG1sUEsBAhQAFAAAAAgAh07iQMCF6zk8AgAAZwQAAA4AAAAAAAAAAQAgAAAA&#10;KwEAAGRycy9lMm9Eb2MueG1sUEsFBgAAAAAGAAYAWQEAANkFAAAAAA==&#10;">
                      <v:fill on="f" focussize="0,0"/>
                      <v:stroke on="f" weight="0.5pt"/>
                      <v:imagedata o:title=""/>
                      <o:lock v:ext="edit" aspectratio="f"/>
                      <v:textbox>
                        <w:txbxContent>
                          <w:p w14:paraId="78FC3897">
                            <w:pPr>
                              <w:rPr>
                                <w:rFonts w:hint="default" w:eastAsia="宋体"/>
                                <w:color w:val="FF0000"/>
                                <w:sz w:val="28"/>
                                <w:szCs w:val="28"/>
                                <w:lang w:val="en-US" w:eastAsia="zh-CN"/>
                              </w:rPr>
                            </w:pPr>
                            <w:r>
                              <w:rPr>
                                <w:rFonts w:hint="eastAsia"/>
                                <w:color w:val="FF0000"/>
                                <w:sz w:val="28"/>
                                <w:szCs w:val="28"/>
                                <w:lang w:val="en-US" w:eastAsia="zh-CN"/>
                              </w:rPr>
                              <w:t>5#南</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2028825</wp:posOffset>
                      </wp:positionV>
                      <wp:extent cx="602615" cy="28575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60261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BE871">
                                  <w:pPr>
                                    <w:rPr>
                                      <w:rFonts w:hint="default" w:eastAsia="宋体"/>
                                      <w:color w:val="FF0000"/>
                                      <w:sz w:val="28"/>
                                      <w:szCs w:val="28"/>
                                      <w:lang w:val="en-US" w:eastAsia="zh-CN"/>
                                    </w:rPr>
                                  </w:pPr>
                                  <w:r>
                                    <w:rPr>
                                      <w:rFonts w:hint="eastAsia"/>
                                      <w:color w:val="FF0000"/>
                                      <w:sz w:val="28"/>
                                      <w:szCs w:val="28"/>
                                      <w:lang w:val="en-US" w:eastAsia="zh-CN"/>
                                    </w:rPr>
                                    <w:t>5#北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85pt;margin-top:159.75pt;height:22.5pt;width:47.45pt;z-index:251663360;mso-width-relative:page;mso-height-relative:page;" filled="f" stroked="f" coordsize="21600,21600" o:gfxdata="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&#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Vtx3AAAAAsBAAAPAAAAAAAAAAEAIAAAACIAAABk&#10;cnMvZG93bnJldi54bWxQSwECFAAUAAAACACHTuJAmvoo0TsCAABnBAAADgAAAAAAAAABACAAAAAr&#10;AQAAZHJzL2Uyb0RvYy54bWxQSwUGAAAAAAYABgBZAQAA2AUAAAAA&#10;">
                      <v:fill on="f" focussize="0,0"/>
                      <v:stroke on="f" weight="0.5pt"/>
                      <v:imagedata o:title=""/>
                      <o:lock v:ext="edit" aspectratio="f"/>
                      <v:textbox>
                        <w:txbxContent>
                          <w:p w14:paraId="738BE871">
                            <w:pPr>
                              <w:rPr>
                                <w:rFonts w:hint="default" w:eastAsia="宋体"/>
                                <w:color w:val="FF0000"/>
                                <w:sz w:val="28"/>
                                <w:szCs w:val="28"/>
                                <w:lang w:val="en-US" w:eastAsia="zh-CN"/>
                              </w:rPr>
                            </w:pPr>
                            <w:r>
                              <w:rPr>
                                <w:rFonts w:hint="eastAsia"/>
                                <w:color w:val="FF0000"/>
                                <w:sz w:val="28"/>
                                <w:szCs w:val="28"/>
                                <w:lang w:val="en-US" w:eastAsia="zh-CN"/>
                              </w:rPr>
                              <w:t>5#北</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3103245</wp:posOffset>
                      </wp:positionH>
                      <wp:positionV relativeFrom="paragraph">
                        <wp:posOffset>758825</wp:posOffset>
                      </wp:positionV>
                      <wp:extent cx="387350" cy="285750"/>
                      <wp:effectExtent l="0" t="0" r="6350" b="6350"/>
                      <wp:wrapNone/>
                      <wp:docPr id="57" name="文本框 57"/>
                      <wp:cNvGraphicFramePr/>
                      <a:graphic xmlns:a="http://schemas.openxmlformats.org/drawingml/2006/main">
                        <a:graphicData uri="http://schemas.microsoft.com/office/word/2010/wordprocessingShape">
                          <wps:wsp>
                            <wps:cNvSpPr txBox="1"/>
                            <wps:spPr>
                              <a:xfrm>
                                <a:off x="4272280" y="4198620"/>
                                <a:ext cx="3873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B45DC">
                                  <w:pPr>
                                    <w:rPr>
                                      <w:rFonts w:hint="default" w:eastAsia="宋体"/>
                                      <w:color w:val="FF0000"/>
                                      <w:sz w:val="28"/>
                                      <w:szCs w:val="28"/>
                                      <w:lang w:val="en-US" w:eastAsia="zh-CN"/>
                                    </w:rPr>
                                  </w:pPr>
                                  <w:r>
                                    <w:rPr>
                                      <w:rFonts w:hint="eastAsia"/>
                                      <w:color w:val="FF0000"/>
                                      <w:sz w:val="28"/>
                                      <w:szCs w:val="28"/>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5pt;margin-top:59.75pt;height:22.5pt;width:30.5pt;z-index:251662336;mso-width-relative:page;mso-height-relative:page;" filled="f" stroked="f" coordsize="21600,21600" o:gfxdata="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fBsD/bAAAACwEAAA8AAAAAAAAAAQAg&#10;AAAAIgAAAGRycy9kb3ducmV2LnhtbFBLAQIUABQAAAAIAIdO4kAXVJQlRAIAAHMEAAAOAAAAAAAA&#10;AAEAIAAAACoBAABkcnMvZTJvRG9jLnhtbFBLBQYAAAAABgAGAFkBAADgBQAAAAA=&#10;">
                      <v:fill on="f" focussize="0,0"/>
                      <v:stroke on="f" weight="0.5pt"/>
                      <v:imagedata o:title=""/>
                      <o:lock v:ext="edit" aspectratio="f"/>
                      <v:textbox>
                        <w:txbxContent>
                          <w:p w14:paraId="5D2B45DC">
                            <w:pPr>
                              <w:rPr>
                                <w:rFonts w:hint="default" w:eastAsia="宋体"/>
                                <w:color w:val="FF0000"/>
                                <w:sz w:val="28"/>
                                <w:szCs w:val="28"/>
                                <w:lang w:val="en-US" w:eastAsia="zh-CN"/>
                              </w:rPr>
                            </w:pPr>
                            <w:r>
                              <w:rPr>
                                <w:rFonts w:hint="eastAsia"/>
                                <w:color w:val="FF0000"/>
                                <w:sz w:val="28"/>
                                <w:szCs w:val="28"/>
                                <w:lang w:val="en-US" w:eastAsia="zh-CN"/>
                              </w:rPr>
                              <w:t>8#</w:t>
                            </w:r>
                          </w:p>
                        </w:txbxContent>
                      </v:textbox>
                    </v:shape>
                  </w:pict>
                </mc:Fallback>
              </mc:AlternateContent>
            </w:r>
            <w:r>
              <w:drawing>
                <wp:inline distT="0" distB="0" distL="114300" distR="114300">
                  <wp:extent cx="4962525" cy="5969635"/>
                  <wp:effectExtent l="0" t="0" r="3175" b="1206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7"/>
                          <a:stretch>
                            <a:fillRect/>
                          </a:stretch>
                        </pic:blipFill>
                        <pic:spPr>
                          <a:xfrm>
                            <a:off x="0" y="0"/>
                            <a:ext cx="4962525" cy="5969635"/>
                          </a:xfrm>
                          <a:prstGeom prst="rect">
                            <a:avLst/>
                          </a:prstGeom>
                          <a:noFill/>
                          <a:ln>
                            <a:noFill/>
                          </a:ln>
                        </pic:spPr>
                      </pic:pic>
                    </a:graphicData>
                  </a:graphic>
                </wp:inline>
              </w:drawing>
            </w:r>
          </w:p>
          <w:p w14:paraId="12A4E6B1">
            <w:pPr>
              <w:ind w:firstLine="2650" w:firstLineChars="1100"/>
              <w:jc w:val="both"/>
              <w:rPr>
                <w:b/>
                <w:bCs/>
                <w:sz w:val="24"/>
              </w:rPr>
            </w:pPr>
            <w:r>
              <w:rPr>
                <w:rFonts w:hint="eastAsia"/>
                <w:b/>
                <w:bCs/>
                <w:sz w:val="24"/>
                <w:lang w:val="en-US" w:eastAsia="zh-CN"/>
              </w:rPr>
              <w:t>图</w:t>
            </w:r>
            <w:r>
              <w:rPr>
                <w:b/>
                <w:bCs/>
                <w:sz w:val="24"/>
              </w:rPr>
              <w:t>2-1拟建项目建设拐点坐标表</w:t>
            </w:r>
          </w:p>
          <w:p w14:paraId="602B4179">
            <w:pPr>
              <w:ind w:firstLine="2650" w:firstLineChars="1100"/>
              <w:jc w:val="both"/>
              <w:rPr>
                <w:b/>
                <w:bCs/>
                <w:sz w:val="24"/>
              </w:rPr>
            </w:pPr>
            <w:r>
              <w:rPr>
                <w:b/>
                <w:bCs/>
                <w:sz w:val="24"/>
              </w:rPr>
              <w:t>表2-1拟建项目建设拐点坐标表</w:t>
            </w:r>
          </w:p>
          <w:tbl>
            <w:tblPr>
              <w:tblStyle w:val="29"/>
              <w:tblW w:w="4998" w:type="pct"/>
              <w:jc w:val="center"/>
              <w:tblLayout w:type="fixed"/>
              <w:tblCellMar>
                <w:top w:w="0" w:type="dxa"/>
                <w:left w:w="108" w:type="dxa"/>
                <w:bottom w:w="0" w:type="dxa"/>
                <w:right w:w="108" w:type="dxa"/>
              </w:tblCellMar>
            </w:tblPr>
            <w:tblGrid>
              <w:gridCol w:w="1538"/>
              <w:gridCol w:w="3498"/>
              <w:gridCol w:w="3695"/>
            </w:tblGrid>
            <w:tr w14:paraId="1573FB3B">
              <w:tblPrEx>
                <w:tblCellMar>
                  <w:top w:w="0" w:type="dxa"/>
                  <w:left w:w="108" w:type="dxa"/>
                  <w:bottom w:w="0" w:type="dxa"/>
                  <w:right w:w="108" w:type="dxa"/>
                </w:tblCellMar>
              </w:tblPrEx>
              <w:trPr>
                <w:trHeight w:val="309"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6A75">
                  <w:pPr>
                    <w:pStyle w:val="76"/>
                    <w:snapToGrid w:val="0"/>
                    <w:jc w:val="center"/>
                    <w:rPr>
                      <w:b/>
                      <w:kern w:val="2"/>
                      <w:sz w:val="21"/>
                      <w:szCs w:val="21"/>
                    </w:rPr>
                  </w:pPr>
                  <w:r>
                    <w:rPr>
                      <w:b/>
                      <w:kern w:val="2"/>
                      <w:sz w:val="21"/>
                      <w:szCs w:val="21"/>
                    </w:rPr>
                    <w:t>点名</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85874">
                  <w:pPr>
                    <w:pStyle w:val="76"/>
                    <w:snapToGrid w:val="0"/>
                    <w:jc w:val="center"/>
                    <w:rPr>
                      <w:b/>
                      <w:kern w:val="2"/>
                      <w:sz w:val="21"/>
                      <w:szCs w:val="21"/>
                    </w:rPr>
                  </w:pPr>
                  <w:r>
                    <w:rPr>
                      <w:b/>
                      <w:kern w:val="2"/>
                      <w:sz w:val="21"/>
                      <w:szCs w:val="21"/>
                    </w:rPr>
                    <w:t>纬度</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9C01">
                  <w:pPr>
                    <w:pStyle w:val="76"/>
                    <w:snapToGrid w:val="0"/>
                    <w:jc w:val="center"/>
                    <w:rPr>
                      <w:b/>
                      <w:kern w:val="2"/>
                      <w:sz w:val="21"/>
                      <w:szCs w:val="21"/>
                    </w:rPr>
                  </w:pPr>
                  <w:r>
                    <w:rPr>
                      <w:b/>
                      <w:kern w:val="2"/>
                      <w:sz w:val="21"/>
                      <w:szCs w:val="21"/>
                    </w:rPr>
                    <w:t>经度</w:t>
                  </w:r>
                </w:p>
              </w:tc>
            </w:tr>
            <w:tr w14:paraId="62EF67F8">
              <w:tblPrEx>
                <w:tblCellMar>
                  <w:top w:w="0" w:type="dxa"/>
                  <w:left w:w="108" w:type="dxa"/>
                  <w:bottom w:w="0" w:type="dxa"/>
                  <w:right w:w="108" w:type="dxa"/>
                </w:tblCellMar>
              </w:tblPrEx>
              <w:trPr>
                <w:trHeight w:val="285"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D8BE">
                  <w:pPr>
                    <w:pStyle w:val="76"/>
                    <w:snapToGrid w:val="0"/>
                    <w:jc w:val="center"/>
                    <w:rPr>
                      <w:kern w:val="2"/>
                      <w:sz w:val="21"/>
                      <w:szCs w:val="21"/>
                    </w:rPr>
                  </w:pPr>
                  <w:r>
                    <w:rPr>
                      <w:rFonts w:hint="eastAsia"/>
                      <w:kern w:val="2"/>
                      <w:sz w:val="21"/>
                      <w:szCs w:val="21"/>
                    </w:rPr>
                    <w:t>8#地块</w:t>
                  </w:r>
                  <w:r>
                    <w:rPr>
                      <w:kern w:val="2"/>
                      <w:sz w:val="21"/>
                      <w:szCs w:val="21"/>
                    </w:rPr>
                    <w:t>（地块现状为坑塘水面）</w:t>
                  </w:r>
                </w:p>
              </w:tc>
            </w:tr>
            <w:tr w14:paraId="75105A83">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6231">
                  <w:pPr>
                    <w:pStyle w:val="76"/>
                    <w:snapToGrid w:val="0"/>
                    <w:jc w:val="center"/>
                    <w:rPr>
                      <w:kern w:val="2"/>
                      <w:sz w:val="21"/>
                      <w:szCs w:val="21"/>
                    </w:rPr>
                  </w:pPr>
                  <w:r>
                    <w:rPr>
                      <w:kern w:val="2"/>
                      <w:sz w:val="21"/>
                      <w:szCs w:val="21"/>
                    </w:rPr>
                    <w:t>A1</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F6239">
                  <w:pPr>
                    <w:pStyle w:val="76"/>
                    <w:snapToGrid w:val="0"/>
                    <w:jc w:val="center"/>
                    <w:rPr>
                      <w:rFonts w:hint="eastAsia"/>
                      <w:kern w:val="2"/>
                      <w:sz w:val="21"/>
                      <w:szCs w:val="21"/>
                      <w:lang w:val="en-US" w:eastAsia="zh-CN"/>
                    </w:rPr>
                  </w:pPr>
                  <w:r>
                    <w:rPr>
                      <w:rFonts w:hint="eastAsia"/>
                      <w:kern w:val="2"/>
                      <w:sz w:val="21"/>
                      <w:szCs w:val="21"/>
                      <w:lang w:val="en-US" w:eastAsia="zh-CN"/>
                    </w:rPr>
                    <w:t xml:space="preserve">34°47′12.43238″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D632">
                  <w:pPr>
                    <w:pStyle w:val="76"/>
                    <w:snapToGrid w:val="0"/>
                    <w:jc w:val="center"/>
                    <w:rPr>
                      <w:rFonts w:hint="eastAsia"/>
                      <w:kern w:val="2"/>
                      <w:sz w:val="21"/>
                      <w:szCs w:val="21"/>
                      <w:lang w:val="en-US" w:eastAsia="zh-CN"/>
                    </w:rPr>
                  </w:pPr>
                  <w:r>
                    <w:rPr>
                      <w:rFonts w:hint="eastAsia"/>
                      <w:kern w:val="2"/>
                      <w:sz w:val="21"/>
                      <w:szCs w:val="21"/>
                      <w:lang w:val="en-US" w:eastAsia="zh-CN"/>
                    </w:rPr>
                    <w:t xml:space="preserve">119°10′43.44320″ </w:t>
                  </w:r>
                </w:p>
              </w:tc>
            </w:tr>
            <w:tr w14:paraId="3CCD065C">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2A10">
                  <w:pPr>
                    <w:pStyle w:val="76"/>
                    <w:snapToGrid w:val="0"/>
                    <w:jc w:val="center"/>
                    <w:rPr>
                      <w:kern w:val="2"/>
                      <w:sz w:val="21"/>
                      <w:szCs w:val="21"/>
                    </w:rPr>
                  </w:pPr>
                  <w:r>
                    <w:rPr>
                      <w:kern w:val="2"/>
                      <w:sz w:val="21"/>
                      <w:szCs w:val="21"/>
                    </w:rPr>
                    <w:t>A2</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F049">
                  <w:pPr>
                    <w:pStyle w:val="76"/>
                    <w:snapToGrid w:val="0"/>
                    <w:jc w:val="center"/>
                    <w:rPr>
                      <w:rFonts w:hint="eastAsia"/>
                      <w:kern w:val="2"/>
                      <w:sz w:val="21"/>
                      <w:szCs w:val="21"/>
                      <w:lang w:val="en-US" w:eastAsia="zh-CN"/>
                    </w:rPr>
                  </w:pPr>
                  <w:r>
                    <w:rPr>
                      <w:rFonts w:hint="eastAsia"/>
                      <w:kern w:val="2"/>
                      <w:sz w:val="21"/>
                      <w:szCs w:val="21"/>
                      <w:lang w:val="en-US" w:eastAsia="zh-CN"/>
                    </w:rPr>
                    <w:t xml:space="preserve">34°47′43.45835″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3EF7">
                  <w:pPr>
                    <w:pStyle w:val="76"/>
                    <w:snapToGrid w:val="0"/>
                    <w:jc w:val="center"/>
                    <w:rPr>
                      <w:rFonts w:hint="eastAsia"/>
                      <w:kern w:val="2"/>
                      <w:sz w:val="21"/>
                      <w:szCs w:val="21"/>
                      <w:lang w:val="en-US" w:eastAsia="zh-CN"/>
                    </w:rPr>
                  </w:pPr>
                  <w:r>
                    <w:rPr>
                      <w:rFonts w:hint="eastAsia"/>
                      <w:kern w:val="2"/>
                      <w:sz w:val="21"/>
                      <w:szCs w:val="21"/>
                      <w:lang w:val="en-US" w:eastAsia="zh-CN"/>
                    </w:rPr>
                    <w:t xml:space="preserve">119°10′51.63146″ </w:t>
                  </w:r>
                </w:p>
              </w:tc>
            </w:tr>
            <w:tr w14:paraId="3FD7D9EE">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2A8E">
                  <w:pPr>
                    <w:pStyle w:val="76"/>
                    <w:snapToGrid w:val="0"/>
                    <w:jc w:val="center"/>
                    <w:rPr>
                      <w:kern w:val="2"/>
                      <w:sz w:val="21"/>
                      <w:szCs w:val="21"/>
                    </w:rPr>
                  </w:pPr>
                  <w:r>
                    <w:rPr>
                      <w:kern w:val="2"/>
                      <w:sz w:val="21"/>
                      <w:szCs w:val="21"/>
                    </w:rPr>
                    <w:t>A3</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B27D">
                  <w:pPr>
                    <w:pStyle w:val="76"/>
                    <w:snapToGrid w:val="0"/>
                    <w:jc w:val="center"/>
                    <w:rPr>
                      <w:rFonts w:hint="eastAsia"/>
                      <w:kern w:val="2"/>
                      <w:sz w:val="21"/>
                      <w:szCs w:val="21"/>
                      <w:lang w:val="en-US" w:eastAsia="zh-CN"/>
                    </w:rPr>
                  </w:pPr>
                  <w:r>
                    <w:rPr>
                      <w:rFonts w:hint="eastAsia"/>
                      <w:kern w:val="2"/>
                      <w:sz w:val="21"/>
                      <w:szCs w:val="21"/>
                      <w:lang w:val="en-US" w:eastAsia="zh-CN"/>
                    </w:rPr>
                    <w:t xml:space="preserve">34°47′48.13182″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6A55">
                  <w:pPr>
                    <w:pStyle w:val="76"/>
                    <w:snapToGrid w:val="0"/>
                    <w:jc w:val="center"/>
                    <w:rPr>
                      <w:rFonts w:hint="eastAsia"/>
                      <w:kern w:val="2"/>
                      <w:sz w:val="21"/>
                      <w:szCs w:val="21"/>
                      <w:lang w:val="en-US" w:eastAsia="zh-CN"/>
                    </w:rPr>
                  </w:pPr>
                  <w:r>
                    <w:rPr>
                      <w:rFonts w:hint="eastAsia"/>
                      <w:kern w:val="2"/>
                      <w:sz w:val="21"/>
                      <w:szCs w:val="21"/>
                      <w:lang w:val="en-US" w:eastAsia="zh-CN"/>
                    </w:rPr>
                    <w:t xml:space="preserve">119°10′54.52824″ </w:t>
                  </w:r>
                </w:p>
              </w:tc>
            </w:tr>
            <w:tr w14:paraId="27EBAB76">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4D631">
                  <w:pPr>
                    <w:pStyle w:val="76"/>
                    <w:snapToGrid w:val="0"/>
                    <w:jc w:val="center"/>
                    <w:rPr>
                      <w:kern w:val="2"/>
                      <w:sz w:val="21"/>
                      <w:szCs w:val="21"/>
                    </w:rPr>
                  </w:pPr>
                  <w:r>
                    <w:rPr>
                      <w:kern w:val="2"/>
                      <w:sz w:val="21"/>
                      <w:szCs w:val="21"/>
                    </w:rPr>
                    <w:t>A4</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C45E">
                  <w:pPr>
                    <w:pStyle w:val="76"/>
                    <w:snapToGrid w:val="0"/>
                    <w:jc w:val="center"/>
                    <w:rPr>
                      <w:rFonts w:hint="eastAsia"/>
                      <w:kern w:val="2"/>
                      <w:sz w:val="21"/>
                      <w:szCs w:val="21"/>
                      <w:lang w:val="en-US" w:eastAsia="zh-CN"/>
                    </w:rPr>
                  </w:pPr>
                  <w:r>
                    <w:rPr>
                      <w:rFonts w:hint="eastAsia"/>
                      <w:kern w:val="2"/>
                      <w:sz w:val="21"/>
                      <w:szCs w:val="21"/>
                      <w:lang w:val="en-US" w:eastAsia="zh-CN"/>
                    </w:rPr>
                    <w:t xml:space="preserve">34°47′36.23569″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D125">
                  <w:pPr>
                    <w:pStyle w:val="76"/>
                    <w:snapToGrid w:val="0"/>
                    <w:jc w:val="center"/>
                    <w:rPr>
                      <w:rFonts w:hint="eastAsia"/>
                      <w:kern w:val="2"/>
                      <w:sz w:val="21"/>
                      <w:szCs w:val="21"/>
                      <w:lang w:val="en-US" w:eastAsia="zh-CN"/>
                    </w:rPr>
                  </w:pPr>
                  <w:r>
                    <w:rPr>
                      <w:rFonts w:hint="eastAsia"/>
                      <w:kern w:val="2"/>
                      <w:sz w:val="21"/>
                      <w:szCs w:val="21"/>
                      <w:lang w:val="en-US" w:eastAsia="zh-CN"/>
                    </w:rPr>
                    <w:t xml:space="preserve">119°11′25.92940″ </w:t>
                  </w:r>
                </w:p>
              </w:tc>
            </w:tr>
            <w:tr w14:paraId="4649A130">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371B">
                  <w:pPr>
                    <w:pStyle w:val="76"/>
                    <w:snapToGrid w:val="0"/>
                    <w:jc w:val="center"/>
                    <w:rPr>
                      <w:kern w:val="2"/>
                      <w:sz w:val="21"/>
                      <w:szCs w:val="21"/>
                    </w:rPr>
                  </w:pPr>
                  <w:r>
                    <w:rPr>
                      <w:kern w:val="2"/>
                      <w:sz w:val="21"/>
                      <w:szCs w:val="21"/>
                    </w:rPr>
                    <w:t>A5</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3920">
                  <w:pPr>
                    <w:pStyle w:val="76"/>
                    <w:snapToGrid w:val="0"/>
                    <w:jc w:val="center"/>
                    <w:rPr>
                      <w:rFonts w:hint="eastAsia"/>
                      <w:kern w:val="2"/>
                      <w:sz w:val="21"/>
                      <w:szCs w:val="21"/>
                      <w:lang w:val="en-US" w:eastAsia="zh-CN"/>
                    </w:rPr>
                  </w:pPr>
                  <w:r>
                    <w:rPr>
                      <w:rFonts w:hint="eastAsia"/>
                      <w:kern w:val="2"/>
                      <w:sz w:val="21"/>
                      <w:szCs w:val="21"/>
                      <w:lang w:val="en-US" w:eastAsia="zh-CN"/>
                    </w:rPr>
                    <w:t xml:space="preserve">34°47′27.62258″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C603F">
                  <w:pPr>
                    <w:pStyle w:val="76"/>
                    <w:snapToGrid w:val="0"/>
                    <w:jc w:val="center"/>
                    <w:rPr>
                      <w:rFonts w:hint="eastAsia"/>
                      <w:kern w:val="2"/>
                      <w:sz w:val="21"/>
                      <w:szCs w:val="21"/>
                      <w:lang w:val="en-US" w:eastAsia="zh-CN"/>
                    </w:rPr>
                  </w:pPr>
                  <w:r>
                    <w:rPr>
                      <w:rFonts w:hint="eastAsia"/>
                      <w:kern w:val="2"/>
                      <w:sz w:val="21"/>
                      <w:szCs w:val="21"/>
                      <w:lang w:val="en-US" w:eastAsia="zh-CN"/>
                    </w:rPr>
                    <w:t xml:space="preserve">119°11′24.50031″ </w:t>
                  </w:r>
                </w:p>
              </w:tc>
            </w:tr>
            <w:tr w14:paraId="18CDD5BE">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BEBE">
                  <w:pPr>
                    <w:pStyle w:val="76"/>
                    <w:snapToGrid w:val="0"/>
                    <w:jc w:val="center"/>
                    <w:rPr>
                      <w:kern w:val="2"/>
                      <w:sz w:val="21"/>
                      <w:szCs w:val="21"/>
                    </w:rPr>
                  </w:pPr>
                  <w:r>
                    <w:rPr>
                      <w:kern w:val="2"/>
                      <w:sz w:val="21"/>
                      <w:szCs w:val="21"/>
                    </w:rPr>
                    <w:t>A6</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7027A">
                  <w:pPr>
                    <w:pStyle w:val="76"/>
                    <w:snapToGrid w:val="0"/>
                    <w:jc w:val="center"/>
                    <w:rPr>
                      <w:rFonts w:hint="eastAsia"/>
                      <w:kern w:val="2"/>
                      <w:sz w:val="21"/>
                      <w:szCs w:val="21"/>
                      <w:lang w:val="en-US" w:eastAsia="zh-CN"/>
                    </w:rPr>
                  </w:pPr>
                  <w:r>
                    <w:rPr>
                      <w:rFonts w:hint="eastAsia"/>
                      <w:kern w:val="2"/>
                      <w:sz w:val="21"/>
                      <w:szCs w:val="21"/>
                      <w:lang w:val="en-US" w:eastAsia="zh-CN"/>
                    </w:rPr>
                    <w:t xml:space="preserve">34°47′44.07632″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F686">
                  <w:pPr>
                    <w:pStyle w:val="76"/>
                    <w:snapToGrid w:val="0"/>
                    <w:jc w:val="center"/>
                    <w:rPr>
                      <w:rFonts w:hint="eastAsia"/>
                      <w:kern w:val="2"/>
                      <w:sz w:val="21"/>
                      <w:szCs w:val="21"/>
                      <w:lang w:val="en-US" w:eastAsia="zh-CN"/>
                    </w:rPr>
                  </w:pPr>
                  <w:r>
                    <w:rPr>
                      <w:rFonts w:hint="eastAsia"/>
                      <w:kern w:val="2"/>
                      <w:sz w:val="21"/>
                      <w:szCs w:val="21"/>
                      <w:lang w:val="en-US" w:eastAsia="zh-CN"/>
                    </w:rPr>
                    <w:t xml:space="preserve">119°10′42.01412″ </w:t>
                  </w:r>
                </w:p>
              </w:tc>
            </w:tr>
            <w:tr w14:paraId="3B68DABA">
              <w:tblPrEx>
                <w:tblCellMar>
                  <w:top w:w="0" w:type="dxa"/>
                  <w:left w:w="108" w:type="dxa"/>
                  <w:bottom w:w="0" w:type="dxa"/>
                  <w:right w:w="108" w:type="dxa"/>
                </w:tblCellMar>
              </w:tblPrEx>
              <w:trPr>
                <w:trHeight w:val="285"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305D">
                  <w:pPr>
                    <w:pStyle w:val="76"/>
                    <w:snapToGrid w:val="0"/>
                    <w:jc w:val="center"/>
                    <w:rPr>
                      <w:kern w:val="2"/>
                      <w:sz w:val="21"/>
                      <w:szCs w:val="21"/>
                    </w:rPr>
                  </w:pPr>
                  <w:r>
                    <w:rPr>
                      <w:rFonts w:hint="eastAsia"/>
                      <w:kern w:val="2"/>
                      <w:sz w:val="21"/>
                      <w:szCs w:val="21"/>
                    </w:rPr>
                    <w:t xml:space="preserve"> </w:t>
                  </w:r>
                  <w:r>
                    <w:rPr>
                      <w:rFonts w:hint="eastAsia"/>
                      <w:kern w:val="2"/>
                      <w:sz w:val="21"/>
                      <w:szCs w:val="21"/>
                      <w:lang w:eastAsia="zh-CN"/>
                    </w:rPr>
                    <w:t>5#北</w:t>
                  </w:r>
                  <w:r>
                    <w:rPr>
                      <w:rFonts w:hint="eastAsia"/>
                      <w:kern w:val="2"/>
                      <w:sz w:val="21"/>
                      <w:szCs w:val="21"/>
                    </w:rPr>
                    <w:t>地块</w:t>
                  </w:r>
                  <w:r>
                    <w:rPr>
                      <w:kern w:val="2"/>
                      <w:sz w:val="21"/>
                      <w:szCs w:val="21"/>
                    </w:rPr>
                    <w:t>（地块现状为坑塘水面）</w:t>
                  </w:r>
                </w:p>
              </w:tc>
            </w:tr>
            <w:tr w14:paraId="0B0E14BE">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AC16">
                  <w:pPr>
                    <w:pStyle w:val="76"/>
                    <w:snapToGrid w:val="0"/>
                    <w:jc w:val="center"/>
                    <w:rPr>
                      <w:rFonts w:hint="eastAsia" w:eastAsia="宋体"/>
                      <w:kern w:val="2"/>
                      <w:sz w:val="21"/>
                      <w:szCs w:val="21"/>
                      <w:lang w:val="en-US" w:eastAsia="zh-CN"/>
                    </w:rPr>
                  </w:pPr>
                  <w:r>
                    <w:rPr>
                      <w:kern w:val="2"/>
                      <w:sz w:val="21"/>
                      <w:szCs w:val="21"/>
                    </w:rPr>
                    <w:t>A</w:t>
                  </w:r>
                  <w:r>
                    <w:rPr>
                      <w:rFonts w:hint="eastAsia"/>
                      <w:kern w:val="2"/>
                      <w:sz w:val="21"/>
                      <w:szCs w:val="21"/>
                      <w:lang w:val="en-US" w:eastAsia="zh-CN"/>
                    </w:rPr>
                    <w:t>7</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C11F">
                  <w:pPr>
                    <w:pStyle w:val="76"/>
                    <w:snapToGrid w:val="0"/>
                    <w:jc w:val="center"/>
                    <w:rPr>
                      <w:kern w:val="2"/>
                      <w:sz w:val="21"/>
                      <w:szCs w:val="21"/>
                    </w:rPr>
                  </w:pPr>
                  <w:r>
                    <w:rPr>
                      <w:rFonts w:hint="eastAsia"/>
                      <w:kern w:val="2"/>
                      <w:sz w:val="21"/>
                      <w:szCs w:val="21"/>
                    </w:rPr>
                    <w:t>34°47′43.80596</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F7AA5">
                  <w:pPr>
                    <w:pStyle w:val="76"/>
                    <w:snapToGrid w:val="0"/>
                    <w:jc w:val="center"/>
                    <w:rPr>
                      <w:kern w:val="2"/>
                      <w:sz w:val="21"/>
                      <w:szCs w:val="21"/>
                    </w:rPr>
                  </w:pPr>
                  <w:r>
                    <w:rPr>
                      <w:rFonts w:hint="eastAsia"/>
                      <w:kern w:val="2"/>
                      <w:sz w:val="21"/>
                      <w:szCs w:val="21"/>
                    </w:rPr>
                    <w:t>119°10′21.79456</w:t>
                  </w:r>
                  <w:r>
                    <w:rPr>
                      <w:kern w:val="2"/>
                      <w:sz w:val="21"/>
                      <w:szCs w:val="21"/>
                    </w:rPr>
                    <w:t xml:space="preserve">″ </w:t>
                  </w:r>
                </w:p>
              </w:tc>
            </w:tr>
            <w:tr w14:paraId="5D467D90">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4250">
                  <w:pPr>
                    <w:pStyle w:val="76"/>
                    <w:snapToGrid w:val="0"/>
                    <w:jc w:val="center"/>
                    <w:rPr>
                      <w:kern w:val="2"/>
                      <w:sz w:val="21"/>
                      <w:szCs w:val="21"/>
                    </w:rPr>
                  </w:pPr>
                  <w:r>
                    <w:rPr>
                      <w:kern w:val="2"/>
                      <w:sz w:val="21"/>
                      <w:szCs w:val="21"/>
                    </w:rPr>
                    <w:t>A8</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7D7C">
                  <w:pPr>
                    <w:pStyle w:val="76"/>
                    <w:snapToGrid w:val="0"/>
                    <w:jc w:val="center"/>
                    <w:rPr>
                      <w:kern w:val="2"/>
                      <w:sz w:val="21"/>
                      <w:szCs w:val="21"/>
                    </w:rPr>
                  </w:pPr>
                  <w:r>
                    <w:rPr>
                      <w:rFonts w:hint="eastAsia"/>
                      <w:kern w:val="2"/>
                      <w:sz w:val="21"/>
                      <w:szCs w:val="21"/>
                    </w:rPr>
                    <w:t>34°47′40.74502</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344B">
                  <w:pPr>
                    <w:pStyle w:val="76"/>
                    <w:snapToGrid w:val="0"/>
                    <w:jc w:val="center"/>
                    <w:rPr>
                      <w:kern w:val="2"/>
                      <w:sz w:val="21"/>
                      <w:szCs w:val="21"/>
                    </w:rPr>
                  </w:pPr>
                  <w:r>
                    <w:rPr>
                      <w:rFonts w:hint="eastAsia"/>
                      <w:kern w:val="2"/>
                      <w:sz w:val="21"/>
                      <w:szCs w:val="21"/>
                    </w:rPr>
                    <w:t>119°10′31.62432</w:t>
                  </w:r>
                  <w:r>
                    <w:rPr>
                      <w:kern w:val="2"/>
                      <w:sz w:val="21"/>
                      <w:szCs w:val="21"/>
                    </w:rPr>
                    <w:t xml:space="preserve">″ </w:t>
                  </w:r>
                </w:p>
              </w:tc>
            </w:tr>
            <w:tr w14:paraId="1DABACF0">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E7DB6">
                  <w:pPr>
                    <w:pStyle w:val="76"/>
                    <w:snapToGrid w:val="0"/>
                    <w:jc w:val="center"/>
                    <w:rPr>
                      <w:kern w:val="2"/>
                      <w:sz w:val="21"/>
                      <w:szCs w:val="21"/>
                    </w:rPr>
                  </w:pPr>
                  <w:r>
                    <w:rPr>
                      <w:kern w:val="2"/>
                      <w:sz w:val="21"/>
                      <w:szCs w:val="21"/>
                    </w:rPr>
                    <w:t>A9</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15522">
                  <w:pPr>
                    <w:pStyle w:val="76"/>
                    <w:snapToGrid w:val="0"/>
                    <w:jc w:val="center"/>
                    <w:rPr>
                      <w:kern w:val="2"/>
                      <w:sz w:val="21"/>
                      <w:szCs w:val="21"/>
                    </w:rPr>
                  </w:pPr>
                  <w:r>
                    <w:rPr>
                      <w:rFonts w:hint="eastAsia"/>
                      <w:kern w:val="2"/>
                      <w:sz w:val="21"/>
                      <w:szCs w:val="21"/>
                    </w:rPr>
                    <w:t>34°47′41.27610</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2D07">
                  <w:pPr>
                    <w:pStyle w:val="76"/>
                    <w:snapToGrid w:val="0"/>
                    <w:jc w:val="center"/>
                    <w:rPr>
                      <w:kern w:val="2"/>
                      <w:sz w:val="21"/>
                      <w:szCs w:val="21"/>
                    </w:rPr>
                  </w:pPr>
                  <w:r>
                    <w:rPr>
                      <w:rFonts w:hint="eastAsia"/>
                      <w:kern w:val="2"/>
                      <w:sz w:val="21"/>
                      <w:szCs w:val="21"/>
                    </w:rPr>
                    <w:t>119°10′32.77337</w:t>
                  </w:r>
                  <w:r>
                    <w:rPr>
                      <w:kern w:val="2"/>
                      <w:sz w:val="21"/>
                      <w:szCs w:val="21"/>
                    </w:rPr>
                    <w:t xml:space="preserve">″ </w:t>
                  </w:r>
                </w:p>
              </w:tc>
            </w:tr>
            <w:tr w14:paraId="6DBF02A5">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453B">
                  <w:pPr>
                    <w:pStyle w:val="76"/>
                    <w:snapToGrid w:val="0"/>
                    <w:jc w:val="center"/>
                    <w:rPr>
                      <w:kern w:val="2"/>
                      <w:sz w:val="21"/>
                      <w:szCs w:val="21"/>
                    </w:rPr>
                  </w:pPr>
                  <w:r>
                    <w:rPr>
                      <w:kern w:val="2"/>
                      <w:sz w:val="21"/>
                      <w:szCs w:val="21"/>
                    </w:rPr>
                    <w:t>A10</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51AC">
                  <w:pPr>
                    <w:pStyle w:val="76"/>
                    <w:snapToGrid w:val="0"/>
                    <w:jc w:val="center"/>
                    <w:rPr>
                      <w:kern w:val="2"/>
                      <w:sz w:val="21"/>
                      <w:szCs w:val="21"/>
                    </w:rPr>
                  </w:pPr>
                  <w:r>
                    <w:rPr>
                      <w:rFonts w:hint="eastAsia"/>
                      <w:kern w:val="2"/>
                      <w:sz w:val="21"/>
                      <w:szCs w:val="21"/>
                    </w:rPr>
                    <w:t>34°47′35.94601</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78C3">
                  <w:pPr>
                    <w:pStyle w:val="76"/>
                    <w:snapToGrid w:val="0"/>
                    <w:jc w:val="center"/>
                    <w:rPr>
                      <w:kern w:val="2"/>
                      <w:sz w:val="21"/>
                      <w:szCs w:val="21"/>
                    </w:rPr>
                  </w:pPr>
                  <w:r>
                    <w:rPr>
                      <w:rFonts w:hint="eastAsia"/>
                      <w:kern w:val="2"/>
                      <w:sz w:val="21"/>
                      <w:szCs w:val="21"/>
                    </w:rPr>
                    <w:t>119°10′47.37317</w:t>
                  </w:r>
                  <w:r>
                    <w:rPr>
                      <w:kern w:val="2"/>
                      <w:sz w:val="21"/>
                      <w:szCs w:val="21"/>
                    </w:rPr>
                    <w:t xml:space="preserve">″ </w:t>
                  </w:r>
                </w:p>
              </w:tc>
            </w:tr>
            <w:tr w14:paraId="00E63854">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7F8C">
                  <w:pPr>
                    <w:pStyle w:val="76"/>
                    <w:snapToGrid w:val="0"/>
                    <w:jc w:val="center"/>
                    <w:rPr>
                      <w:kern w:val="2"/>
                      <w:sz w:val="21"/>
                      <w:szCs w:val="21"/>
                    </w:rPr>
                  </w:pPr>
                  <w:r>
                    <w:rPr>
                      <w:kern w:val="2"/>
                      <w:sz w:val="21"/>
                      <w:szCs w:val="21"/>
                    </w:rPr>
                    <w:t>A11</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AD7E">
                  <w:pPr>
                    <w:pStyle w:val="76"/>
                    <w:snapToGrid w:val="0"/>
                    <w:jc w:val="center"/>
                    <w:rPr>
                      <w:kern w:val="2"/>
                      <w:sz w:val="21"/>
                      <w:szCs w:val="21"/>
                    </w:rPr>
                  </w:pPr>
                  <w:r>
                    <w:rPr>
                      <w:rFonts w:hint="eastAsia"/>
                      <w:kern w:val="2"/>
                      <w:sz w:val="21"/>
                      <w:szCs w:val="21"/>
                    </w:rPr>
                    <w:t>34°47′36.36122</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6115">
                  <w:pPr>
                    <w:pStyle w:val="76"/>
                    <w:snapToGrid w:val="0"/>
                    <w:jc w:val="center"/>
                    <w:rPr>
                      <w:kern w:val="2"/>
                      <w:sz w:val="21"/>
                      <w:szCs w:val="21"/>
                    </w:rPr>
                  </w:pPr>
                  <w:r>
                    <w:rPr>
                      <w:rFonts w:hint="eastAsia"/>
                      <w:kern w:val="2"/>
                      <w:sz w:val="21"/>
                      <w:szCs w:val="21"/>
                    </w:rPr>
                    <w:t>119°10′48.02012</w:t>
                  </w:r>
                  <w:r>
                    <w:rPr>
                      <w:kern w:val="2"/>
                      <w:sz w:val="21"/>
                      <w:szCs w:val="21"/>
                    </w:rPr>
                    <w:t xml:space="preserve">″ </w:t>
                  </w:r>
                </w:p>
              </w:tc>
            </w:tr>
            <w:tr w14:paraId="0BAF28CC">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3ED6">
                  <w:pPr>
                    <w:pStyle w:val="76"/>
                    <w:snapToGrid w:val="0"/>
                    <w:jc w:val="center"/>
                    <w:rPr>
                      <w:kern w:val="2"/>
                      <w:sz w:val="21"/>
                      <w:szCs w:val="21"/>
                    </w:rPr>
                  </w:pPr>
                  <w:r>
                    <w:rPr>
                      <w:kern w:val="2"/>
                      <w:sz w:val="21"/>
                      <w:szCs w:val="21"/>
                    </w:rPr>
                    <w:t>A12</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4BBF">
                  <w:pPr>
                    <w:pStyle w:val="76"/>
                    <w:snapToGrid w:val="0"/>
                    <w:jc w:val="center"/>
                    <w:rPr>
                      <w:kern w:val="2"/>
                      <w:sz w:val="21"/>
                      <w:szCs w:val="21"/>
                    </w:rPr>
                  </w:pPr>
                  <w:r>
                    <w:rPr>
                      <w:rFonts w:hint="eastAsia"/>
                      <w:kern w:val="2"/>
                      <w:sz w:val="21"/>
                      <w:szCs w:val="21"/>
                    </w:rPr>
                    <w:t>34°47′30.66420</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2F09">
                  <w:pPr>
                    <w:pStyle w:val="76"/>
                    <w:snapToGrid w:val="0"/>
                    <w:jc w:val="center"/>
                    <w:rPr>
                      <w:kern w:val="2"/>
                      <w:sz w:val="21"/>
                      <w:szCs w:val="21"/>
                    </w:rPr>
                  </w:pPr>
                  <w:r>
                    <w:rPr>
                      <w:rFonts w:hint="eastAsia"/>
                      <w:kern w:val="2"/>
                      <w:sz w:val="21"/>
                      <w:szCs w:val="21"/>
                    </w:rPr>
                    <w:t>119°11′3.01582</w:t>
                  </w:r>
                  <w:r>
                    <w:rPr>
                      <w:kern w:val="2"/>
                      <w:sz w:val="21"/>
                      <w:szCs w:val="21"/>
                    </w:rPr>
                    <w:t xml:space="preserve">″ </w:t>
                  </w:r>
                </w:p>
              </w:tc>
            </w:tr>
            <w:tr w14:paraId="4FE86D95">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2418C">
                  <w:pPr>
                    <w:pStyle w:val="76"/>
                    <w:snapToGrid w:val="0"/>
                    <w:jc w:val="center"/>
                    <w:rPr>
                      <w:kern w:val="2"/>
                      <w:sz w:val="21"/>
                      <w:szCs w:val="21"/>
                    </w:rPr>
                  </w:pPr>
                  <w:r>
                    <w:rPr>
                      <w:kern w:val="2"/>
                      <w:sz w:val="21"/>
                      <w:szCs w:val="21"/>
                    </w:rPr>
                    <w:t>A13</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01D58">
                  <w:pPr>
                    <w:pStyle w:val="76"/>
                    <w:snapToGrid w:val="0"/>
                    <w:jc w:val="center"/>
                    <w:rPr>
                      <w:kern w:val="2"/>
                      <w:sz w:val="21"/>
                      <w:szCs w:val="21"/>
                    </w:rPr>
                  </w:pPr>
                  <w:r>
                    <w:rPr>
                      <w:rFonts w:hint="eastAsia"/>
                      <w:kern w:val="2"/>
                      <w:sz w:val="21"/>
                      <w:szCs w:val="21"/>
                    </w:rPr>
                    <w:t>34°47′30.69318</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0FAC">
                  <w:pPr>
                    <w:pStyle w:val="76"/>
                    <w:snapToGrid w:val="0"/>
                    <w:jc w:val="center"/>
                    <w:rPr>
                      <w:kern w:val="2"/>
                      <w:sz w:val="21"/>
                      <w:szCs w:val="21"/>
                    </w:rPr>
                  </w:pPr>
                  <w:r>
                    <w:rPr>
                      <w:rFonts w:hint="eastAsia"/>
                      <w:kern w:val="2"/>
                      <w:sz w:val="21"/>
                      <w:szCs w:val="21"/>
                    </w:rPr>
                    <w:t>119°11′3.64346</w:t>
                  </w:r>
                  <w:r>
                    <w:rPr>
                      <w:kern w:val="2"/>
                      <w:sz w:val="21"/>
                      <w:szCs w:val="21"/>
                    </w:rPr>
                    <w:t xml:space="preserve">″ </w:t>
                  </w:r>
                </w:p>
              </w:tc>
            </w:tr>
            <w:tr w14:paraId="64E6ED18">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0EB6">
                  <w:pPr>
                    <w:pStyle w:val="76"/>
                    <w:snapToGrid w:val="0"/>
                    <w:jc w:val="center"/>
                    <w:rPr>
                      <w:kern w:val="2"/>
                      <w:sz w:val="21"/>
                      <w:szCs w:val="21"/>
                    </w:rPr>
                  </w:pPr>
                  <w:r>
                    <w:rPr>
                      <w:kern w:val="2"/>
                      <w:sz w:val="21"/>
                      <w:szCs w:val="21"/>
                    </w:rPr>
                    <w:t>A14</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4886">
                  <w:pPr>
                    <w:pStyle w:val="76"/>
                    <w:snapToGrid w:val="0"/>
                    <w:jc w:val="center"/>
                    <w:rPr>
                      <w:kern w:val="2"/>
                      <w:sz w:val="21"/>
                      <w:szCs w:val="21"/>
                    </w:rPr>
                  </w:pPr>
                  <w:r>
                    <w:rPr>
                      <w:rFonts w:hint="eastAsia"/>
                      <w:kern w:val="2"/>
                      <w:sz w:val="21"/>
                      <w:szCs w:val="21"/>
                    </w:rPr>
                    <w:t>34°47′30.16209</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6D55">
                  <w:pPr>
                    <w:pStyle w:val="76"/>
                    <w:snapToGrid w:val="0"/>
                    <w:jc w:val="center"/>
                    <w:rPr>
                      <w:kern w:val="2"/>
                      <w:sz w:val="21"/>
                      <w:szCs w:val="21"/>
                    </w:rPr>
                  </w:pPr>
                  <w:r>
                    <w:rPr>
                      <w:rFonts w:hint="eastAsia"/>
                      <w:kern w:val="2"/>
                      <w:sz w:val="21"/>
                      <w:szCs w:val="21"/>
                    </w:rPr>
                    <w:t>119°11′5.11116</w:t>
                  </w:r>
                  <w:r>
                    <w:rPr>
                      <w:kern w:val="2"/>
                      <w:sz w:val="21"/>
                      <w:szCs w:val="21"/>
                    </w:rPr>
                    <w:t xml:space="preserve">″ </w:t>
                  </w:r>
                </w:p>
              </w:tc>
            </w:tr>
            <w:tr w14:paraId="7A21B555">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7E82">
                  <w:pPr>
                    <w:pStyle w:val="76"/>
                    <w:snapToGrid w:val="0"/>
                    <w:jc w:val="center"/>
                    <w:rPr>
                      <w:kern w:val="2"/>
                      <w:sz w:val="21"/>
                      <w:szCs w:val="21"/>
                    </w:rPr>
                  </w:pPr>
                  <w:r>
                    <w:rPr>
                      <w:kern w:val="2"/>
                      <w:sz w:val="21"/>
                      <w:szCs w:val="21"/>
                    </w:rPr>
                    <w:t>A15</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24FD">
                  <w:pPr>
                    <w:pStyle w:val="76"/>
                    <w:snapToGrid w:val="0"/>
                    <w:jc w:val="center"/>
                    <w:rPr>
                      <w:kern w:val="2"/>
                      <w:sz w:val="21"/>
                      <w:szCs w:val="21"/>
                    </w:rPr>
                  </w:pPr>
                  <w:r>
                    <w:rPr>
                      <w:rFonts w:hint="eastAsia"/>
                      <w:kern w:val="2"/>
                      <w:sz w:val="21"/>
                      <w:szCs w:val="21"/>
                    </w:rPr>
                    <w:t>34°47′29.60205</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0060">
                  <w:pPr>
                    <w:pStyle w:val="76"/>
                    <w:snapToGrid w:val="0"/>
                    <w:jc w:val="center"/>
                    <w:rPr>
                      <w:kern w:val="2"/>
                      <w:sz w:val="21"/>
                      <w:szCs w:val="21"/>
                    </w:rPr>
                  </w:pPr>
                  <w:r>
                    <w:rPr>
                      <w:rFonts w:hint="eastAsia"/>
                      <w:kern w:val="2"/>
                      <w:sz w:val="21"/>
                      <w:szCs w:val="21"/>
                    </w:rPr>
                    <w:t>119°11′4.80217</w:t>
                  </w:r>
                  <w:r>
                    <w:rPr>
                      <w:kern w:val="2"/>
                      <w:sz w:val="21"/>
                      <w:szCs w:val="21"/>
                    </w:rPr>
                    <w:t xml:space="preserve">″ </w:t>
                  </w:r>
                </w:p>
              </w:tc>
            </w:tr>
            <w:tr w14:paraId="76E3141D">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06E6">
                  <w:pPr>
                    <w:pStyle w:val="76"/>
                    <w:snapToGrid w:val="0"/>
                    <w:jc w:val="center"/>
                    <w:rPr>
                      <w:kern w:val="2"/>
                      <w:sz w:val="21"/>
                      <w:szCs w:val="21"/>
                    </w:rPr>
                  </w:pPr>
                  <w:r>
                    <w:rPr>
                      <w:kern w:val="2"/>
                      <w:sz w:val="21"/>
                      <w:szCs w:val="21"/>
                    </w:rPr>
                    <w:t>A16</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0AA4">
                  <w:pPr>
                    <w:pStyle w:val="76"/>
                    <w:snapToGrid w:val="0"/>
                    <w:jc w:val="center"/>
                    <w:rPr>
                      <w:kern w:val="2"/>
                      <w:sz w:val="21"/>
                      <w:szCs w:val="21"/>
                    </w:rPr>
                  </w:pPr>
                  <w:r>
                    <w:rPr>
                      <w:rFonts w:hint="eastAsia"/>
                      <w:kern w:val="2"/>
                      <w:sz w:val="21"/>
                      <w:szCs w:val="21"/>
                    </w:rPr>
                    <w:t>34°47′28.13434</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1140">
                  <w:pPr>
                    <w:pStyle w:val="76"/>
                    <w:snapToGrid w:val="0"/>
                    <w:jc w:val="center"/>
                    <w:rPr>
                      <w:kern w:val="2"/>
                      <w:sz w:val="21"/>
                      <w:szCs w:val="21"/>
                    </w:rPr>
                  </w:pPr>
                  <w:r>
                    <w:rPr>
                      <w:rFonts w:hint="eastAsia"/>
                      <w:kern w:val="2"/>
                      <w:sz w:val="21"/>
                      <w:szCs w:val="21"/>
                    </w:rPr>
                    <w:t>119°11′9.63980</w:t>
                  </w:r>
                  <w:r>
                    <w:rPr>
                      <w:kern w:val="2"/>
                      <w:sz w:val="21"/>
                      <w:szCs w:val="21"/>
                    </w:rPr>
                    <w:t xml:space="preserve">″ </w:t>
                  </w:r>
                </w:p>
              </w:tc>
            </w:tr>
            <w:tr w14:paraId="4A129B9E">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F14A">
                  <w:pPr>
                    <w:pStyle w:val="76"/>
                    <w:snapToGrid w:val="0"/>
                    <w:jc w:val="center"/>
                    <w:rPr>
                      <w:kern w:val="2"/>
                      <w:sz w:val="21"/>
                      <w:szCs w:val="21"/>
                    </w:rPr>
                  </w:pPr>
                  <w:r>
                    <w:rPr>
                      <w:kern w:val="2"/>
                      <w:sz w:val="21"/>
                      <w:szCs w:val="21"/>
                    </w:rPr>
                    <w:t>A17</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4BAD">
                  <w:pPr>
                    <w:pStyle w:val="76"/>
                    <w:snapToGrid w:val="0"/>
                    <w:jc w:val="center"/>
                    <w:rPr>
                      <w:kern w:val="2"/>
                      <w:sz w:val="21"/>
                      <w:szCs w:val="21"/>
                    </w:rPr>
                  </w:pPr>
                  <w:r>
                    <w:rPr>
                      <w:rFonts w:hint="eastAsia"/>
                      <w:kern w:val="2"/>
                      <w:sz w:val="21"/>
                      <w:szCs w:val="21"/>
                    </w:rPr>
                    <w:t>34°47′28.64611</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8B4B">
                  <w:pPr>
                    <w:pStyle w:val="76"/>
                    <w:snapToGrid w:val="0"/>
                    <w:jc w:val="center"/>
                    <w:rPr>
                      <w:kern w:val="2"/>
                      <w:sz w:val="21"/>
                      <w:szCs w:val="21"/>
                    </w:rPr>
                  </w:pPr>
                  <w:r>
                    <w:rPr>
                      <w:rFonts w:hint="eastAsia"/>
                      <w:kern w:val="2"/>
                      <w:sz w:val="21"/>
                      <w:szCs w:val="21"/>
                    </w:rPr>
                    <w:t>119°11′10.03570</w:t>
                  </w:r>
                  <w:r>
                    <w:rPr>
                      <w:kern w:val="2"/>
                      <w:sz w:val="21"/>
                      <w:szCs w:val="21"/>
                    </w:rPr>
                    <w:t xml:space="preserve">″ </w:t>
                  </w:r>
                </w:p>
              </w:tc>
            </w:tr>
            <w:tr w14:paraId="3F620C78">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A9852">
                  <w:pPr>
                    <w:pStyle w:val="76"/>
                    <w:snapToGrid w:val="0"/>
                    <w:jc w:val="center"/>
                    <w:rPr>
                      <w:kern w:val="2"/>
                      <w:sz w:val="21"/>
                      <w:szCs w:val="21"/>
                    </w:rPr>
                  </w:pPr>
                  <w:r>
                    <w:rPr>
                      <w:kern w:val="2"/>
                      <w:sz w:val="21"/>
                      <w:szCs w:val="21"/>
                    </w:rPr>
                    <w:t>A18</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D436">
                  <w:pPr>
                    <w:pStyle w:val="76"/>
                    <w:snapToGrid w:val="0"/>
                    <w:jc w:val="center"/>
                    <w:rPr>
                      <w:kern w:val="2"/>
                      <w:sz w:val="21"/>
                      <w:szCs w:val="21"/>
                    </w:rPr>
                  </w:pPr>
                  <w:r>
                    <w:rPr>
                      <w:rFonts w:hint="eastAsia"/>
                      <w:kern w:val="2"/>
                      <w:sz w:val="21"/>
                      <w:szCs w:val="21"/>
                    </w:rPr>
                    <w:t>34°47′23.06497</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35B4">
                  <w:pPr>
                    <w:pStyle w:val="76"/>
                    <w:snapToGrid w:val="0"/>
                    <w:jc w:val="center"/>
                    <w:rPr>
                      <w:kern w:val="2"/>
                      <w:sz w:val="21"/>
                      <w:szCs w:val="21"/>
                    </w:rPr>
                  </w:pPr>
                  <w:r>
                    <w:rPr>
                      <w:rFonts w:hint="eastAsia"/>
                      <w:kern w:val="2"/>
                      <w:sz w:val="21"/>
                      <w:szCs w:val="21"/>
                    </w:rPr>
                    <w:t>119°11′23.49609</w:t>
                  </w:r>
                  <w:r>
                    <w:rPr>
                      <w:kern w:val="2"/>
                      <w:sz w:val="21"/>
                      <w:szCs w:val="21"/>
                    </w:rPr>
                    <w:t xml:space="preserve">″ </w:t>
                  </w:r>
                </w:p>
              </w:tc>
            </w:tr>
            <w:tr w14:paraId="7160551B">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6D7D">
                  <w:pPr>
                    <w:pStyle w:val="76"/>
                    <w:snapToGrid w:val="0"/>
                    <w:jc w:val="center"/>
                    <w:rPr>
                      <w:kern w:val="2"/>
                      <w:sz w:val="21"/>
                      <w:szCs w:val="21"/>
                    </w:rPr>
                  </w:pPr>
                  <w:r>
                    <w:rPr>
                      <w:kern w:val="2"/>
                      <w:sz w:val="21"/>
                      <w:szCs w:val="21"/>
                    </w:rPr>
                    <w:t>A19</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1EA6">
                  <w:pPr>
                    <w:pStyle w:val="76"/>
                    <w:snapToGrid w:val="0"/>
                    <w:jc w:val="center"/>
                    <w:rPr>
                      <w:kern w:val="2"/>
                      <w:sz w:val="21"/>
                      <w:szCs w:val="21"/>
                    </w:rPr>
                  </w:pPr>
                  <w:r>
                    <w:rPr>
                      <w:rFonts w:hint="eastAsia"/>
                      <w:kern w:val="2"/>
                      <w:sz w:val="21"/>
                      <w:szCs w:val="21"/>
                    </w:rPr>
                    <w:t>34°46′52.97702</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99AE">
                  <w:pPr>
                    <w:pStyle w:val="76"/>
                    <w:snapToGrid w:val="0"/>
                    <w:jc w:val="center"/>
                    <w:rPr>
                      <w:kern w:val="2"/>
                      <w:sz w:val="21"/>
                      <w:szCs w:val="21"/>
                    </w:rPr>
                  </w:pPr>
                  <w:r>
                    <w:rPr>
                      <w:rFonts w:hint="eastAsia"/>
                      <w:kern w:val="2"/>
                      <w:sz w:val="21"/>
                      <w:szCs w:val="21"/>
                    </w:rPr>
                    <w:t>119°11′18.20463</w:t>
                  </w:r>
                  <w:r>
                    <w:rPr>
                      <w:kern w:val="2"/>
                      <w:sz w:val="21"/>
                      <w:szCs w:val="21"/>
                    </w:rPr>
                    <w:t xml:space="preserve">″ </w:t>
                  </w:r>
                </w:p>
              </w:tc>
            </w:tr>
            <w:tr w14:paraId="5801F4F1">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BB97">
                  <w:pPr>
                    <w:pStyle w:val="76"/>
                    <w:snapToGrid w:val="0"/>
                    <w:jc w:val="center"/>
                    <w:rPr>
                      <w:kern w:val="2"/>
                      <w:sz w:val="21"/>
                      <w:szCs w:val="21"/>
                    </w:rPr>
                  </w:pPr>
                  <w:r>
                    <w:rPr>
                      <w:kern w:val="2"/>
                      <w:sz w:val="21"/>
                      <w:szCs w:val="21"/>
                    </w:rPr>
                    <w:t>A20</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ECB9">
                  <w:pPr>
                    <w:pStyle w:val="76"/>
                    <w:snapToGrid w:val="0"/>
                    <w:jc w:val="center"/>
                    <w:rPr>
                      <w:kern w:val="2"/>
                      <w:sz w:val="21"/>
                      <w:szCs w:val="21"/>
                    </w:rPr>
                  </w:pPr>
                  <w:r>
                    <w:rPr>
                      <w:rFonts w:hint="eastAsia"/>
                      <w:kern w:val="2"/>
                      <w:sz w:val="21"/>
                      <w:szCs w:val="21"/>
                    </w:rPr>
                    <w:t>34°47′4.02343</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9B3DE">
                  <w:pPr>
                    <w:pStyle w:val="76"/>
                    <w:snapToGrid w:val="0"/>
                    <w:jc w:val="center"/>
                    <w:rPr>
                      <w:kern w:val="2"/>
                      <w:sz w:val="21"/>
                      <w:szCs w:val="21"/>
                    </w:rPr>
                  </w:pPr>
                  <w:r>
                    <w:rPr>
                      <w:rFonts w:hint="eastAsia"/>
                      <w:kern w:val="2"/>
                      <w:sz w:val="21"/>
                      <w:szCs w:val="21"/>
                    </w:rPr>
                    <w:t>119°10′25.48313</w:t>
                  </w:r>
                  <w:r>
                    <w:rPr>
                      <w:kern w:val="2"/>
                      <w:sz w:val="21"/>
                      <w:szCs w:val="21"/>
                    </w:rPr>
                    <w:t xml:space="preserve">″ </w:t>
                  </w:r>
                </w:p>
              </w:tc>
            </w:tr>
            <w:tr w14:paraId="52FCFEE9">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6C77">
                  <w:pPr>
                    <w:pStyle w:val="76"/>
                    <w:snapToGrid w:val="0"/>
                    <w:jc w:val="center"/>
                    <w:rPr>
                      <w:kern w:val="2"/>
                      <w:sz w:val="21"/>
                      <w:szCs w:val="21"/>
                    </w:rPr>
                  </w:pPr>
                  <w:r>
                    <w:rPr>
                      <w:kern w:val="2"/>
                      <w:sz w:val="21"/>
                      <w:szCs w:val="21"/>
                    </w:rPr>
                    <w:t>A2</w:t>
                  </w:r>
                  <w:r>
                    <w:rPr>
                      <w:rFonts w:hint="eastAsia"/>
                      <w:kern w:val="2"/>
                      <w:sz w:val="21"/>
                      <w:szCs w:val="21"/>
                      <w:lang w:val="en-US" w:eastAsia="zh-CN"/>
                    </w:rPr>
                    <w:t>1</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787E">
                  <w:pPr>
                    <w:pStyle w:val="76"/>
                    <w:snapToGrid w:val="0"/>
                    <w:jc w:val="center"/>
                    <w:rPr>
                      <w:kern w:val="2"/>
                      <w:sz w:val="21"/>
                      <w:szCs w:val="21"/>
                    </w:rPr>
                  </w:pPr>
                  <w:r>
                    <w:rPr>
                      <w:rFonts w:hint="eastAsia"/>
                      <w:kern w:val="2"/>
                      <w:sz w:val="21"/>
                      <w:szCs w:val="21"/>
                    </w:rPr>
                    <w:t>34°47′6.76572</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57F5D">
                  <w:pPr>
                    <w:pStyle w:val="76"/>
                    <w:snapToGrid w:val="0"/>
                    <w:jc w:val="center"/>
                    <w:rPr>
                      <w:kern w:val="2"/>
                      <w:sz w:val="21"/>
                      <w:szCs w:val="21"/>
                    </w:rPr>
                  </w:pPr>
                  <w:r>
                    <w:rPr>
                      <w:rFonts w:hint="eastAsia"/>
                      <w:kern w:val="2"/>
                      <w:sz w:val="21"/>
                      <w:szCs w:val="21"/>
                    </w:rPr>
                    <w:t>119°10′20.26892</w:t>
                  </w:r>
                  <w:r>
                    <w:rPr>
                      <w:kern w:val="2"/>
                      <w:sz w:val="21"/>
                      <w:szCs w:val="21"/>
                    </w:rPr>
                    <w:t xml:space="preserve">″ </w:t>
                  </w:r>
                </w:p>
              </w:tc>
            </w:tr>
            <w:tr w14:paraId="299A2DDA">
              <w:tblPrEx>
                <w:tblCellMar>
                  <w:top w:w="0" w:type="dxa"/>
                  <w:left w:w="108" w:type="dxa"/>
                  <w:bottom w:w="0" w:type="dxa"/>
                  <w:right w:w="108" w:type="dxa"/>
                </w:tblCellMar>
              </w:tblPrEx>
              <w:trPr>
                <w:trHeight w:val="285"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D1C0">
                  <w:pPr>
                    <w:pStyle w:val="76"/>
                    <w:snapToGrid w:val="0"/>
                    <w:jc w:val="center"/>
                    <w:rPr>
                      <w:kern w:val="2"/>
                      <w:sz w:val="21"/>
                      <w:szCs w:val="21"/>
                    </w:rPr>
                  </w:pPr>
                  <w:r>
                    <w:rPr>
                      <w:rFonts w:hint="eastAsia"/>
                      <w:kern w:val="2"/>
                      <w:sz w:val="21"/>
                      <w:szCs w:val="21"/>
                    </w:rPr>
                    <w:t xml:space="preserve"> </w:t>
                  </w:r>
                  <w:r>
                    <w:rPr>
                      <w:rFonts w:hint="eastAsia"/>
                      <w:kern w:val="2"/>
                      <w:sz w:val="21"/>
                      <w:szCs w:val="21"/>
                      <w:lang w:eastAsia="zh-CN"/>
                    </w:rPr>
                    <w:t>5#南</w:t>
                  </w:r>
                  <w:r>
                    <w:rPr>
                      <w:rFonts w:hint="eastAsia"/>
                      <w:kern w:val="2"/>
                      <w:sz w:val="21"/>
                      <w:szCs w:val="21"/>
                    </w:rPr>
                    <w:t>地块</w:t>
                  </w:r>
                  <w:r>
                    <w:rPr>
                      <w:kern w:val="2"/>
                      <w:sz w:val="21"/>
                      <w:szCs w:val="21"/>
                    </w:rPr>
                    <w:t>（地块现状为坑塘水面）</w:t>
                  </w:r>
                </w:p>
              </w:tc>
            </w:tr>
            <w:tr w14:paraId="7F365C1B">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7BAD">
                  <w:pPr>
                    <w:pStyle w:val="76"/>
                    <w:snapToGrid w:val="0"/>
                    <w:jc w:val="center"/>
                    <w:rPr>
                      <w:rFonts w:hint="eastAsia" w:eastAsia="宋体"/>
                      <w:kern w:val="2"/>
                      <w:sz w:val="21"/>
                      <w:szCs w:val="21"/>
                      <w:lang w:val="en-US" w:eastAsia="zh-CN"/>
                    </w:rPr>
                  </w:pPr>
                  <w:r>
                    <w:rPr>
                      <w:kern w:val="2"/>
                      <w:sz w:val="21"/>
                      <w:szCs w:val="21"/>
                    </w:rPr>
                    <w:t>A2</w:t>
                  </w:r>
                  <w:r>
                    <w:rPr>
                      <w:rFonts w:hint="eastAsia"/>
                      <w:kern w:val="2"/>
                      <w:sz w:val="21"/>
                      <w:szCs w:val="21"/>
                      <w:lang w:val="en-US" w:eastAsia="zh-CN"/>
                    </w:rPr>
                    <w:t>2</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74B8">
                  <w:pPr>
                    <w:pStyle w:val="76"/>
                    <w:snapToGrid w:val="0"/>
                    <w:jc w:val="center"/>
                    <w:rPr>
                      <w:rFonts w:hint="eastAsia"/>
                      <w:kern w:val="2"/>
                      <w:sz w:val="21"/>
                      <w:szCs w:val="21"/>
                    </w:rPr>
                  </w:pPr>
                  <w:r>
                    <w:rPr>
                      <w:rFonts w:hint="eastAsia"/>
                      <w:kern w:val="2"/>
                      <w:sz w:val="21"/>
                      <w:szCs w:val="21"/>
                    </w:rPr>
                    <w:t xml:space="preserve">34°47′1.82187″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ACF4">
                  <w:pPr>
                    <w:pStyle w:val="76"/>
                    <w:snapToGrid w:val="0"/>
                    <w:jc w:val="center"/>
                    <w:rPr>
                      <w:rFonts w:hint="eastAsia"/>
                      <w:kern w:val="2"/>
                      <w:sz w:val="21"/>
                      <w:szCs w:val="21"/>
                    </w:rPr>
                  </w:pPr>
                  <w:r>
                    <w:rPr>
                      <w:rFonts w:hint="eastAsia"/>
                      <w:kern w:val="2"/>
                      <w:sz w:val="21"/>
                      <w:szCs w:val="21"/>
                    </w:rPr>
                    <w:t xml:space="preserve">119°10′27.95505″ </w:t>
                  </w:r>
                </w:p>
              </w:tc>
            </w:tr>
            <w:tr w14:paraId="64C3B44A">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2900">
                  <w:pPr>
                    <w:pStyle w:val="76"/>
                    <w:snapToGrid w:val="0"/>
                    <w:jc w:val="center"/>
                    <w:rPr>
                      <w:rFonts w:hint="eastAsia" w:eastAsia="宋体"/>
                      <w:kern w:val="2"/>
                      <w:sz w:val="21"/>
                      <w:szCs w:val="21"/>
                      <w:lang w:val="en-US" w:eastAsia="zh-CN"/>
                    </w:rPr>
                  </w:pPr>
                  <w:r>
                    <w:rPr>
                      <w:kern w:val="2"/>
                      <w:sz w:val="21"/>
                      <w:szCs w:val="21"/>
                    </w:rPr>
                    <w:t>A23</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40BA">
                  <w:pPr>
                    <w:pStyle w:val="76"/>
                    <w:snapToGrid w:val="0"/>
                    <w:jc w:val="center"/>
                    <w:rPr>
                      <w:kern w:val="2"/>
                      <w:sz w:val="21"/>
                      <w:szCs w:val="21"/>
                    </w:rPr>
                  </w:pPr>
                  <w:r>
                    <w:rPr>
                      <w:rFonts w:hint="eastAsia"/>
                      <w:kern w:val="2"/>
                      <w:sz w:val="21"/>
                      <w:szCs w:val="21"/>
                    </w:rPr>
                    <w:t>34°46′51.08445</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909D8">
                  <w:pPr>
                    <w:pStyle w:val="76"/>
                    <w:snapToGrid w:val="0"/>
                    <w:jc w:val="center"/>
                    <w:rPr>
                      <w:kern w:val="2"/>
                      <w:sz w:val="21"/>
                      <w:szCs w:val="21"/>
                    </w:rPr>
                  </w:pPr>
                  <w:r>
                    <w:rPr>
                      <w:rFonts w:hint="eastAsia"/>
                      <w:kern w:val="2"/>
                      <w:sz w:val="21"/>
                      <w:szCs w:val="21"/>
                    </w:rPr>
                    <w:t>119°11′17.23904</w:t>
                  </w:r>
                  <w:r>
                    <w:rPr>
                      <w:kern w:val="2"/>
                      <w:sz w:val="21"/>
                      <w:szCs w:val="21"/>
                    </w:rPr>
                    <w:t xml:space="preserve">″ </w:t>
                  </w:r>
                </w:p>
              </w:tc>
            </w:tr>
            <w:tr w14:paraId="6ED5086C">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BDF3">
                  <w:pPr>
                    <w:pStyle w:val="76"/>
                    <w:snapToGrid w:val="0"/>
                    <w:jc w:val="center"/>
                    <w:rPr>
                      <w:kern w:val="2"/>
                      <w:sz w:val="21"/>
                      <w:szCs w:val="21"/>
                    </w:rPr>
                  </w:pPr>
                  <w:r>
                    <w:rPr>
                      <w:kern w:val="2"/>
                      <w:sz w:val="21"/>
                      <w:szCs w:val="21"/>
                    </w:rPr>
                    <w:t>A24</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2B32">
                  <w:pPr>
                    <w:pStyle w:val="76"/>
                    <w:snapToGrid w:val="0"/>
                    <w:jc w:val="center"/>
                    <w:rPr>
                      <w:kern w:val="2"/>
                      <w:sz w:val="21"/>
                      <w:szCs w:val="21"/>
                    </w:rPr>
                  </w:pPr>
                  <w:r>
                    <w:rPr>
                      <w:rFonts w:hint="eastAsia"/>
                      <w:kern w:val="2"/>
                      <w:sz w:val="21"/>
                      <w:szCs w:val="21"/>
                    </w:rPr>
                    <w:t>34°46′34.32172</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BF52">
                  <w:pPr>
                    <w:pStyle w:val="76"/>
                    <w:snapToGrid w:val="0"/>
                    <w:jc w:val="center"/>
                    <w:rPr>
                      <w:kern w:val="2"/>
                      <w:sz w:val="21"/>
                      <w:szCs w:val="21"/>
                    </w:rPr>
                  </w:pPr>
                  <w:r>
                    <w:rPr>
                      <w:rFonts w:hint="eastAsia"/>
                      <w:kern w:val="2"/>
                      <w:sz w:val="21"/>
                      <w:szCs w:val="21"/>
                    </w:rPr>
                    <w:t>119°11′18.39775</w:t>
                  </w:r>
                  <w:r>
                    <w:rPr>
                      <w:kern w:val="2"/>
                      <w:sz w:val="21"/>
                      <w:szCs w:val="21"/>
                    </w:rPr>
                    <w:t xml:space="preserve">″ </w:t>
                  </w:r>
                </w:p>
              </w:tc>
            </w:tr>
            <w:tr w14:paraId="65B87772">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FC52D">
                  <w:pPr>
                    <w:pStyle w:val="76"/>
                    <w:snapToGrid w:val="0"/>
                    <w:jc w:val="center"/>
                    <w:rPr>
                      <w:kern w:val="2"/>
                      <w:sz w:val="21"/>
                      <w:szCs w:val="21"/>
                    </w:rPr>
                  </w:pPr>
                  <w:r>
                    <w:rPr>
                      <w:kern w:val="2"/>
                      <w:sz w:val="21"/>
                      <w:szCs w:val="21"/>
                    </w:rPr>
                    <w:t>A25</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3A1B">
                  <w:pPr>
                    <w:pStyle w:val="76"/>
                    <w:snapToGrid w:val="0"/>
                    <w:jc w:val="center"/>
                    <w:rPr>
                      <w:kern w:val="2"/>
                      <w:sz w:val="21"/>
                      <w:szCs w:val="21"/>
                    </w:rPr>
                  </w:pPr>
                  <w:r>
                    <w:rPr>
                      <w:rFonts w:hint="eastAsia"/>
                      <w:kern w:val="2"/>
                      <w:sz w:val="21"/>
                      <w:szCs w:val="21"/>
                    </w:rPr>
                    <w:t>34°46′27.60118</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198E">
                  <w:pPr>
                    <w:pStyle w:val="76"/>
                    <w:snapToGrid w:val="0"/>
                    <w:jc w:val="center"/>
                    <w:rPr>
                      <w:kern w:val="2"/>
                      <w:sz w:val="21"/>
                      <w:szCs w:val="21"/>
                    </w:rPr>
                  </w:pPr>
                  <w:r>
                    <w:rPr>
                      <w:rFonts w:hint="eastAsia"/>
                      <w:kern w:val="2"/>
                      <w:sz w:val="21"/>
                      <w:szCs w:val="21"/>
                    </w:rPr>
                    <w:t>119°11′19.47919</w:t>
                  </w:r>
                  <w:r>
                    <w:rPr>
                      <w:kern w:val="2"/>
                      <w:sz w:val="21"/>
                      <w:szCs w:val="21"/>
                    </w:rPr>
                    <w:t xml:space="preserve">″ </w:t>
                  </w:r>
                </w:p>
              </w:tc>
            </w:tr>
            <w:tr w14:paraId="3493966C">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77DD">
                  <w:pPr>
                    <w:pStyle w:val="76"/>
                    <w:snapToGrid w:val="0"/>
                    <w:jc w:val="center"/>
                    <w:rPr>
                      <w:kern w:val="2"/>
                      <w:sz w:val="21"/>
                      <w:szCs w:val="21"/>
                    </w:rPr>
                  </w:pPr>
                  <w:r>
                    <w:rPr>
                      <w:kern w:val="2"/>
                      <w:sz w:val="21"/>
                      <w:szCs w:val="21"/>
                    </w:rPr>
                    <w:t>A26</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B368">
                  <w:pPr>
                    <w:pStyle w:val="76"/>
                    <w:snapToGrid w:val="0"/>
                    <w:jc w:val="center"/>
                    <w:rPr>
                      <w:kern w:val="2"/>
                      <w:sz w:val="21"/>
                      <w:szCs w:val="21"/>
                    </w:rPr>
                  </w:pPr>
                  <w:r>
                    <w:rPr>
                      <w:rFonts w:hint="eastAsia"/>
                      <w:kern w:val="2"/>
                      <w:sz w:val="21"/>
                      <w:szCs w:val="21"/>
                    </w:rPr>
                    <w:t>34°46′11.76542</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64810">
                  <w:pPr>
                    <w:pStyle w:val="76"/>
                    <w:snapToGrid w:val="0"/>
                    <w:jc w:val="center"/>
                    <w:rPr>
                      <w:kern w:val="2"/>
                      <w:sz w:val="21"/>
                      <w:szCs w:val="21"/>
                    </w:rPr>
                  </w:pPr>
                  <w:r>
                    <w:rPr>
                      <w:rFonts w:hint="eastAsia"/>
                      <w:kern w:val="2"/>
                      <w:sz w:val="21"/>
                      <w:szCs w:val="21"/>
                    </w:rPr>
                    <w:t>119°11′23.88233</w:t>
                  </w:r>
                  <w:r>
                    <w:rPr>
                      <w:kern w:val="2"/>
                      <w:sz w:val="21"/>
                      <w:szCs w:val="21"/>
                    </w:rPr>
                    <w:t xml:space="preserve">″ </w:t>
                  </w:r>
                </w:p>
              </w:tc>
            </w:tr>
            <w:tr w14:paraId="5AF97D38">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6107">
                  <w:pPr>
                    <w:pStyle w:val="76"/>
                    <w:snapToGrid w:val="0"/>
                    <w:jc w:val="center"/>
                    <w:rPr>
                      <w:kern w:val="2"/>
                      <w:sz w:val="21"/>
                      <w:szCs w:val="21"/>
                    </w:rPr>
                  </w:pPr>
                  <w:r>
                    <w:rPr>
                      <w:kern w:val="2"/>
                      <w:sz w:val="21"/>
                      <w:szCs w:val="21"/>
                    </w:rPr>
                    <w:t>A27</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3064D">
                  <w:pPr>
                    <w:pStyle w:val="76"/>
                    <w:snapToGrid w:val="0"/>
                    <w:jc w:val="center"/>
                    <w:rPr>
                      <w:kern w:val="2"/>
                      <w:sz w:val="21"/>
                      <w:szCs w:val="21"/>
                    </w:rPr>
                  </w:pPr>
                  <w:r>
                    <w:rPr>
                      <w:rFonts w:hint="eastAsia"/>
                      <w:kern w:val="2"/>
                      <w:sz w:val="21"/>
                      <w:szCs w:val="21"/>
                    </w:rPr>
                    <w:t>34°46′36.79365</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7237">
                  <w:pPr>
                    <w:pStyle w:val="76"/>
                    <w:snapToGrid w:val="0"/>
                    <w:jc w:val="center"/>
                    <w:rPr>
                      <w:kern w:val="2"/>
                      <w:sz w:val="21"/>
                      <w:szCs w:val="21"/>
                    </w:rPr>
                  </w:pPr>
                  <w:r>
                    <w:rPr>
                      <w:rFonts w:hint="eastAsia"/>
                      <w:kern w:val="2"/>
                      <w:sz w:val="21"/>
                      <w:szCs w:val="21"/>
                    </w:rPr>
                    <w:t>119°10′59.78107</w:t>
                  </w:r>
                  <w:r>
                    <w:rPr>
                      <w:kern w:val="2"/>
                      <w:sz w:val="21"/>
                      <w:szCs w:val="21"/>
                    </w:rPr>
                    <w:t xml:space="preserve">″ </w:t>
                  </w:r>
                </w:p>
              </w:tc>
            </w:tr>
            <w:tr w14:paraId="26CFEEA4">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2265">
                  <w:pPr>
                    <w:pStyle w:val="76"/>
                    <w:snapToGrid w:val="0"/>
                    <w:jc w:val="center"/>
                    <w:rPr>
                      <w:kern w:val="2"/>
                      <w:sz w:val="21"/>
                      <w:szCs w:val="21"/>
                    </w:rPr>
                  </w:pPr>
                  <w:r>
                    <w:rPr>
                      <w:kern w:val="2"/>
                      <w:sz w:val="21"/>
                      <w:szCs w:val="21"/>
                    </w:rPr>
                    <w:t>A28</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7906A">
                  <w:pPr>
                    <w:pStyle w:val="76"/>
                    <w:snapToGrid w:val="0"/>
                    <w:jc w:val="center"/>
                    <w:rPr>
                      <w:kern w:val="2"/>
                      <w:sz w:val="21"/>
                      <w:szCs w:val="21"/>
                    </w:rPr>
                  </w:pPr>
                  <w:r>
                    <w:rPr>
                      <w:rFonts w:hint="eastAsia"/>
                      <w:kern w:val="2"/>
                      <w:sz w:val="21"/>
                      <w:szCs w:val="21"/>
                    </w:rPr>
                    <w:t>34°46′45.32948</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4DD2">
                  <w:pPr>
                    <w:pStyle w:val="76"/>
                    <w:snapToGrid w:val="0"/>
                    <w:jc w:val="center"/>
                    <w:rPr>
                      <w:kern w:val="2"/>
                      <w:sz w:val="21"/>
                      <w:szCs w:val="21"/>
                    </w:rPr>
                  </w:pPr>
                  <w:r>
                    <w:rPr>
                      <w:rFonts w:hint="eastAsia"/>
                      <w:kern w:val="2"/>
                      <w:sz w:val="21"/>
                      <w:szCs w:val="21"/>
                    </w:rPr>
                    <w:t>119°10′46.55242</w:t>
                  </w:r>
                  <w:r>
                    <w:rPr>
                      <w:kern w:val="2"/>
                      <w:sz w:val="21"/>
                      <w:szCs w:val="21"/>
                    </w:rPr>
                    <w:t xml:space="preserve">″ </w:t>
                  </w:r>
                </w:p>
              </w:tc>
            </w:tr>
            <w:tr w14:paraId="2FDDEFD0">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0312">
                  <w:pPr>
                    <w:pStyle w:val="76"/>
                    <w:snapToGrid w:val="0"/>
                    <w:jc w:val="center"/>
                    <w:rPr>
                      <w:kern w:val="2"/>
                      <w:sz w:val="21"/>
                      <w:szCs w:val="21"/>
                    </w:rPr>
                  </w:pPr>
                  <w:r>
                    <w:rPr>
                      <w:kern w:val="2"/>
                      <w:sz w:val="21"/>
                      <w:szCs w:val="21"/>
                    </w:rPr>
                    <w:t>A29</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CD12">
                  <w:pPr>
                    <w:pStyle w:val="76"/>
                    <w:snapToGrid w:val="0"/>
                    <w:jc w:val="center"/>
                    <w:rPr>
                      <w:kern w:val="2"/>
                      <w:sz w:val="21"/>
                      <w:szCs w:val="21"/>
                    </w:rPr>
                  </w:pPr>
                  <w:r>
                    <w:rPr>
                      <w:rFonts w:hint="eastAsia"/>
                      <w:kern w:val="2"/>
                      <w:sz w:val="21"/>
                      <w:szCs w:val="21"/>
                    </w:rPr>
                    <w:t>34°46′47.02896</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1672">
                  <w:pPr>
                    <w:pStyle w:val="76"/>
                    <w:snapToGrid w:val="0"/>
                    <w:jc w:val="center"/>
                    <w:rPr>
                      <w:kern w:val="2"/>
                      <w:sz w:val="21"/>
                      <w:szCs w:val="21"/>
                    </w:rPr>
                  </w:pPr>
                  <w:r>
                    <w:rPr>
                      <w:rFonts w:hint="eastAsia"/>
                      <w:kern w:val="2"/>
                      <w:sz w:val="21"/>
                      <w:szCs w:val="21"/>
                    </w:rPr>
                    <w:t>119°10′45.56751</w:t>
                  </w:r>
                  <w:r>
                    <w:rPr>
                      <w:kern w:val="2"/>
                      <w:sz w:val="21"/>
                      <w:szCs w:val="21"/>
                    </w:rPr>
                    <w:t xml:space="preserve">″ </w:t>
                  </w:r>
                </w:p>
              </w:tc>
            </w:tr>
            <w:tr w14:paraId="752B3718">
              <w:tblPrEx>
                <w:tblCellMar>
                  <w:top w:w="0" w:type="dxa"/>
                  <w:left w:w="108" w:type="dxa"/>
                  <w:bottom w:w="0" w:type="dxa"/>
                  <w:right w:w="108" w:type="dxa"/>
                </w:tblCellMar>
              </w:tblPrEx>
              <w:trPr>
                <w:trHeight w:val="285" w:hRule="atLeast"/>
                <w:jc w:val="center"/>
              </w:trPr>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0781">
                  <w:pPr>
                    <w:pStyle w:val="76"/>
                    <w:snapToGrid w:val="0"/>
                    <w:jc w:val="center"/>
                    <w:rPr>
                      <w:kern w:val="2"/>
                      <w:sz w:val="21"/>
                      <w:szCs w:val="21"/>
                    </w:rPr>
                  </w:pPr>
                  <w:r>
                    <w:rPr>
                      <w:kern w:val="2"/>
                      <w:sz w:val="21"/>
                      <w:szCs w:val="21"/>
                    </w:rPr>
                    <w:t>A</w:t>
                  </w:r>
                  <w:r>
                    <w:rPr>
                      <w:rFonts w:hint="eastAsia"/>
                      <w:kern w:val="2"/>
                      <w:sz w:val="21"/>
                      <w:szCs w:val="21"/>
                      <w:lang w:val="en-US" w:eastAsia="zh-CN"/>
                    </w:rPr>
                    <w:t>30</w:t>
                  </w:r>
                </w:p>
              </w:tc>
              <w:tc>
                <w:tcPr>
                  <w:tcW w:w="2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3782">
                  <w:pPr>
                    <w:pStyle w:val="76"/>
                    <w:snapToGrid w:val="0"/>
                    <w:jc w:val="center"/>
                    <w:rPr>
                      <w:kern w:val="2"/>
                      <w:sz w:val="21"/>
                      <w:szCs w:val="21"/>
                    </w:rPr>
                  </w:pPr>
                  <w:r>
                    <w:rPr>
                      <w:rFonts w:hint="eastAsia"/>
                      <w:kern w:val="2"/>
                      <w:sz w:val="21"/>
                      <w:szCs w:val="21"/>
                    </w:rPr>
                    <w:t>34°46′48.2456</w:t>
                  </w:r>
                  <w:r>
                    <w:rPr>
                      <w:rFonts w:hint="eastAsia"/>
                      <w:kern w:val="2"/>
                      <w:sz w:val="21"/>
                      <w:szCs w:val="21"/>
                      <w:lang w:val="en-US" w:eastAsia="zh-CN"/>
                    </w:rPr>
                    <w:t>1</w:t>
                  </w:r>
                  <w:r>
                    <w:rPr>
                      <w:kern w:val="2"/>
                      <w:sz w:val="21"/>
                      <w:szCs w:val="21"/>
                    </w:rPr>
                    <w:t xml:space="preserve">″ </w:t>
                  </w:r>
                </w:p>
              </w:tc>
              <w:tc>
                <w:tcPr>
                  <w:tcW w:w="2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7F29">
                  <w:pPr>
                    <w:pStyle w:val="76"/>
                    <w:snapToGrid w:val="0"/>
                    <w:jc w:val="center"/>
                    <w:rPr>
                      <w:kern w:val="2"/>
                      <w:sz w:val="21"/>
                      <w:szCs w:val="21"/>
                    </w:rPr>
                  </w:pPr>
                  <w:r>
                    <w:rPr>
                      <w:rFonts w:hint="eastAsia"/>
                      <w:kern w:val="2"/>
                      <w:sz w:val="21"/>
                      <w:szCs w:val="21"/>
                    </w:rPr>
                    <w:t>119°10′42.99903</w:t>
                  </w:r>
                  <w:r>
                    <w:rPr>
                      <w:kern w:val="2"/>
                      <w:sz w:val="21"/>
                      <w:szCs w:val="21"/>
                    </w:rPr>
                    <w:t xml:space="preserve">″ </w:t>
                  </w:r>
                </w:p>
              </w:tc>
            </w:tr>
          </w:tbl>
          <w:p w14:paraId="67272F92">
            <w:pPr>
              <w:adjustRightInd w:val="0"/>
              <w:snapToGrid w:val="0"/>
              <w:spacing w:line="360" w:lineRule="auto"/>
              <w:ind w:firstLine="480" w:firstLineChars="200"/>
              <w:rPr>
                <w:sz w:val="24"/>
              </w:rPr>
            </w:pPr>
          </w:p>
        </w:tc>
      </w:tr>
      <w:tr w14:paraId="476875D3">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507" w:type="dxa"/>
            <w:vAlign w:val="center"/>
          </w:tcPr>
          <w:p w14:paraId="030FD84E">
            <w:pPr>
              <w:adjustRightInd w:val="0"/>
              <w:snapToGrid w:val="0"/>
              <w:jc w:val="center"/>
              <w:rPr>
                <w:kern w:val="0"/>
                <w:sz w:val="24"/>
              </w:rPr>
            </w:pPr>
            <w:r>
              <w:rPr>
                <w:kern w:val="0"/>
                <w:sz w:val="24"/>
              </w:rPr>
              <w:t>项目组成及规模</w:t>
            </w:r>
          </w:p>
        </w:tc>
        <w:tc>
          <w:tcPr>
            <w:tcW w:w="8950" w:type="dxa"/>
            <w:vAlign w:val="center"/>
          </w:tcPr>
          <w:p w14:paraId="532C4F7F">
            <w:pPr>
              <w:numPr>
                <w:ilvl w:val="0"/>
                <w:numId w:val="5"/>
              </w:numPr>
              <w:spacing w:line="360" w:lineRule="auto"/>
              <w:ind w:firstLine="482" w:firstLineChars="200"/>
              <w:rPr>
                <w:b/>
                <w:bCs/>
                <w:sz w:val="24"/>
              </w:rPr>
            </w:pPr>
            <w:r>
              <w:rPr>
                <w:b/>
                <w:bCs/>
                <w:sz w:val="24"/>
              </w:rPr>
              <w:t>项目由来</w:t>
            </w:r>
          </w:p>
          <w:p w14:paraId="118929CD">
            <w:pPr>
              <w:widowControl/>
              <w:spacing w:line="360" w:lineRule="auto"/>
              <w:ind w:firstLine="480" w:firstLineChars="200"/>
              <w:rPr>
                <w:kern w:val="0"/>
                <w:sz w:val="24"/>
              </w:rPr>
            </w:pPr>
            <w:r>
              <w:rPr>
                <w:kern w:val="0"/>
                <w:sz w:val="24"/>
              </w:rPr>
              <w:t>江苏省是我国的沿海经济发达省份，人口密度在全国各省份中最高，同时也是我国能源消费总量最多的省份之一，资源相对短缺，能源对外依存度较高，环境压力很大。江苏电网目前仍基本是以燃煤电厂占主导地位的火电电网，比较单一的电源结构难以满足江苏省用电需求和电力系统可持续发展的战略要求。因此积极地开发利用本地区的太阳能等洁洁可再生能源已势在必行、大势所趋，以多元化能源开发的方式满足经济发展的需求是电力发展的长远目标。</w:t>
            </w:r>
          </w:p>
          <w:p w14:paraId="5BA522E8">
            <w:pPr>
              <w:widowControl/>
              <w:spacing w:line="360" w:lineRule="auto"/>
              <w:ind w:firstLine="480" w:firstLineChars="200"/>
              <w:rPr>
                <w:kern w:val="0"/>
                <w:sz w:val="24"/>
              </w:rPr>
            </w:pPr>
            <w:r>
              <w:rPr>
                <w:kern w:val="0"/>
                <w:sz w:val="24"/>
              </w:rPr>
              <w:t>渔光互补是将太阳能光伏发电和渔业养殖相结合的一种技术，可以实现土地立体化增值利用，建设现代高效渔业综合经济体。</w:t>
            </w:r>
            <w:r>
              <w:rPr>
                <w:rFonts w:hint="eastAsia"/>
                <w:kern w:val="0"/>
                <w:sz w:val="24"/>
                <w:lang w:val="en-US" w:eastAsia="zh-CN"/>
              </w:rPr>
              <w:t>连云港市经济技术开发区</w:t>
            </w:r>
            <w:r>
              <w:rPr>
                <w:kern w:val="0"/>
                <w:sz w:val="24"/>
              </w:rPr>
              <w:t>日照时间长，年平均太阳辐射量比较稳定，为太阳能辐射资源丰富区域，充足的光照资源为光伏发电发展提供优势条件。</w:t>
            </w:r>
          </w:p>
          <w:p w14:paraId="6172D069">
            <w:pPr>
              <w:widowControl/>
              <w:spacing w:line="360" w:lineRule="auto"/>
              <w:ind w:firstLine="480" w:firstLineChars="200"/>
              <w:rPr>
                <w:kern w:val="0"/>
                <w:sz w:val="24"/>
              </w:rPr>
            </w:pPr>
            <w:r>
              <w:rPr>
                <w:rFonts w:hint="eastAsia"/>
                <w:sz w:val="24"/>
              </w:rPr>
              <w:t>连云港润投青口能源有限公司</w:t>
            </w:r>
            <w:r>
              <w:rPr>
                <w:kern w:val="0"/>
                <w:sz w:val="24"/>
              </w:rPr>
              <w:t>拟</w:t>
            </w:r>
            <w:r>
              <w:rPr>
                <w:rFonts w:hint="eastAsia"/>
                <w:kern w:val="0"/>
                <w:sz w:val="24"/>
                <w:lang w:val="en-US" w:eastAsia="zh-CN"/>
              </w:rPr>
              <w:t>在</w:t>
            </w:r>
            <w:r>
              <w:rPr>
                <w:rFonts w:hint="eastAsia"/>
                <w:sz w:val="24"/>
              </w:rPr>
              <w:t>江苏省连云港市连云港经济技术开发区青口盐场</w:t>
            </w:r>
            <w:r>
              <w:rPr>
                <w:rFonts w:hint="eastAsia"/>
                <w:sz w:val="24"/>
                <w:lang w:val="en-US" w:eastAsia="zh-CN"/>
              </w:rPr>
              <w:t>建设</w:t>
            </w:r>
            <w:r>
              <w:rPr>
                <w:rFonts w:hint="eastAsia"/>
                <w:sz w:val="24"/>
                <w:lang w:eastAsia="zh-CN"/>
              </w:rPr>
              <w:t>华润电力青口盐场240MW渔光互补项目</w:t>
            </w:r>
            <w:r>
              <w:rPr>
                <w:kern w:val="0"/>
                <w:sz w:val="24"/>
              </w:rPr>
              <w:t>，高效用地优势，促进当地低碳经济的发展及新型农业转型，带动当地经济快速发展，实现经济效益与社会效益最大化。</w:t>
            </w:r>
          </w:p>
          <w:p w14:paraId="23D35E65">
            <w:pPr>
              <w:widowControl/>
              <w:spacing w:line="360" w:lineRule="auto"/>
              <w:ind w:firstLine="480" w:firstLineChars="200"/>
              <w:rPr>
                <w:kern w:val="0"/>
                <w:sz w:val="24"/>
              </w:rPr>
            </w:pPr>
            <w:r>
              <w:rPr>
                <w:kern w:val="0"/>
                <w:sz w:val="24"/>
              </w:rPr>
              <w:t>本项目已取得</w:t>
            </w:r>
            <w:r>
              <w:rPr>
                <w:rFonts w:hint="eastAsia"/>
                <w:kern w:val="0"/>
                <w:sz w:val="24"/>
              </w:rPr>
              <w:t>连云港市自然资源和规划局开发区分局</w:t>
            </w:r>
            <w:r>
              <w:rPr>
                <w:kern w:val="0"/>
                <w:sz w:val="24"/>
              </w:rPr>
              <w:t>《</w:t>
            </w:r>
            <w:r>
              <w:rPr>
                <w:rFonts w:hint="eastAsia"/>
                <w:kern w:val="0"/>
                <w:sz w:val="24"/>
              </w:rPr>
              <w:t>关于华润电力青口盐场240MW渔光万补项目用地性质的情况说明</w:t>
            </w:r>
            <w:r>
              <w:rPr>
                <w:kern w:val="0"/>
                <w:sz w:val="24"/>
              </w:rPr>
              <w:t>》、</w:t>
            </w:r>
            <w:r>
              <w:rPr>
                <w:rFonts w:hint="eastAsia"/>
                <w:kern w:val="0"/>
                <w:sz w:val="24"/>
              </w:rPr>
              <w:t>连云港经济技术开发区社会事业局</w:t>
            </w:r>
            <w:r>
              <w:rPr>
                <w:kern w:val="0"/>
                <w:sz w:val="24"/>
              </w:rPr>
              <w:t>《</w:t>
            </w:r>
            <w:r>
              <w:rPr>
                <w:rFonts w:hint="eastAsia"/>
                <w:kern w:val="0"/>
                <w:sz w:val="24"/>
              </w:rPr>
              <w:t>关于华润电力青口盐场240MW渔光互补项目选址意见的复函</w:t>
            </w:r>
            <w:r>
              <w:rPr>
                <w:kern w:val="0"/>
                <w:sz w:val="24"/>
              </w:rPr>
              <w:t>》</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见附件6</w:t>
            </w:r>
            <w:r>
              <w:rPr>
                <w:rFonts w:hint="eastAsia"/>
                <w:color w:val="000000" w:themeColor="text1"/>
                <w:kern w:val="0"/>
                <w:sz w:val="24"/>
                <w:lang w:eastAsia="zh-CN"/>
                <w14:textFill>
                  <w14:solidFill>
                    <w14:schemeClr w14:val="tx1"/>
                  </w14:solidFill>
                </w14:textFill>
              </w:rPr>
              <w:t>）</w:t>
            </w:r>
            <w:r>
              <w:rPr>
                <w:kern w:val="0"/>
                <w:sz w:val="24"/>
              </w:rPr>
              <w:t>，本项目不涉及永久基本农田、生态红线和生态空间管控区域，拟用地块未涉及林地。</w:t>
            </w:r>
          </w:p>
          <w:p w14:paraId="66508E22">
            <w:pPr>
              <w:widowControl/>
              <w:spacing w:line="360" w:lineRule="auto"/>
              <w:ind w:firstLine="480" w:firstLineChars="200"/>
              <w:rPr>
                <w:color w:val="000000" w:themeColor="text1"/>
                <w:kern w:val="0"/>
                <w:sz w:val="24"/>
                <w14:textFill>
                  <w14:solidFill>
                    <w14:schemeClr w14:val="tx1"/>
                  </w14:solidFill>
                </w14:textFill>
              </w:rPr>
            </w:pPr>
            <w:r>
              <w:rPr>
                <w:kern w:val="0"/>
                <w:sz w:val="24"/>
              </w:rPr>
              <w:t>本项</w:t>
            </w:r>
            <w:r>
              <w:rPr>
                <w:color w:val="000000" w:themeColor="text1"/>
                <w:kern w:val="0"/>
                <w:sz w:val="24"/>
                <w14:textFill>
                  <w14:solidFill>
                    <w14:schemeClr w14:val="tx1"/>
                  </w14:solidFill>
                </w14:textFill>
              </w:rPr>
              <w:t>目于202</w:t>
            </w:r>
            <w:r>
              <w:rPr>
                <w:rFonts w:hint="eastAsia"/>
                <w:color w:val="000000" w:themeColor="text1"/>
                <w:kern w:val="0"/>
                <w:sz w:val="24"/>
                <w:lang w:val="en-US" w:eastAsia="zh-CN"/>
                <w14:textFill>
                  <w14:solidFill>
                    <w14:schemeClr w14:val="tx1"/>
                  </w14:solidFill>
                </w14:textFill>
              </w:rPr>
              <w:t>4</w:t>
            </w:r>
            <w:r>
              <w:rPr>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7</w:t>
            </w:r>
            <w:r>
              <w:rPr>
                <w:color w:val="000000" w:themeColor="text1"/>
                <w:kern w:val="0"/>
                <w:sz w:val="24"/>
                <w14:textFill>
                  <w14:solidFill>
                    <w14:schemeClr w14:val="tx1"/>
                  </w14:solidFill>
                </w14:textFill>
              </w:rPr>
              <w:t>月</w:t>
            </w:r>
            <w:r>
              <w:rPr>
                <w:rFonts w:hint="eastAsia"/>
                <w:color w:val="000000" w:themeColor="text1"/>
                <w:kern w:val="0"/>
                <w:sz w:val="24"/>
                <w:lang w:val="en-US" w:eastAsia="zh-CN"/>
                <w14:textFill>
                  <w14:solidFill>
                    <w14:schemeClr w14:val="tx1"/>
                  </w14:solidFill>
                </w14:textFill>
              </w:rPr>
              <w:t>25</w:t>
            </w:r>
            <w:r>
              <w:rPr>
                <w:color w:val="000000" w:themeColor="text1"/>
                <w:kern w:val="0"/>
                <w:sz w:val="24"/>
                <w14:textFill>
                  <w14:solidFill>
                    <w14:schemeClr w14:val="tx1"/>
                  </w14:solidFill>
                </w14:textFill>
              </w:rPr>
              <w:t>日取得</w:t>
            </w:r>
            <w:r>
              <w:rPr>
                <w:rFonts w:hint="eastAsia"/>
                <w:color w:val="000000" w:themeColor="text1"/>
                <w:kern w:val="0"/>
                <w:sz w:val="24"/>
                <w14:textFill>
                  <w14:solidFill>
                    <w14:schemeClr w14:val="tx1"/>
                  </w14:solidFill>
                </w14:textFill>
              </w:rPr>
              <w:t>连云港经济技术开发区行政审批局</w:t>
            </w:r>
            <w:r>
              <w:rPr>
                <w:color w:val="000000" w:themeColor="text1"/>
                <w:kern w:val="0"/>
                <w:sz w:val="24"/>
                <w14:textFill>
                  <w14:solidFill>
                    <w14:schemeClr w14:val="tx1"/>
                  </w14:solidFill>
                </w14:textFill>
              </w:rPr>
              <w:t>备案（备案证号：</w:t>
            </w:r>
            <w:r>
              <w:rPr>
                <w:rFonts w:hint="eastAsia"/>
                <w:color w:val="000000" w:themeColor="text1"/>
                <w:kern w:val="0"/>
                <w:sz w:val="24"/>
                <w14:textFill>
                  <w14:solidFill>
                    <w14:schemeClr w14:val="tx1"/>
                  </w14:solidFill>
                </w14:textFill>
              </w:rPr>
              <w:t>连行审备〔2024〕209号</w:t>
            </w:r>
            <w:r>
              <w:rPr>
                <w:color w:val="000000" w:themeColor="text1"/>
                <w:kern w:val="0"/>
                <w:sz w:val="24"/>
                <w14:textFill>
                  <w14:solidFill>
                    <w14:schemeClr w14:val="tx1"/>
                  </w14:solidFill>
                </w14:textFill>
              </w:rPr>
              <w:t>，项目代码：</w:t>
            </w:r>
            <w:r>
              <w:rPr>
                <w:rFonts w:hint="eastAsia"/>
                <w:color w:val="000000" w:themeColor="text1"/>
                <w:kern w:val="0"/>
                <w:sz w:val="24"/>
                <w14:textFill>
                  <w14:solidFill>
                    <w14:schemeClr w14:val="tx1"/>
                  </w14:solidFill>
                </w14:textFill>
              </w:rPr>
              <w:t>2405-320771-89-01-224020</w:t>
            </w:r>
            <w:r>
              <w:rPr>
                <w:color w:val="000000" w:themeColor="text1"/>
                <w:kern w:val="0"/>
                <w:sz w:val="24"/>
                <w14:textFill>
                  <w14:solidFill>
                    <w14:schemeClr w14:val="tx1"/>
                  </w14:solidFill>
                </w14:textFill>
              </w:rPr>
              <w:t>）；本项目配套的</w:t>
            </w:r>
            <w:r>
              <w:rPr>
                <w:rFonts w:hint="eastAsia"/>
                <w:color w:val="000000" w:themeColor="text1"/>
                <w:kern w:val="0"/>
                <w:sz w:val="24"/>
                <w14:textFill>
                  <w14:solidFill>
                    <w14:schemeClr w14:val="tx1"/>
                  </w14:solidFill>
                </w14:textFill>
              </w:rPr>
              <w:t>升压站项目于2024年</w:t>
            </w:r>
            <w:r>
              <w:rPr>
                <w:rFonts w:hint="eastAsia"/>
                <w:color w:val="000000" w:themeColor="text1"/>
                <w:kern w:val="0"/>
                <w:sz w:val="24"/>
                <w:lang w:val="en-US" w:eastAsia="zh-CN"/>
                <w14:textFill>
                  <w14:solidFill>
                    <w14:schemeClr w14:val="tx1"/>
                  </w14:solidFill>
                </w14:textFill>
              </w:rPr>
              <w:t>7</w:t>
            </w:r>
            <w:r>
              <w:rPr>
                <w:color w:val="000000" w:themeColor="text1"/>
                <w:kern w:val="0"/>
                <w:sz w:val="24"/>
                <w14:textFill>
                  <w14:solidFill>
                    <w14:schemeClr w14:val="tx1"/>
                  </w14:solidFill>
                </w14:textFill>
              </w:rPr>
              <w:t>月</w:t>
            </w:r>
            <w:r>
              <w:rPr>
                <w:rFonts w:hint="eastAsia"/>
                <w:color w:val="000000" w:themeColor="text1"/>
                <w:kern w:val="0"/>
                <w:sz w:val="24"/>
                <w:lang w:val="en-US" w:eastAsia="zh-CN"/>
                <w14:textFill>
                  <w14:solidFill>
                    <w14:schemeClr w14:val="tx1"/>
                  </w14:solidFill>
                </w14:textFill>
              </w:rPr>
              <w:t>25</w:t>
            </w:r>
            <w:r>
              <w:rPr>
                <w:color w:val="000000" w:themeColor="text1"/>
                <w:kern w:val="0"/>
                <w:sz w:val="24"/>
                <w14:textFill>
                  <w14:solidFill>
                    <w14:schemeClr w14:val="tx1"/>
                  </w14:solidFill>
                </w14:textFill>
              </w:rPr>
              <w:t>日取得</w:t>
            </w:r>
            <w:r>
              <w:rPr>
                <w:rFonts w:hint="eastAsia"/>
                <w:color w:val="000000" w:themeColor="text1"/>
                <w:kern w:val="0"/>
                <w:sz w:val="24"/>
                <w14:textFill>
                  <w14:solidFill>
                    <w14:schemeClr w14:val="tx1"/>
                  </w14:solidFill>
                </w14:textFill>
              </w:rPr>
              <w:t>连云港经济技术开发区行政审批局</w:t>
            </w:r>
            <w:r>
              <w:rPr>
                <w:color w:val="000000" w:themeColor="text1"/>
                <w:kern w:val="0"/>
                <w:sz w:val="24"/>
                <w14:textFill>
                  <w14:solidFill>
                    <w14:schemeClr w14:val="tx1"/>
                  </w14:solidFill>
                </w14:textFill>
              </w:rPr>
              <w:t>备案（</w:t>
            </w:r>
            <w:r>
              <w:rPr>
                <w:rFonts w:hint="eastAsia"/>
                <w:color w:val="000000" w:themeColor="text1"/>
                <w:kern w:val="0"/>
                <w:sz w:val="24"/>
                <w14:textFill>
                  <w14:solidFill>
                    <w14:schemeClr w14:val="tx1"/>
                  </w14:solidFill>
                </w14:textFill>
              </w:rPr>
              <w:t>连行审备〔2024〕</w:t>
            </w:r>
            <w:r>
              <w:rPr>
                <w:rFonts w:hint="eastAsia"/>
                <w:color w:val="000000" w:themeColor="text1"/>
                <w:kern w:val="0"/>
                <w:sz w:val="24"/>
                <w:lang w:val="en-US" w:eastAsia="zh-CN"/>
                <w14:textFill>
                  <w14:solidFill>
                    <w14:schemeClr w14:val="tx1"/>
                  </w14:solidFill>
                </w14:textFill>
              </w:rPr>
              <w:t>210</w:t>
            </w:r>
            <w:r>
              <w:rPr>
                <w:color w:val="000000" w:themeColor="text1"/>
                <w:kern w:val="0"/>
                <w:sz w:val="24"/>
                <w14:textFill>
                  <w14:solidFill>
                    <w14:schemeClr w14:val="tx1"/>
                  </w14:solidFill>
                </w14:textFill>
              </w:rPr>
              <w:t>号，项目代码：</w:t>
            </w:r>
            <w:r>
              <w:rPr>
                <w:rFonts w:hint="eastAsia"/>
                <w:color w:val="000000" w:themeColor="text1"/>
                <w:kern w:val="0"/>
                <w:sz w:val="24"/>
                <w14:textFill>
                  <w14:solidFill>
                    <w14:schemeClr w14:val="tx1"/>
                  </w14:solidFill>
                </w14:textFill>
              </w:rPr>
              <w:t>2407-320771-89-01-572278</w:t>
            </w:r>
            <w:r>
              <w:rPr>
                <w:color w:val="000000" w:themeColor="text1"/>
                <w:kern w:val="0"/>
                <w:sz w:val="24"/>
                <w14:textFill>
                  <w14:solidFill>
                    <w14:schemeClr w14:val="tx1"/>
                  </w14:solidFill>
                </w14:textFill>
              </w:rPr>
              <w:t>）。</w:t>
            </w:r>
          </w:p>
          <w:p w14:paraId="45A61DA8">
            <w:pPr>
              <w:widowControl/>
              <w:spacing w:line="360" w:lineRule="auto"/>
              <w:ind w:firstLine="480" w:firstLineChars="200"/>
              <w:rPr>
                <w:sz w:val="24"/>
              </w:rPr>
            </w:pPr>
            <w:r>
              <w:rPr>
                <w:sz w:val="24"/>
              </w:rPr>
              <w:t>根据《建设项目环境影响评价分类管理名录（2021年版）》有关规定：本项目属于“四十一、电力、热力生产和供应业”中的“90 陆上风力发电 4415；太阳能发电 4416（不含居民家用光伏发电）；其他电力生产4419（不含海上的潮汐能、波浪能、温差能等发电）”中的“地面集中光伏电站（总容量大于6000千瓦，且接入电压等级不小于10千伏）”，本项目应编制环境影响报告表。</w:t>
            </w:r>
          </w:p>
          <w:p w14:paraId="46F678E4">
            <w:pPr>
              <w:widowControl/>
              <w:spacing w:line="360" w:lineRule="auto"/>
              <w:ind w:firstLine="482" w:firstLineChars="200"/>
              <w:rPr>
                <w:b/>
                <w:bCs/>
                <w:sz w:val="24"/>
              </w:rPr>
            </w:pPr>
            <w:r>
              <w:rPr>
                <w:b/>
                <w:bCs/>
                <w:sz w:val="24"/>
              </w:rPr>
              <w:t>项目输电线路、升压变电站的电磁辐射另行环评，本次不进行评价。</w:t>
            </w:r>
          </w:p>
          <w:p w14:paraId="551CC7ED">
            <w:pPr>
              <w:spacing w:line="360" w:lineRule="auto"/>
              <w:ind w:firstLine="482" w:firstLineChars="200"/>
              <w:rPr>
                <w:b/>
                <w:bCs/>
                <w:sz w:val="24"/>
              </w:rPr>
            </w:pPr>
            <w:r>
              <w:rPr>
                <w:b/>
                <w:bCs/>
                <w:sz w:val="24"/>
              </w:rPr>
              <w:t>2、项目建设情况</w:t>
            </w:r>
          </w:p>
          <w:p w14:paraId="6C1D7C92">
            <w:pPr>
              <w:widowControl/>
              <w:spacing w:line="360" w:lineRule="auto"/>
              <w:ind w:firstLine="480" w:firstLineChars="200"/>
              <w:rPr>
                <w:rFonts w:hint="eastAsia" w:eastAsia="宋体"/>
                <w:sz w:val="24"/>
                <w:lang w:eastAsia="zh-CN"/>
              </w:rPr>
            </w:pPr>
            <w:r>
              <w:rPr>
                <w:sz w:val="24"/>
              </w:rPr>
              <w:t>项目名称：</w:t>
            </w:r>
            <w:r>
              <w:rPr>
                <w:rFonts w:hint="eastAsia"/>
                <w:sz w:val="24"/>
                <w:lang w:eastAsia="zh-CN"/>
              </w:rPr>
              <w:t>华润电力青口盐场240MW渔光互补项目</w:t>
            </w:r>
          </w:p>
          <w:p w14:paraId="07CE5C3D">
            <w:pPr>
              <w:widowControl/>
              <w:spacing w:line="360" w:lineRule="auto"/>
              <w:ind w:firstLine="480" w:firstLineChars="200"/>
              <w:rPr>
                <w:rFonts w:hint="eastAsia" w:eastAsia="宋体"/>
                <w:sz w:val="24"/>
                <w:lang w:eastAsia="zh-CN"/>
              </w:rPr>
            </w:pPr>
            <w:r>
              <w:rPr>
                <w:sz w:val="24"/>
              </w:rPr>
              <w:t>建设单位：</w:t>
            </w:r>
            <w:r>
              <w:rPr>
                <w:rFonts w:hint="eastAsia"/>
                <w:sz w:val="24"/>
                <w:lang w:eastAsia="zh-CN"/>
              </w:rPr>
              <w:t>连云港润投青口能源有限公司</w:t>
            </w:r>
          </w:p>
          <w:p w14:paraId="535829A7">
            <w:pPr>
              <w:widowControl/>
              <w:spacing w:line="360" w:lineRule="auto"/>
              <w:ind w:firstLine="480" w:firstLineChars="200"/>
              <w:rPr>
                <w:sz w:val="24"/>
              </w:rPr>
            </w:pPr>
            <w:r>
              <w:rPr>
                <w:sz w:val="24"/>
              </w:rPr>
              <w:t>建设地点：</w:t>
            </w:r>
            <w:r>
              <w:rPr>
                <w:rFonts w:hint="eastAsia"/>
                <w:sz w:val="24"/>
              </w:rPr>
              <w:t>连云港市连云港经济技术开发区青口盐场</w:t>
            </w:r>
            <w:r>
              <w:rPr>
                <w:sz w:val="24"/>
              </w:rPr>
              <w:t>。</w:t>
            </w:r>
          </w:p>
          <w:p w14:paraId="3D293798">
            <w:pPr>
              <w:widowControl/>
              <w:spacing w:line="360" w:lineRule="auto"/>
              <w:ind w:firstLine="456" w:firstLineChars="200"/>
              <w:rPr>
                <w:bCs/>
                <w:sz w:val="24"/>
              </w:rPr>
            </w:pPr>
            <w:r>
              <w:rPr>
                <w:spacing w:val="-6"/>
                <w:sz w:val="24"/>
              </w:rPr>
              <w:t>建设主要内容：</w:t>
            </w:r>
            <w:r>
              <w:rPr>
                <w:sz w:val="24"/>
              </w:rPr>
              <w:t>项目占地约</w:t>
            </w:r>
            <w:r>
              <w:rPr>
                <w:rFonts w:hint="eastAsia"/>
                <w:sz w:val="24"/>
                <w:lang w:val="en-US" w:eastAsia="zh-CN"/>
              </w:rPr>
              <w:t>3955</w:t>
            </w:r>
            <w:r>
              <w:rPr>
                <w:rFonts w:hint="eastAsia"/>
                <w:sz w:val="24"/>
              </w:rPr>
              <w:t>亩</w:t>
            </w:r>
            <w:r>
              <w:rPr>
                <w:sz w:val="24"/>
              </w:rPr>
              <w:t>，其中升压站用地约</w:t>
            </w:r>
            <w:r>
              <w:rPr>
                <w:rFonts w:hint="eastAsia"/>
                <w:sz w:val="24"/>
                <w:lang w:val="en-US" w:eastAsia="zh-CN"/>
              </w:rPr>
              <w:t>22</w:t>
            </w:r>
            <w:r>
              <w:rPr>
                <w:rFonts w:hint="eastAsia"/>
                <w:sz w:val="24"/>
              </w:rPr>
              <w:t>亩</w:t>
            </w:r>
            <w:r>
              <w:rPr>
                <w:sz w:val="24"/>
              </w:rPr>
              <w:t>，本期工程总装机容量</w:t>
            </w:r>
            <w:r>
              <w:rPr>
                <w:rFonts w:hint="eastAsia"/>
                <w:sz w:val="24"/>
              </w:rPr>
              <w:t>286.31048</w:t>
            </w:r>
            <w:r>
              <w:rPr>
                <w:sz w:val="24"/>
              </w:rPr>
              <w:t>MWp</w:t>
            </w:r>
            <w:r>
              <w:rPr>
                <w:rFonts w:hint="eastAsia"/>
                <w:sz w:val="24"/>
              </w:rPr>
              <w:t>，拟采用光伏电池组件拟采用590Wp单晶硅N型双玻485272块、30</w:t>
            </w:r>
            <w:r>
              <w:rPr>
                <w:rFonts w:hint="eastAsia"/>
                <w:sz w:val="24"/>
                <w:lang w:val="en-US" w:eastAsia="zh-CN"/>
              </w:rPr>
              <w:t>0kW组串式逆变器750台和3150kVA箱式变压器76台。通过站内新建2台容量均为120MVA的220kV主变，最后以1回220kV线路送出，新建</w:t>
            </w:r>
            <w:r>
              <w:rPr>
                <w:kern w:val="0"/>
                <w:sz w:val="24"/>
              </w:rPr>
              <w:t>设备基础、场内检修道路等</w:t>
            </w:r>
            <w:r>
              <w:rPr>
                <w:sz w:val="24"/>
              </w:rPr>
              <w:t>。</w:t>
            </w:r>
          </w:p>
          <w:p w14:paraId="3BA77D13">
            <w:pPr>
              <w:pStyle w:val="77"/>
              <w:spacing w:line="360" w:lineRule="auto"/>
              <w:ind w:firstLine="482" w:firstLineChars="200"/>
              <w:rPr>
                <w:b/>
                <w:bCs/>
                <w:sz w:val="24"/>
              </w:rPr>
            </w:pPr>
            <w:r>
              <w:rPr>
                <w:rFonts w:ascii="Times New Roman" w:hAnsi="Times New Roman" w:eastAsia="宋体" w:cs="Times New Roman"/>
                <w:color w:val="auto"/>
              </w:rPr>
              <w:t>本项目工程具体建设主要内容如下表。</w:t>
            </w:r>
          </w:p>
          <w:p w14:paraId="540A193C">
            <w:pPr>
              <w:jc w:val="center"/>
              <w:rPr>
                <w:b/>
                <w:bCs/>
                <w:sz w:val="24"/>
              </w:rPr>
            </w:pPr>
            <w:r>
              <w:rPr>
                <w:b/>
                <w:bCs/>
                <w:sz w:val="24"/>
              </w:rPr>
              <w:t>表2-</w:t>
            </w:r>
            <w:r>
              <w:rPr>
                <w:rFonts w:hint="eastAsia"/>
                <w:b/>
                <w:bCs/>
                <w:sz w:val="24"/>
                <w:lang w:val="en-US" w:eastAsia="zh-CN"/>
              </w:rPr>
              <w:t xml:space="preserve">2 </w:t>
            </w:r>
            <w:r>
              <w:rPr>
                <w:b/>
                <w:bCs/>
                <w:sz w:val="24"/>
              </w:rPr>
              <w:t>拟建项目组成一览表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0"/>
              <w:gridCol w:w="496"/>
              <w:gridCol w:w="794"/>
              <w:gridCol w:w="7024"/>
            </w:tblGrid>
            <w:tr w14:paraId="0979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tblHeader/>
                <w:jc w:val="center"/>
              </w:trPr>
              <w:tc>
                <w:tcPr>
                  <w:tcW w:w="235" w:type="pct"/>
                  <w:vAlign w:val="center"/>
                </w:tcPr>
                <w:p w14:paraId="7DAEE803">
                  <w:pPr>
                    <w:pStyle w:val="76"/>
                    <w:snapToGrid w:val="0"/>
                    <w:jc w:val="center"/>
                    <w:rPr>
                      <w:b/>
                      <w:bCs/>
                      <w:kern w:val="2"/>
                      <w:sz w:val="21"/>
                      <w:szCs w:val="21"/>
                    </w:rPr>
                  </w:pPr>
                  <w:r>
                    <w:rPr>
                      <w:b/>
                      <w:bCs/>
                      <w:kern w:val="2"/>
                      <w:sz w:val="21"/>
                      <w:szCs w:val="21"/>
                    </w:rPr>
                    <w:t>项目</w:t>
                  </w:r>
                </w:p>
              </w:tc>
              <w:tc>
                <w:tcPr>
                  <w:tcW w:w="4764" w:type="pct"/>
                  <w:gridSpan w:val="3"/>
                  <w:vAlign w:val="center"/>
                </w:tcPr>
                <w:p w14:paraId="61555F78">
                  <w:pPr>
                    <w:pStyle w:val="76"/>
                    <w:snapToGrid w:val="0"/>
                    <w:jc w:val="center"/>
                    <w:rPr>
                      <w:b/>
                      <w:bCs/>
                      <w:kern w:val="2"/>
                      <w:sz w:val="21"/>
                      <w:szCs w:val="21"/>
                    </w:rPr>
                  </w:pPr>
                  <w:r>
                    <w:rPr>
                      <w:b/>
                      <w:bCs/>
                      <w:kern w:val="2"/>
                      <w:sz w:val="21"/>
                      <w:szCs w:val="21"/>
                    </w:rPr>
                    <w:t>建设内容</w:t>
                  </w:r>
                </w:p>
              </w:tc>
            </w:tr>
            <w:tr w14:paraId="4138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0" w:hRule="atLeast"/>
                <w:jc w:val="center"/>
              </w:trPr>
              <w:tc>
                <w:tcPr>
                  <w:tcW w:w="235" w:type="pct"/>
                  <w:vMerge w:val="restart"/>
                  <w:vAlign w:val="center"/>
                </w:tcPr>
                <w:p w14:paraId="5CE1E2C3">
                  <w:pPr>
                    <w:pStyle w:val="76"/>
                    <w:snapToGrid w:val="0"/>
                    <w:jc w:val="center"/>
                    <w:rPr>
                      <w:kern w:val="2"/>
                      <w:sz w:val="21"/>
                      <w:szCs w:val="21"/>
                    </w:rPr>
                  </w:pPr>
                  <w:r>
                    <w:rPr>
                      <w:kern w:val="2"/>
                      <w:sz w:val="21"/>
                      <w:szCs w:val="21"/>
                    </w:rPr>
                    <w:t>主体</w:t>
                  </w:r>
                </w:p>
                <w:p w14:paraId="773E898F">
                  <w:pPr>
                    <w:pStyle w:val="76"/>
                    <w:snapToGrid w:val="0"/>
                    <w:jc w:val="center"/>
                    <w:rPr>
                      <w:kern w:val="2"/>
                      <w:sz w:val="21"/>
                      <w:szCs w:val="21"/>
                    </w:rPr>
                  </w:pPr>
                  <w:r>
                    <w:rPr>
                      <w:kern w:val="2"/>
                      <w:sz w:val="21"/>
                      <w:szCs w:val="21"/>
                    </w:rPr>
                    <w:t>工程</w:t>
                  </w:r>
                </w:p>
              </w:tc>
              <w:tc>
                <w:tcPr>
                  <w:tcW w:w="739" w:type="pct"/>
                  <w:gridSpan w:val="2"/>
                  <w:vAlign w:val="center"/>
                </w:tcPr>
                <w:p w14:paraId="665DCB95">
                  <w:pPr>
                    <w:pStyle w:val="76"/>
                    <w:snapToGrid w:val="0"/>
                    <w:jc w:val="center"/>
                    <w:rPr>
                      <w:rFonts w:ascii="Times New Roman" w:hAnsi="Times New Roman" w:eastAsia="宋体" w:cs="Times New Roman"/>
                      <w:kern w:val="2"/>
                      <w:sz w:val="21"/>
                      <w:szCs w:val="21"/>
                      <w:lang w:val="en-GB" w:eastAsia="zh-CN" w:bidi="ar-SA"/>
                    </w:rPr>
                  </w:pPr>
                  <w:r>
                    <w:rPr>
                      <w:rFonts w:ascii="Times New Roman" w:hAnsi="Times New Roman" w:eastAsia="宋体" w:cs="Times New Roman"/>
                      <w:kern w:val="2"/>
                      <w:sz w:val="21"/>
                      <w:szCs w:val="21"/>
                      <w:lang w:val="en-GB" w:eastAsia="zh-CN" w:bidi="ar-SA"/>
                    </w:rPr>
                    <w:t>太阳能光伏阵列</w:t>
                  </w:r>
                </w:p>
              </w:tc>
              <w:tc>
                <w:tcPr>
                  <w:tcW w:w="4024" w:type="pct"/>
                  <w:vAlign w:val="center"/>
                </w:tcPr>
                <w:p w14:paraId="66973496">
                  <w:pPr>
                    <w:widowControl/>
                    <w:adjustRightInd w:val="0"/>
                    <w:snapToGrid w:val="0"/>
                    <w:rPr>
                      <w:rFonts w:ascii="Times New Roman" w:hAnsi="Times New Roman" w:eastAsia="宋体" w:cs="Times New Roman"/>
                      <w:kern w:val="2"/>
                      <w:sz w:val="21"/>
                      <w:szCs w:val="21"/>
                      <w:lang w:val="en-GB" w:eastAsia="zh-CN" w:bidi="ar-SA"/>
                    </w:rPr>
                  </w:pPr>
                  <w:r>
                    <w:rPr>
                      <w:rFonts w:hint="eastAsia" w:ascii="Times New Roman" w:hAnsi="Times New Roman" w:eastAsia="宋体" w:cs="Times New Roman"/>
                      <w:kern w:val="2"/>
                      <w:sz w:val="21"/>
                      <w:szCs w:val="21"/>
                      <w:lang w:val="en-GB" w:eastAsia="zh-CN" w:bidi="ar-SA"/>
                    </w:rPr>
                    <w:t>①</w:t>
                  </w:r>
                  <w:r>
                    <w:rPr>
                      <w:rFonts w:ascii="Times New Roman" w:hAnsi="Times New Roman" w:eastAsia="宋体" w:cs="Times New Roman"/>
                      <w:kern w:val="2"/>
                      <w:sz w:val="21"/>
                      <w:szCs w:val="21"/>
                      <w:lang w:val="en-GB" w:eastAsia="zh-CN" w:bidi="ar-SA"/>
                    </w:rPr>
                    <w:t>光伏阵列设计：本工程总装机容量为</w:t>
                  </w:r>
                  <w:r>
                    <w:rPr>
                      <w:rFonts w:hint="eastAsia" w:ascii="Times New Roman" w:hAnsi="Times New Roman" w:eastAsia="宋体" w:cs="Times New Roman"/>
                      <w:kern w:val="2"/>
                      <w:sz w:val="21"/>
                      <w:szCs w:val="21"/>
                      <w:lang w:val="en-GB" w:eastAsia="zh-CN" w:bidi="ar-SA"/>
                    </w:rPr>
                    <w:t>286.31048</w:t>
                  </w:r>
                  <w:r>
                    <w:rPr>
                      <w:rFonts w:ascii="Times New Roman" w:hAnsi="Times New Roman" w:eastAsia="宋体" w:cs="Times New Roman"/>
                      <w:kern w:val="2"/>
                      <w:sz w:val="21"/>
                      <w:szCs w:val="21"/>
                      <w:lang w:val="en-GB" w:eastAsia="zh-CN" w:bidi="ar-SA"/>
                    </w:rPr>
                    <w:t>MWp，采用分块发电、集中并网方案。光伏组件采用单晶硅电池（</w:t>
                  </w:r>
                  <w:r>
                    <w:rPr>
                      <w:rFonts w:hint="eastAsia" w:ascii="Times New Roman" w:hAnsi="Times New Roman" w:eastAsia="宋体" w:cs="Times New Roman"/>
                      <w:kern w:val="2"/>
                      <w:sz w:val="21"/>
                      <w:szCs w:val="21"/>
                      <w:lang w:val="en-GB" w:eastAsia="zh-CN" w:bidi="ar-SA"/>
                    </w:rPr>
                    <w:t>590</w:t>
                  </w:r>
                  <w:r>
                    <w:rPr>
                      <w:rFonts w:ascii="Times New Roman" w:hAnsi="Times New Roman" w:eastAsia="宋体" w:cs="Times New Roman"/>
                      <w:kern w:val="2"/>
                      <w:sz w:val="21"/>
                      <w:szCs w:val="21"/>
                      <w:lang w:val="en-GB" w:eastAsia="zh-CN" w:bidi="ar-SA"/>
                    </w:rPr>
                    <w:t>Wp）组件，光伏系统由</w:t>
                  </w:r>
                  <w:r>
                    <w:rPr>
                      <w:rFonts w:hint="eastAsia" w:ascii="Times New Roman" w:hAnsi="Times New Roman" w:eastAsia="宋体" w:cs="Times New Roman"/>
                      <w:kern w:val="2"/>
                      <w:sz w:val="21"/>
                      <w:szCs w:val="21"/>
                      <w:lang w:val="en-US" w:eastAsia="zh-CN" w:bidi="ar-SA"/>
                    </w:rPr>
                    <w:t>76</w:t>
                  </w:r>
                  <w:r>
                    <w:rPr>
                      <w:rFonts w:ascii="Times New Roman" w:hAnsi="Times New Roman" w:eastAsia="宋体" w:cs="Times New Roman"/>
                      <w:kern w:val="2"/>
                      <w:sz w:val="21"/>
                      <w:szCs w:val="21"/>
                      <w:lang w:val="en-GB" w:eastAsia="zh-CN" w:bidi="ar-SA"/>
                    </w:rPr>
                    <w:t>个单晶硅光伏发电单元组成，每个太阳电池发电单元由光伏阵列、组串式逆变器和箱变构成。共计</w:t>
                  </w:r>
                  <w:r>
                    <w:rPr>
                      <w:rFonts w:hint="eastAsia" w:ascii="Times New Roman" w:hAnsi="Times New Roman" w:eastAsia="宋体" w:cs="Times New Roman"/>
                      <w:kern w:val="2"/>
                      <w:sz w:val="21"/>
                      <w:szCs w:val="21"/>
                      <w:lang w:val="en-GB" w:eastAsia="zh-CN" w:bidi="ar-SA"/>
                    </w:rPr>
                    <w:t>485272</w:t>
                  </w:r>
                  <w:r>
                    <w:rPr>
                      <w:rFonts w:ascii="Times New Roman" w:hAnsi="Times New Roman" w:eastAsia="宋体" w:cs="Times New Roman"/>
                      <w:kern w:val="2"/>
                      <w:sz w:val="21"/>
                      <w:szCs w:val="21"/>
                      <w:lang w:val="en-GB" w:eastAsia="zh-CN" w:bidi="ar-SA"/>
                    </w:rPr>
                    <w:t>块。</w:t>
                  </w:r>
                </w:p>
                <w:p w14:paraId="752D1C1E">
                  <w:pPr>
                    <w:widowControl/>
                    <w:adjustRightInd w:val="0"/>
                    <w:snapToGrid w:val="0"/>
                    <w:rPr>
                      <w:rFonts w:ascii="Times New Roman" w:hAnsi="Times New Roman" w:eastAsia="宋体" w:cs="Times New Roman"/>
                      <w:kern w:val="2"/>
                      <w:sz w:val="21"/>
                      <w:szCs w:val="21"/>
                      <w:lang w:val="en-GB" w:eastAsia="zh-CN" w:bidi="ar-SA"/>
                    </w:rPr>
                  </w:pPr>
                  <w:r>
                    <w:rPr>
                      <w:rFonts w:ascii="Times New Roman" w:hAnsi="Times New Roman" w:eastAsia="宋体" w:cs="Times New Roman"/>
                      <w:kern w:val="2"/>
                      <w:sz w:val="21"/>
                      <w:szCs w:val="21"/>
                      <w:lang w:val="en-GB" w:eastAsia="zh-CN" w:bidi="ar-SA"/>
                    </w:rPr>
                    <w:t>其中固定支架</w:t>
                  </w:r>
                  <w:r>
                    <w:rPr>
                      <w:rFonts w:hint="eastAsia" w:cs="Times New Roman"/>
                      <w:kern w:val="2"/>
                      <w:sz w:val="21"/>
                      <w:szCs w:val="21"/>
                      <w:lang w:val="en-US" w:eastAsia="zh-CN" w:bidi="ar-SA"/>
                    </w:rPr>
                    <w:t>173吨</w:t>
                  </w:r>
                  <w:r>
                    <w:rPr>
                      <w:rFonts w:ascii="Times New Roman" w:hAnsi="Times New Roman" w:eastAsia="宋体" w:cs="Times New Roman"/>
                      <w:kern w:val="2"/>
                      <w:sz w:val="21"/>
                      <w:szCs w:val="21"/>
                      <w:lang w:val="en-GB" w:eastAsia="zh-CN" w:bidi="ar-SA"/>
                    </w:rPr>
                    <w:t>，南北向中心间距为9m，安装倾角为27°；柔性支架2760020块，南北向中心间距为3.6m，安装倾角为15°。</w:t>
                  </w:r>
                </w:p>
                <w:p w14:paraId="54EC7A5F">
                  <w:pPr>
                    <w:widowControl/>
                    <w:adjustRightInd w:val="0"/>
                    <w:snapToGrid w:val="0"/>
                    <w:rPr>
                      <w:rFonts w:ascii="Times New Roman" w:hAnsi="Times New Roman" w:eastAsia="宋体" w:cs="Times New Roman"/>
                      <w:kern w:val="2"/>
                      <w:sz w:val="21"/>
                      <w:szCs w:val="21"/>
                      <w:lang w:val="en-GB" w:eastAsia="zh-CN" w:bidi="ar-SA"/>
                    </w:rPr>
                  </w:pPr>
                  <w:r>
                    <w:rPr>
                      <w:rFonts w:hint="eastAsia" w:ascii="Times New Roman" w:hAnsi="Times New Roman" w:eastAsia="宋体" w:cs="Times New Roman"/>
                      <w:kern w:val="2"/>
                      <w:sz w:val="21"/>
                      <w:szCs w:val="21"/>
                      <w:lang w:val="en-GB" w:eastAsia="zh-CN" w:bidi="ar-SA"/>
                    </w:rPr>
                    <w:t>286.31048</w:t>
                  </w:r>
                  <w:r>
                    <w:rPr>
                      <w:rFonts w:ascii="Times New Roman" w:hAnsi="Times New Roman" w:eastAsia="宋体" w:cs="Times New Roman"/>
                      <w:kern w:val="2"/>
                      <w:sz w:val="21"/>
                      <w:szCs w:val="21"/>
                      <w:lang w:val="en-GB" w:eastAsia="zh-CN" w:bidi="ar-SA"/>
                    </w:rPr>
                    <w:t>MWp由</w:t>
                  </w:r>
                  <w:r>
                    <w:rPr>
                      <w:rFonts w:hint="eastAsia" w:ascii="Times New Roman" w:hAnsi="Times New Roman" w:eastAsia="宋体" w:cs="Times New Roman"/>
                      <w:kern w:val="2"/>
                      <w:sz w:val="21"/>
                      <w:szCs w:val="21"/>
                      <w:lang w:val="en-US" w:eastAsia="zh-CN" w:bidi="ar-SA"/>
                    </w:rPr>
                    <w:t>76</w:t>
                  </w:r>
                  <w:r>
                    <w:rPr>
                      <w:rFonts w:ascii="Times New Roman" w:hAnsi="Times New Roman" w:eastAsia="宋体" w:cs="Times New Roman"/>
                      <w:kern w:val="2"/>
                      <w:sz w:val="21"/>
                      <w:szCs w:val="21"/>
                      <w:lang w:val="en-GB" w:eastAsia="zh-CN" w:bidi="ar-SA"/>
                    </w:rPr>
                    <w:t>个光伏阵列组成，采用功率为5</w:t>
                  </w:r>
                  <w:r>
                    <w:rPr>
                      <w:rFonts w:hint="eastAsia" w:ascii="Times New Roman" w:hAnsi="Times New Roman" w:eastAsia="宋体" w:cs="Times New Roman"/>
                      <w:kern w:val="2"/>
                      <w:sz w:val="21"/>
                      <w:szCs w:val="21"/>
                      <w:lang w:val="en-US" w:eastAsia="zh-CN" w:bidi="ar-SA"/>
                    </w:rPr>
                    <w:t>9</w:t>
                  </w:r>
                  <w:r>
                    <w:rPr>
                      <w:rFonts w:ascii="Times New Roman" w:hAnsi="Times New Roman" w:eastAsia="宋体" w:cs="Times New Roman"/>
                      <w:kern w:val="2"/>
                      <w:sz w:val="21"/>
                      <w:szCs w:val="21"/>
                      <w:lang w:val="en-GB" w:eastAsia="zh-CN" w:bidi="ar-SA"/>
                    </w:rPr>
                    <w:t>0Wp单晶硅组件，每个单元设置10台300kW组串式逆变器和1台3150kVA就地升压。</w:t>
                  </w:r>
                </w:p>
                <w:p w14:paraId="161EB560">
                  <w:pPr>
                    <w:widowControl/>
                    <w:adjustRightInd w:val="0"/>
                    <w:snapToGrid w:val="0"/>
                    <w:rPr>
                      <w:rFonts w:ascii="Times New Roman" w:hAnsi="Times New Roman" w:eastAsia="宋体" w:cs="Times New Roman"/>
                      <w:kern w:val="2"/>
                      <w:sz w:val="21"/>
                      <w:szCs w:val="21"/>
                      <w:lang w:val="en-GB" w:eastAsia="zh-CN" w:bidi="ar-SA"/>
                    </w:rPr>
                  </w:pPr>
                  <w:r>
                    <w:rPr>
                      <w:rFonts w:ascii="Times New Roman" w:hAnsi="Times New Roman" w:eastAsia="宋体" w:cs="Times New Roman"/>
                      <w:kern w:val="2"/>
                      <w:sz w:val="21"/>
                      <w:szCs w:val="21"/>
                      <w:lang w:val="en-GB" w:eastAsia="zh-CN" w:bidi="ar-SA"/>
                    </w:rPr>
                    <w:t>光伏发电单元采用光伏组件-组串式逆变器-就地升压变压器接线方式，每台逆变器逆变输出三相交流电，采用电缆接至双绕组就地升压变的低压侧，经升压变升压至35kV，共计1</w:t>
                  </w: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GB" w:eastAsia="zh-CN" w:bidi="ar-SA"/>
                    </w:rPr>
                    <w:t>条35kV集电线路，本工程最终以220kV升压站接入电网。</w:t>
                  </w:r>
                </w:p>
                <w:p w14:paraId="44A34BD2">
                  <w:pPr>
                    <w:widowControl/>
                    <w:adjustRightInd w:val="0"/>
                    <w:snapToGrid w:val="0"/>
                    <w:rPr>
                      <w:rFonts w:ascii="Times New Roman" w:hAnsi="Times New Roman" w:eastAsia="宋体" w:cs="Times New Roman"/>
                      <w:kern w:val="2"/>
                      <w:sz w:val="21"/>
                      <w:szCs w:val="21"/>
                      <w:lang w:val="en-GB" w:eastAsia="zh-CN" w:bidi="ar-SA"/>
                    </w:rPr>
                  </w:pPr>
                  <w:r>
                    <w:rPr>
                      <w:rFonts w:hint="eastAsia" w:ascii="Times New Roman" w:hAnsi="Times New Roman" w:eastAsia="宋体" w:cs="Times New Roman"/>
                      <w:kern w:val="2"/>
                      <w:sz w:val="21"/>
                      <w:szCs w:val="21"/>
                      <w:lang w:val="en-GB" w:eastAsia="zh-CN" w:bidi="ar-SA"/>
                    </w:rPr>
                    <w:t>②</w:t>
                  </w:r>
                  <w:r>
                    <w:rPr>
                      <w:rFonts w:ascii="Times New Roman" w:hAnsi="Times New Roman" w:eastAsia="宋体" w:cs="Times New Roman"/>
                      <w:kern w:val="2"/>
                      <w:sz w:val="21"/>
                      <w:szCs w:val="21"/>
                      <w:lang w:val="en-GB" w:eastAsia="zh-CN" w:bidi="ar-SA"/>
                    </w:rPr>
                    <w:t>光伏子方阵布置：光伏并网电站系统由</w:t>
                  </w:r>
                  <w:r>
                    <w:rPr>
                      <w:rFonts w:hint="eastAsia" w:ascii="Times New Roman" w:hAnsi="Times New Roman" w:eastAsia="宋体" w:cs="Times New Roman"/>
                      <w:kern w:val="2"/>
                      <w:sz w:val="21"/>
                      <w:szCs w:val="21"/>
                      <w:lang w:val="en-US" w:eastAsia="zh-CN" w:bidi="ar-SA"/>
                    </w:rPr>
                    <w:t>76</w:t>
                  </w:r>
                  <w:r>
                    <w:rPr>
                      <w:rFonts w:ascii="Times New Roman" w:hAnsi="Times New Roman" w:eastAsia="宋体" w:cs="Times New Roman"/>
                      <w:kern w:val="2"/>
                      <w:sz w:val="21"/>
                      <w:szCs w:val="21"/>
                      <w:lang w:val="en-GB" w:eastAsia="zh-CN" w:bidi="ar-SA"/>
                    </w:rPr>
                    <w:t>个方阵组成，由单晶硅5</w:t>
                  </w:r>
                  <w:r>
                    <w:rPr>
                      <w:rFonts w:hint="eastAsia" w:cs="Times New Roman"/>
                      <w:kern w:val="2"/>
                      <w:sz w:val="21"/>
                      <w:szCs w:val="21"/>
                      <w:lang w:val="en-US" w:eastAsia="zh-CN" w:bidi="ar-SA"/>
                    </w:rPr>
                    <w:t>9</w:t>
                  </w:r>
                  <w:r>
                    <w:rPr>
                      <w:rFonts w:ascii="Times New Roman" w:hAnsi="Times New Roman" w:eastAsia="宋体" w:cs="Times New Roman"/>
                      <w:kern w:val="2"/>
                      <w:sz w:val="21"/>
                      <w:szCs w:val="21"/>
                      <w:lang w:val="en-GB" w:eastAsia="zh-CN" w:bidi="ar-SA"/>
                    </w:rPr>
                    <w:t>0Wp组件构成。每2</w:t>
                  </w:r>
                  <w:r>
                    <w:rPr>
                      <w:rFonts w:hint="eastAsia" w:cs="Times New Roman"/>
                      <w:kern w:val="2"/>
                      <w:sz w:val="21"/>
                      <w:szCs w:val="21"/>
                      <w:lang w:val="en-US" w:eastAsia="zh-CN" w:bidi="ar-SA"/>
                    </w:rPr>
                    <w:t>5</w:t>
                  </w:r>
                  <w:r>
                    <w:rPr>
                      <w:rFonts w:ascii="Times New Roman" w:hAnsi="Times New Roman" w:eastAsia="宋体" w:cs="Times New Roman"/>
                      <w:kern w:val="2"/>
                      <w:sz w:val="21"/>
                      <w:szCs w:val="21"/>
                      <w:lang w:val="en-GB" w:eastAsia="zh-CN" w:bidi="ar-SA"/>
                    </w:rPr>
                    <w:t>个组件连接成一个组串，每25个组串接入一台300kW组串式逆变器，10台300kW逆变器接入1台3150kVA箱式变压器。经箱式变压器升压至35kV高压。</w:t>
                  </w:r>
                </w:p>
                <w:p w14:paraId="3F1D6790">
                  <w:pPr>
                    <w:widowControl/>
                    <w:adjustRightInd w:val="0"/>
                    <w:snapToGrid w:val="0"/>
                    <w:rPr>
                      <w:rFonts w:ascii="Times New Roman" w:hAnsi="Times New Roman" w:eastAsia="宋体" w:cs="Times New Roman"/>
                      <w:kern w:val="2"/>
                      <w:sz w:val="21"/>
                      <w:szCs w:val="21"/>
                      <w:lang w:val="en-GB" w:eastAsia="zh-CN" w:bidi="ar-SA"/>
                    </w:rPr>
                  </w:pPr>
                  <w:r>
                    <w:rPr>
                      <w:rFonts w:hint="eastAsia" w:ascii="Times New Roman" w:hAnsi="Times New Roman" w:eastAsia="宋体" w:cs="Times New Roman"/>
                      <w:kern w:val="2"/>
                      <w:sz w:val="21"/>
                      <w:szCs w:val="21"/>
                      <w:lang w:val="en-GB" w:eastAsia="zh-CN" w:bidi="ar-SA"/>
                    </w:rPr>
                    <w:t>③</w:t>
                  </w:r>
                  <w:r>
                    <w:rPr>
                      <w:rFonts w:ascii="Times New Roman" w:hAnsi="Times New Roman" w:eastAsia="宋体" w:cs="Times New Roman"/>
                      <w:kern w:val="2"/>
                      <w:sz w:val="21"/>
                      <w:szCs w:val="21"/>
                      <w:lang w:val="en-GB" w:eastAsia="zh-CN" w:bidi="ar-SA"/>
                    </w:rPr>
                    <w:t>太阳能板支架布置：支架基础采用预应力PHC管桩（PHC400 B）。本次拟采用桩长12.00m。</w:t>
                  </w:r>
                </w:p>
              </w:tc>
            </w:tr>
            <w:tr w14:paraId="2411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0" w:hRule="atLeast"/>
                <w:jc w:val="center"/>
              </w:trPr>
              <w:tc>
                <w:tcPr>
                  <w:tcW w:w="235" w:type="pct"/>
                  <w:vMerge w:val="continue"/>
                  <w:vAlign w:val="center"/>
                </w:tcPr>
                <w:p w14:paraId="7DF308BD">
                  <w:pPr>
                    <w:pStyle w:val="76"/>
                    <w:snapToGrid w:val="0"/>
                    <w:jc w:val="center"/>
                    <w:rPr>
                      <w:kern w:val="2"/>
                      <w:sz w:val="21"/>
                      <w:szCs w:val="21"/>
                    </w:rPr>
                  </w:pPr>
                </w:p>
              </w:tc>
              <w:tc>
                <w:tcPr>
                  <w:tcW w:w="739" w:type="pct"/>
                  <w:gridSpan w:val="2"/>
                  <w:vAlign w:val="center"/>
                </w:tcPr>
                <w:p w14:paraId="5E4A299D">
                  <w:pPr>
                    <w:pStyle w:val="76"/>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GB" w:eastAsia="zh-CN" w:bidi="ar-SA"/>
                    </w:rPr>
                    <w:t>箱变</w:t>
                  </w:r>
                  <w:r>
                    <w:rPr>
                      <w:rFonts w:hint="eastAsia" w:ascii="Times New Roman" w:hAnsi="Times New Roman" w:eastAsia="宋体" w:cs="Times New Roman"/>
                      <w:kern w:val="2"/>
                      <w:sz w:val="21"/>
                      <w:szCs w:val="21"/>
                      <w:lang w:val="en-US" w:eastAsia="zh-CN" w:bidi="ar-SA"/>
                    </w:rPr>
                    <w:t>系统</w:t>
                  </w:r>
                </w:p>
              </w:tc>
              <w:tc>
                <w:tcPr>
                  <w:tcW w:w="4024" w:type="pct"/>
                  <w:vAlign w:val="center"/>
                </w:tcPr>
                <w:p w14:paraId="3D852EF9">
                  <w:pPr>
                    <w:widowControl/>
                    <w:adjustRightInd w:val="0"/>
                    <w:snapToGrid w:val="0"/>
                    <w:rPr>
                      <w:rFonts w:hint="eastAsia" w:ascii="Times New Roman" w:hAnsi="Times New Roman" w:eastAsia="宋体" w:cs="Times New Roman"/>
                      <w:kern w:val="2"/>
                      <w:sz w:val="21"/>
                      <w:szCs w:val="21"/>
                      <w:lang w:val="en-GB" w:eastAsia="zh-CN" w:bidi="ar-SA"/>
                    </w:rPr>
                  </w:pPr>
                  <w:r>
                    <w:rPr>
                      <w:rFonts w:hint="eastAsia"/>
                      <w:highlight w:val="none"/>
                      <w:lang w:val="en-US" w:eastAsia="zh-CN"/>
                    </w:rPr>
                    <w:t>本项目设计</w:t>
                  </w:r>
                  <w:r>
                    <w:rPr>
                      <w:rFonts w:hint="eastAsia"/>
                      <w:highlight w:val="none"/>
                    </w:rPr>
                    <w:t>3150kVA箱式变压器76台</w:t>
                  </w:r>
                  <w:r>
                    <w:rPr>
                      <w:rFonts w:hint="eastAsia"/>
                      <w:highlight w:val="none"/>
                      <w:lang w:eastAsia="zh-CN"/>
                    </w:rPr>
                    <w:t>，</w:t>
                  </w:r>
                  <w:r>
                    <w:rPr>
                      <w:rFonts w:ascii="Times New Roman" w:hAnsi="Times New Roman" w:eastAsia="宋体" w:cs="Times New Roman"/>
                      <w:kern w:val="2"/>
                      <w:sz w:val="21"/>
                      <w:szCs w:val="21"/>
                      <w:lang w:val="en-GB" w:eastAsia="zh-CN" w:bidi="ar-SA"/>
                    </w:rPr>
                    <w:t>箱式变压器采用用桩基础+钢结构平台形式，基础上铺设绝缘树脂格栅，每个平台基础采用4根预应力混凝土管桩。本工程箱变布置在光伏厂区相应的组件方阵周围的检修道路附近，以减少土建工程量及电缆长度，降低直流损耗，同时逆变器紧邻检修道路，方便安装检修。</w:t>
                  </w:r>
                </w:p>
              </w:tc>
            </w:tr>
            <w:tr w14:paraId="6F9F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235" w:type="pct"/>
                  <w:vMerge w:val="continue"/>
                  <w:vAlign w:val="center"/>
                </w:tcPr>
                <w:p w14:paraId="7EB4F000">
                  <w:pPr>
                    <w:adjustRightInd w:val="0"/>
                    <w:snapToGrid w:val="0"/>
                    <w:jc w:val="center"/>
                    <w:rPr>
                      <w:szCs w:val="21"/>
                    </w:rPr>
                  </w:pPr>
                </w:p>
              </w:tc>
              <w:tc>
                <w:tcPr>
                  <w:tcW w:w="739" w:type="pct"/>
                  <w:gridSpan w:val="2"/>
                  <w:vAlign w:val="center"/>
                </w:tcPr>
                <w:p w14:paraId="5536B67A">
                  <w:pPr>
                    <w:pStyle w:val="76"/>
                    <w:snapToGrid w:val="0"/>
                    <w:jc w:val="center"/>
                    <w:rPr>
                      <w:kern w:val="2"/>
                      <w:sz w:val="21"/>
                      <w:szCs w:val="21"/>
                    </w:rPr>
                  </w:pPr>
                  <w:r>
                    <w:rPr>
                      <w:kern w:val="2"/>
                      <w:sz w:val="21"/>
                      <w:szCs w:val="21"/>
                    </w:rPr>
                    <w:t>升压站工程</w:t>
                  </w:r>
                </w:p>
              </w:tc>
              <w:tc>
                <w:tcPr>
                  <w:tcW w:w="4024" w:type="pct"/>
                  <w:vAlign w:val="center"/>
                </w:tcPr>
                <w:p w14:paraId="056A55D9">
                  <w:pPr>
                    <w:pStyle w:val="76"/>
                    <w:snapToGrid w:val="0"/>
                    <w:jc w:val="center"/>
                    <w:rPr>
                      <w:kern w:val="2"/>
                      <w:sz w:val="21"/>
                      <w:szCs w:val="21"/>
                    </w:rPr>
                  </w:pPr>
                  <w:r>
                    <w:rPr>
                      <w:rFonts w:ascii="Times New Roman" w:hAnsi="Times New Roman" w:eastAsia="宋体" w:cs="Times New Roman"/>
                      <w:kern w:val="2"/>
                      <w:sz w:val="21"/>
                      <w:szCs w:val="21"/>
                      <w:lang w:val="en-GB" w:eastAsia="zh-CN" w:bidi="ar-SA"/>
                    </w:rPr>
                    <w:t>升压站</w:t>
                  </w:r>
                  <w:r>
                    <w:rPr>
                      <w:rFonts w:hint="eastAsia" w:ascii="Times New Roman" w:hAnsi="Times New Roman" w:eastAsia="宋体" w:cs="Times New Roman"/>
                      <w:kern w:val="2"/>
                      <w:sz w:val="21"/>
                      <w:szCs w:val="21"/>
                      <w:lang w:val="en-US" w:eastAsia="zh-CN" w:bidi="ar-SA"/>
                    </w:rPr>
                    <w:t>内容另行环评，</w:t>
                  </w:r>
                  <w:r>
                    <w:rPr>
                      <w:rFonts w:ascii="Times New Roman" w:hAnsi="Times New Roman" w:eastAsia="宋体" w:cs="Times New Roman"/>
                      <w:kern w:val="2"/>
                      <w:sz w:val="21"/>
                      <w:szCs w:val="21"/>
                      <w:lang w:val="en-GB" w:eastAsia="zh-CN" w:bidi="ar-SA"/>
                    </w:rPr>
                    <w:t>本次不进行评价。</w:t>
                  </w:r>
                </w:p>
              </w:tc>
            </w:tr>
            <w:tr w14:paraId="6960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235" w:type="pct"/>
                  <w:vMerge w:val="continue"/>
                  <w:vAlign w:val="center"/>
                </w:tcPr>
                <w:p w14:paraId="2DC63298">
                  <w:pPr>
                    <w:adjustRightInd w:val="0"/>
                    <w:snapToGrid w:val="0"/>
                    <w:jc w:val="center"/>
                    <w:rPr>
                      <w:szCs w:val="21"/>
                    </w:rPr>
                  </w:pPr>
                </w:p>
              </w:tc>
              <w:tc>
                <w:tcPr>
                  <w:tcW w:w="739" w:type="pct"/>
                  <w:gridSpan w:val="2"/>
                  <w:vAlign w:val="center"/>
                </w:tcPr>
                <w:p w14:paraId="1CA607BB">
                  <w:pPr>
                    <w:pStyle w:val="76"/>
                    <w:snapToGrid w:val="0"/>
                    <w:jc w:val="center"/>
                    <w:rPr>
                      <w:kern w:val="2"/>
                      <w:sz w:val="21"/>
                      <w:szCs w:val="21"/>
                    </w:rPr>
                  </w:pPr>
                  <w:r>
                    <w:rPr>
                      <w:kern w:val="2"/>
                      <w:sz w:val="21"/>
                      <w:szCs w:val="21"/>
                    </w:rPr>
                    <w:t>集电线路</w:t>
                  </w:r>
                </w:p>
              </w:tc>
              <w:tc>
                <w:tcPr>
                  <w:tcW w:w="4024" w:type="pct"/>
                  <w:vAlign w:val="center"/>
                </w:tcPr>
                <w:p w14:paraId="0AEA6F01">
                  <w:pPr>
                    <w:pStyle w:val="76"/>
                    <w:snapToGrid w:val="0"/>
                    <w:jc w:val="center"/>
                    <w:rPr>
                      <w:kern w:val="2"/>
                      <w:sz w:val="21"/>
                      <w:szCs w:val="21"/>
                    </w:rPr>
                  </w:pPr>
                  <w:r>
                    <w:rPr>
                      <w:kern w:val="2"/>
                      <w:sz w:val="21"/>
                      <w:szCs w:val="21"/>
                    </w:rPr>
                    <w:t>场区集电线路设计采用直埋和架空相结合的方式。经1</w:t>
                  </w:r>
                  <w:r>
                    <w:rPr>
                      <w:rFonts w:hint="eastAsia"/>
                      <w:kern w:val="2"/>
                      <w:sz w:val="21"/>
                      <w:szCs w:val="21"/>
                      <w:lang w:val="en-US" w:eastAsia="zh-CN"/>
                    </w:rPr>
                    <w:t>1</w:t>
                  </w:r>
                  <w:r>
                    <w:rPr>
                      <w:kern w:val="2"/>
                      <w:sz w:val="21"/>
                      <w:szCs w:val="21"/>
                    </w:rPr>
                    <w:t>条35kV电缆分别接至项目新建的220kV升压站35kV设备预制舱内开关柜。</w:t>
                  </w:r>
                </w:p>
              </w:tc>
            </w:tr>
            <w:tr w14:paraId="7F56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235" w:type="pct"/>
                  <w:vMerge w:val="continue"/>
                  <w:vAlign w:val="center"/>
                </w:tcPr>
                <w:p w14:paraId="63F378FA">
                  <w:pPr>
                    <w:pStyle w:val="76"/>
                    <w:snapToGrid w:val="0"/>
                    <w:jc w:val="center"/>
                  </w:pPr>
                </w:p>
              </w:tc>
              <w:tc>
                <w:tcPr>
                  <w:tcW w:w="739" w:type="pct"/>
                  <w:gridSpan w:val="2"/>
                  <w:vAlign w:val="center"/>
                </w:tcPr>
                <w:p w14:paraId="46B87E18">
                  <w:pPr>
                    <w:pStyle w:val="76"/>
                    <w:snapToGrid w:val="0"/>
                    <w:jc w:val="center"/>
                    <w:rPr>
                      <w:kern w:val="2"/>
                      <w:sz w:val="21"/>
                      <w:szCs w:val="21"/>
                    </w:rPr>
                  </w:pPr>
                  <w:r>
                    <w:rPr>
                      <w:kern w:val="2"/>
                      <w:sz w:val="21"/>
                      <w:szCs w:val="21"/>
                    </w:rPr>
                    <w:t>道路工程</w:t>
                  </w:r>
                </w:p>
              </w:tc>
              <w:tc>
                <w:tcPr>
                  <w:tcW w:w="4024" w:type="pct"/>
                  <w:vAlign w:val="center"/>
                </w:tcPr>
                <w:p w14:paraId="63EFF043">
                  <w:pPr>
                    <w:pStyle w:val="76"/>
                    <w:snapToGrid w:val="0"/>
                    <w:jc w:val="center"/>
                    <w:rPr>
                      <w:kern w:val="2"/>
                      <w:sz w:val="21"/>
                      <w:szCs w:val="21"/>
                    </w:rPr>
                  </w:pPr>
                  <w:r>
                    <w:rPr>
                      <w:kern w:val="2"/>
                      <w:sz w:val="21"/>
                      <w:szCs w:val="21"/>
                    </w:rPr>
                    <w:t>站区道路优先以现有道路改造拓宽为主，部分区域新建检修道路。由于光伏发电阵列布置分散，尽量保证每个发电阵列周边有可连接的检修道路。道路为砂石路面，道路宽度为4m，转弯半径约为6m，端部设回车场地。砂石应由质地坚硬、耐久的干净砾石或岩石轧制而成，应具有足够的强度和耐磨性能，石料强度不低于30Mpa。</w:t>
                  </w:r>
                </w:p>
              </w:tc>
            </w:tr>
            <w:tr w14:paraId="177B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235" w:type="pct"/>
                  <w:vMerge w:val="restart"/>
                  <w:vAlign w:val="center"/>
                </w:tcPr>
                <w:p w14:paraId="2F6576F8">
                  <w:pPr>
                    <w:pStyle w:val="76"/>
                    <w:snapToGrid w:val="0"/>
                    <w:jc w:val="center"/>
                    <w:rPr>
                      <w:kern w:val="2"/>
                      <w:sz w:val="21"/>
                      <w:szCs w:val="21"/>
                    </w:rPr>
                  </w:pPr>
                  <w:r>
                    <w:rPr>
                      <w:kern w:val="2"/>
                      <w:sz w:val="21"/>
                      <w:szCs w:val="21"/>
                    </w:rPr>
                    <w:t>辅助工程</w:t>
                  </w:r>
                </w:p>
              </w:tc>
              <w:tc>
                <w:tcPr>
                  <w:tcW w:w="739" w:type="pct"/>
                  <w:gridSpan w:val="2"/>
                  <w:vAlign w:val="center"/>
                </w:tcPr>
                <w:p w14:paraId="15B96C98">
                  <w:pPr>
                    <w:pStyle w:val="76"/>
                    <w:snapToGrid w:val="0"/>
                    <w:jc w:val="center"/>
                    <w:rPr>
                      <w:kern w:val="2"/>
                      <w:sz w:val="21"/>
                      <w:szCs w:val="21"/>
                    </w:rPr>
                  </w:pPr>
                  <w:r>
                    <w:rPr>
                      <w:sz w:val="21"/>
                      <w:szCs w:val="21"/>
                    </w:rPr>
                    <w:t>储能系统</w:t>
                  </w:r>
                </w:p>
              </w:tc>
              <w:tc>
                <w:tcPr>
                  <w:tcW w:w="4024" w:type="pct"/>
                  <w:vAlign w:val="center"/>
                </w:tcPr>
                <w:p w14:paraId="2410CED3">
                  <w:pPr>
                    <w:pStyle w:val="76"/>
                    <w:snapToGrid w:val="0"/>
                    <w:jc w:val="center"/>
                    <w:rPr>
                      <w:bCs/>
                      <w:sz w:val="21"/>
                      <w:szCs w:val="21"/>
                    </w:rPr>
                  </w:pPr>
                  <w:r>
                    <w:rPr>
                      <w:bCs/>
                      <w:color w:val="000000" w:themeColor="text1"/>
                      <w:sz w:val="21"/>
                      <w:szCs w:val="21"/>
                      <w14:textFill>
                        <w14:solidFill>
                          <w14:schemeClr w14:val="tx1"/>
                        </w14:solidFill>
                      </w14:textFill>
                    </w:rPr>
                    <w:t>本项目</w:t>
                  </w:r>
                  <w:r>
                    <w:rPr>
                      <w:rFonts w:hint="eastAsia"/>
                      <w:bCs/>
                      <w:color w:val="000000" w:themeColor="text1"/>
                      <w:sz w:val="21"/>
                      <w:szCs w:val="21"/>
                      <w:lang w:val="zh-CN"/>
                      <w14:textFill>
                        <w14:solidFill>
                          <w14:schemeClr w14:val="tx1"/>
                        </w14:solidFill>
                      </w14:textFill>
                    </w:rPr>
                    <w:t>储能采用租赁方式，</w:t>
                  </w:r>
                  <w:r>
                    <w:rPr>
                      <w:rFonts w:hint="eastAsia"/>
                      <w:bCs/>
                      <w:color w:val="000000" w:themeColor="text1"/>
                      <w:sz w:val="21"/>
                      <w:szCs w:val="21"/>
                      <w:lang w:val="en-US" w:eastAsia="zh-CN"/>
                      <w14:textFill>
                        <w14:solidFill>
                          <w14:schemeClr w14:val="tx1"/>
                        </w14:solidFill>
                      </w14:textFill>
                    </w:rPr>
                    <w:t>已与</w:t>
                  </w:r>
                  <w:r>
                    <w:rPr>
                      <w:rFonts w:hint="eastAsia"/>
                      <w:bCs/>
                      <w:color w:val="000000" w:themeColor="text1"/>
                      <w:sz w:val="21"/>
                      <w:szCs w:val="21"/>
                      <w:lang w:val="zh-CN"/>
                      <w14:textFill>
                        <w14:solidFill>
                          <w14:schemeClr w14:val="tx1"/>
                        </w14:solidFill>
                      </w14:textFill>
                    </w:rPr>
                    <w:t>徐州垞城电力有限责任公司</w:t>
                  </w:r>
                  <w:r>
                    <w:rPr>
                      <w:rFonts w:hint="eastAsia"/>
                      <w:bCs/>
                      <w:color w:val="000000" w:themeColor="text1"/>
                      <w:sz w:val="21"/>
                      <w:szCs w:val="21"/>
                      <w:lang w:val="en-US" w:eastAsia="zh-CN"/>
                      <w14:textFill>
                        <w14:solidFill>
                          <w14:schemeClr w14:val="tx1"/>
                        </w14:solidFill>
                      </w14:textFill>
                    </w:rPr>
                    <w:t>签订</w:t>
                  </w:r>
                  <w:r>
                    <w:rPr>
                      <w:rFonts w:hint="eastAsia"/>
                      <w:bCs/>
                      <w:color w:val="000000" w:themeColor="text1"/>
                      <w:sz w:val="21"/>
                      <w:szCs w:val="21"/>
                      <w:lang w:val="zh-CN"/>
                      <w14:textFill>
                        <w14:solidFill>
                          <w14:schemeClr w14:val="tx1"/>
                        </w14:solidFill>
                      </w14:textFill>
                    </w:rPr>
                    <w:t>储能服务框架协议（</w:t>
                  </w:r>
                  <w:r>
                    <w:rPr>
                      <w:rFonts w:hint="eastAsia"/>
                      <w:bCs/>
                      <w:color w:val="000000" w:themeColor="text1"/>
                      <w:sz w:val="21"/>
                      <w:szCs w:val="21"/>
                      <w:lang w:val="en-US" w:eastAsia="zh-CN"/>
                      <w14:textFill>
                        <w14:solidFill>
                          <w14:schemeClr w14:val="tx1"/>
                        </w14:solidFill>
                      </w14:textFill>
                    </w:rPr>
                    <w:t>见附件8</w:t>
                  </w:r>
                  <w:r>
                    <w:rPr>
                      <w:rFonts w:hint="eastAsia"/>
                      <w:bCs/>
                      <w:color w:val="000000" w:themeColor="text1"/>
                      <w:sz w:val="21"/>
                      <w:szCs w:val="21"/>
                      <w:lang w:val="zh-CN"/>
                      <w14:textFill>
                        <w14:solidFill>
                          <w14:schemeClr w14:val="tx1"/>
                        </w14:solidFill>
                      </w14:textFill>
                    </w:rPr>
                    <w:t>）。</w:t>
                  </w:r>
                </w:p>
              </w:tc>
            </w:tr>
            <w:tr w14:paraId="19F6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35" w:type="pct"/>
                  <w:vMerge w:val="continue"/>
                  <w:vAlign w:val="center"/>
                </w:tcPr>
                <w:p w14:paraId="5D345655">
                  <w:pPr>
                    <w:pStyle w:val="76"/>
                    <w:snapToGrid w:val="0"/>
                    <w:jc w:val="center"/>
                    <w:rPr>
                      <w:kern w:val="2"/>
                      <w:sz w:val="21"/>
                      <w:szCs w:val="21"/>
                    </w:rPr>
                  </w:pPr>
                </w:p>
              </w:tc>
              <w:tc>
                <w:tcPr>
                  <w:tcW w:w="739" w:type="pct"/>
                  <w:gridSpan w:val="2"/>
                  <w:vAlign w:val="center"/>
                </w:tcPr>
                <w:p w14:paraId="10890913">
                  <w:pPr>
                    <w:pStyle w:val="76"/>
                    <w:snapToGrid w:val="0"/>
                    <w:jc w:val="center"/>
                    <w:rPr>
                      <w:kern w:val="2"/>
                      <w:sz w:val="21"/>
                      <w:szCs w:val="21"/>
                    </w:rPr>
                  </w:pPr>
                  <w:r>
                    <w:rPr>
                      <w:kern w:val="2"/>
                      <w:sz w:val="21"/>
                      <w:szCs w:val="21"/>
                    </w:rPr>
                    <w:t>供电系统</w:t>
                  </w:r>
                </w:p>
              </w:tc>
              <w:tc>
                <w:tcPr>
                  <w:tcW w:w="4024" w:type="pct"/>
                  <w:vAlign w:val="center"/>
                </w:tcPr>
                <w:p w14:paraId="009F1CD7">
                  <w:pPr>
                    <w:pStyle w:val="76"/>
                    <w:snapToGrid w:val="0"/>
                    <w:jc w:val="center"/>
                    <w:rPr>
                      <w:kern w:val="2"/>
                      <w:sz w:val="21"/>
                      <w:szCs w:val="21"/>
                    </w:rPr>
                  </w:pPr>
                  <w:r>
                    <w:rPr>
                      <w:rFonts w:hint="eastAsia"/>
                      <w:kern w:val="2"/>
                      <w:sz w:val="21"/>
                      <w:szCs w:val="21"/>
                    </w:rPr>
                    <w:t>站内新建</w:t>
                  </w:r>
                  <w:r>
                    <w:rPr>
                      <w:rFonts w:hint="eastAsia"/>
                      <w:kern w:val="2"/>
                      <w:sz w:val="21"/>
                      <w:szCs w:val="21"/>
                      <w:lang w:val="en-US" w:eastAsia="zh-CN"/>
                    </w:rPr>
                    <w:t>2</w:t>
                  </w:r>
                  <w:r>
                    <w:rPr>
                      <w:rFonts w:hint="eastAsia"/>
                      <w:kern w:val="2"/>
                      <w:sz w:val="21"/>
                      <w:szCs w:val="21"/>
                    </w:rPr>
                    <w:t>台220kV主变（容量暂定为240MVA），最后以1回220kV线路接入</w:t>
                  </w:r>
                  <w:r>
                    <w:rPr>
                      <w:rFonts w:hint="eastAsia"/>
                      <w:kern w:val="2"/>
                      <w:sz w:val="21"/>
                      <w:szCs w:val="21"/>
                      <w:lang w:val="en-US" w:eastAsia="zh-CN"/>
                    </w:rPr>
                    <w:t>三洋</w:t>
                  </w:r>
                  <w:r>
                    <w:rPr>
                      <w:rFonts w:hint="eastAsia"/>
                      <w:kern w:val="2"/>
                      <w:sz w:val="21"/>
                      <w:szCs w:val="21"/>
                    </w:rPr>
                    <w:t>变相应间隔；升压站另外引接一路10kV电源，作为升压站的备用电源，施工时可作为施工电源使用。</w:t>
                  </w:r>
                </w:p>
              </w:tc>
            </w:tr>
            <w:tr w14:paraId="76A3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35" w:type="pct"/>
                  <w:vMerge w:val="continue"/>
                  <w:vAlign w:val="center"/>
                </w:tcPr>
                <w:p w14:paraId="553BC559">
                  <w:pPr>
                    <w:pStyle w:val="76"/>
                    <w:snapToGrid w:val="0"/>
                    <w:jc w:val="center"/>
                    <w:rPr>
                      <w:kern w:val="2"/>
                      <w:sz w:val="21"/>
                      <w:szCs w:val="21"/>
                    </w:rPr>
                  </w:pPr>
                </w:p>
              </w:tc>
              <w:tc>
                <w:tcPr>
                  <w:tcW w:w="739" w:type="pct"/>
                  <w:gridSpan w:val="2"/>
                  <w:vAlign w:val="center"/>
                </w:tcPr>
                <w:p w14:paraId="6C042B0A">
                  <w:pPr>
                    <w:pStyle w:val="76"/>
                    <w:snapToGrid w:val="0"/>
                    <w:jc w:val="center"/>
                    <w:rPr>
                      <w:kern w:val="2"/>
                      <w:sz w:val="21"/>
                      <w:szCs w:val="21"/>
                    </w:rPr>
                  </w:pPr>
                  <w:r>
                    <w:rPr>
                      <w:kern w:val="2"/>
                      <w:sz w:val="21"/>
                      <w:szCs w:val="21"/>
                    </w:rPr>
                    <w:t>供水系统</w:t>
                  </w:r>
                </w:p>
              </w:tc>
              <w:tc>
                <w:tcPr>
                  <w:tcW w:w="4024" w:type="pct"/>
                  <w:vAlign w:val="center"/>
                </w:tcPr>
                <w:p w14:paraId="6A7AFD65">
                  <w:pPr>
                    <w:pStyle w:val="76"/>
                    <w:snapToGrid w:val="0"/>
                    <w:jc w:val="center"/>
                    <w:rPr>
                      <w:kern w:val="2"/>
                      <w:sz w:val="21"/>
                      <w:szCs w:val="21"/>
                    </w:rPr>
                  </w:pPr>
                  <w:r>
                    <w:rPr>
                      <w:rFonts w:hint="eastAsia"/>
                      <w:kern w:val="2"/>
                      <w:sz w:val="21"/>
                      <w:szCs w:val="21"/>
                    </w:rPr>
                    <w:t>市政</w:t>
                  </w:r>
                  <w:r>
                    <w:rPr>
                      <w:rFonts w:hint="eastAsia"/>
                      <w:kern w:val="2"/>
                      <w:sz w:val="21"/>
                      <w:szCs w:val="21"/>
                      <w:lang w:val="en-US" w:eastAsia="zh-CN"/>
                    </w:rPr>
                    <w:t>管网</w:t>
                  </w:r>
                  <w:r>
                    <w:rPr>
                      <w:rFonts w:hint="eastAsia"/>
                      <w:kern w:val="2"/>
                      <w:sz w:val="21"/>
                      <w:szCs w:val="21"/>
                    </w:rPr>
                    <w:t>供水。</w:t>
                  </w:r>
                </w:p>
              </w:tc>
            </w:tr>
            <w:tr w14:paraId="3D1D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35" w:type="pct"/>
                  <w:vMerge w:val="continue"/>
                  <w:vAlign w:val="center"/>
                </w:tcPr>
                <w:p w14:paraId="01ECFFBF">
                  <w:pPr>
                    <w:pStyle w:val="76"/>
                    <w:snapToGrid w:val="0"/>
                    <w:jc w:val="center"/>
                    <w:rPr>
                      <w:kern w:val="2"/>
                      <w:sz w:val="21"/>
                      <w:szCs w:val="21"/>
                    </w:rPr>
                  </w:pPr>
                </w:p>
              </w:tc>
              <w:tc>
                <w:tcPr>
                  <w:tcW w:w="739" w:type="pct"/>
                  <w:gridSpan w:val="2"/>
                  <w:vAlign w:val="center"/>
                </w:tcPr>
                <w:p w14:paraId="34A78349">
                  <w:pPr>
                    <w:pStyle w:val="76"/>
                    <w:snapToGrid w:val="0"/>
                    <w:jc w:val="center"/>
                    <w:rPr>
                      <w:kern w:val="2"/>
                      <w:sz w:val="21"/>
                      <w:szCs w:val="21"/>
                    </w:rPr>
                  </w:pPr>
                  <w:r>
                    <w:rPr>
                      <w:kern w:val="2"/>
                      <w:sz w:val="21"/>
                      <w:szCs w:val="21"/>
                    </w:rPr>
                    <w:t>排水系统</w:t>
                  </w:r>
                </w:p>
              </w:tc>
              <w:tc>
                <w:tcPr>
                  <w:tcW w:w="4024" w:type="pct"/>
                  <w:vAlign w:val="center"/>
                </w:tcPr>
                <w:p w14:paraId="150D1995">
                  <w:pPr>
                    <w:pStyle w:val="76"/>
                    <w:snapToGrid w:val="0"/>
                    <w:jc w:val="center"/>
                    <w:rPr>
                      <w:kern w:val="2"/>
                      <w:sz w:val="21"/>
                      <w:szCs w:val="21"/>
                    </w:rPr>
                  </w:pPr>
                  <w:r>
                    <w:rPr>
                      <w:kern w:val="2"/>
                      <w:sz w:val="21"/>
                      <w:szCs w:val="21"/>
                    </w:rPr>
                    <w:t>排水体制采用雨污分流制。</w:t>
                  </w:r>
                </w:p>
              </w:tc>
            </w:tr>
            <w:tr w14:paraId="6003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35" w:type="pct"/>
                  <w:vMerge w:val="restart"/>
                  <w:vAlign w:val="center"/>
                </w:tcPr>
                <w:p w14:paraId="2599D552">
                  <w:pPr>
                    <w:pStyle w:val="76"/>
                    <w:snapToGrid w:val="0"/>
                    <w:jc w:val="center"/>
                    <w:rPr>
                      <w:kern w:val="2"/>
                      <w:sz w:val="21"/>
                      <w:szCs w:val="21"/>
                    </w:rPr>
                  </w:pPr>
                  <w:r>
                    <w:rPr>
                      <w:kern w:val="2"/>
                      <w:sz w:val="21"/>
                      <w:szCs w:val="21"/>
                    </w:rPr>
                    <w:t>环保工程</w:t>
                  </w:r>
                </w:p>
              </w:tc>
              <w:tc>
                <w:tcPr>
                  <w:tcW w:w="284" w:type="pct"/>
                  <w:vMerge w:val="restart"/>
                  <w:vAlign w:val="center"/>
                </w:tcPr>
                <w:p w14:paraId="785FB4F8">
                  <w:pPr>
                    <w:pStyle w:val="76"/>
                    <w:snapToGrid w:val="0"/>
                    <w:jc w:val="center"/>
                    <w:rPr>
                      <w:kern w:val="2"/>
                      <w:sz w:val="21"/>
                      <w:szCs w:val="21"/>
                    </w:rPr>
                  </w:pPr>
                  <w:r>
                    <w:rPr>
                      <w:kern w:val="2"/>
                      <w:sz w:val="21"/>
                      <w:szCs w:val="21"/>
                    </w:rPr>
                    <w:t>废气</w:t>
                  </w:r>
                </w:p>
              </w:tc>
              <w:tc>
                <w:tcPr>
                  <w:tcW w:w="455" w:type="pct"/>
                  <w:vAlign w:val="center"/>
                </w:tcPr>
                <w:p w14:paraId="7FB680D9">
                  <w:pPr>
                    <w:pStyle w:val="76"/>
                    <w:snapToGrid w:val="0"/>
                    <w:jc w:val="center"/>
                    <w:rPr>
                      <w:kern w:val="2"/>
                      <w:sz w:val="21"/>
                      <w:szCs w:val="21"/>
                    </w:rPr>
                  </w:pPr>
                  <w:r>
                    <w:rPr>
                      <w:kern w:val="2"/>
                      <w:sz w:val="21"/>
                      <w:szCs w:val="21"/>
                    </w:rPr>
                    <w:t>施工期</w:t>
                  </w:r>
                </w:p>
              </w:tc>
              <w:tc>
                <w:tcPr>
                  <w:tcW w:w="4024" w:type="pct"/>
                  <w:vAlign w:val="center"/>
                </w:tcPr>
                <w:p w14:paraId="46E2F307">
                  <w:pPr>
                    <w:widowControl/>
                    <w:jc w:val="left"/>
                    <w:rPr>
                      <w:szCs w:val="21"/>
                    </w:rPr>
                  </w:pPr>
                  <w:r>
                    <w:rPr>
                      <w:szCs w:val="21"/>
                    </w:rPr>
                    <w:t>设置围挡，定期洒水、物料库存或苫盖，加强运输车辆管理，对道路进行洒水降尘。</w:t>
                  </w:r>
                </w:p>
              </w:tc>
            </w:tr>
            <w:tr w14:paraId="5960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235" w:type="pct"/>
                  <w:vMerge w:val="continue"/>
                  <w:vAlign w:val="center"/>
                </w:tcPr>
                <w:p w14:paraId="6A404D6E">
                  <w:pPr>
                    <w:pStyle w:val="76"/>
                    <w:snapToGrid w:val="0"/>
                    <w:jc w:val="center"/>
                    <w:rPr>
                      <w:kern w:val="2"/>
                      <w:sz w:val="21"/>
                      <w:szCs w:val="21"/>
                    </w:rPr>
                  </w:pPr>
                </w:p>
              </w:tc>
              <w:tc>
                <w:tcPr>
                  <w:tcW w:w="284" w:type="pct"/>
                  <w:vMerge w:val="continue"/>
                  <w:vAlign w:val="center"/>
                </w:tcPr>
                <w:p w14:paraId="2FB80585">
                  <w:pPr>
                    <w:pStyle w:val="76"/>
                    <w:snapToGrid w:val="0"/>
                    <w:jc w:val="center"/>
                    <w:rPr>
                      <w:kern w:val="2"/>
                      <w:sz w:val="21"/>
                      <w:szCs w:val="21"/>
                    </w:rPr>
                  </w:pPr>
                </w:p>
              </w:tc>
              <w:tc>
                <w:tcPr>
                  <w:tcW w:w="455" w:type="pct"/>
                  <w:vAlign w:val="center"/>
                </w:tcPr>
                <w:p w14:paraId="32FA8628">
                  <w:pPr>
                    <w:pStyle w:val="76"/>
                    <w:snapToGrid w:val="0"/>
                    <w:jc w:val="center"/>
                    <w:rPr>
                      <w:kern w:val="2"/>
                      <w:sz w:val="21"/>
                      <w:szCs w:val="21"/>
                    </w:rPr>
                  </w:pPr>
                  <w:r>
                    <w:rPr>
                      <w:kern w:val="2"/>
                      <w:sz w:val="21"/>
                      <w:szCs w:val="21"/>
                    </w:rPr>
                    <w:t>运营期</w:t>
                  </w:r>
                </w:p>
              </w:tc>
              <w:tc>
                <w:tcPr>
                  <w:tcW w:w="4024" w:type="pct"/>
                  <w:vAlign w:val="center"/>
                </w:tcPr>
                <w:p w14:paraId="51BF80A8">
                  <w:pPr>
                    <w:widowControl/>
                    <w:jc w:val="left"/>
                    <w:rPr>
                      <w:szCs w:val="21"/>
                    </w:rPr>
                  </w:pPr>
                  <w:r>
                    <w:rPr>
                      <w:szCs w:val="21"/>
                    </w:rPr>
                    <w:t>本项目运营期无废气产生</w:t>
                  </w:r>
                </w:p>
              </w:tc>
            </w:tr>
            <w:tr w14:paraId="520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235" w:type="pct"/>
                  <w:vMerge w:val="continue"/>
                  <w:vAlign w:val="center"/>
                </w:tcPr>
                <w:p w14:paraId="2B11C3C4">
                  <w:pPr>
                    <w:pStyle w:val="76"/>
                    <w:snapToGrid w:val="0"/>
                    <w:jc w:val="center"/>
                    <w:rPr>
                      <w:kern w:val="2"/>
                      <w:sz w:val="21"/>
                      <w:szCs w:val="21"/>
                    </w:rPr>
                  </w:pPr>
                </w:p>
              </w:tc>
              <w:tc>
                <w:tcPr>
                  <w:tcW w:w="284" w:type="pct"/>
                  <w:vMerge w:val="restart"/>
                  <w:vAlign w:val="center"/>
                </w:tcPr>
                <w:p w14:paraId="0D844CEB">
                  <w:pPr>
                    <w:pStyle w:val="76"/>
                    <w:snapToGrid w:val="0"/>
                    <w:jc w:val="center"/>
                    <w:rPr>
                      <w:kern w:val="2"/>
                      <w:sz w:val="21"/>
                      <w:szCs w:val="21"/>
                    </w:rPr>
                  </w:pPr>
                  <w:r>
                    <w:rPr>
                      <w:kern w:val="2"/>
                      <w:sz w:val="21"/>
                      <w:szCs w:val="21"/>
                    </w:rPr>
                    <w:t>废水</w:t>
                  </w:r>
                </w:p>
              </w:tc>
              <w:tc>
                <w:tcPr>
                  <w:tcW w:w="455" w:type="pct"/>
                  <w:vAlign w:val="center"/>
                </w:tcPr>
                <w:p w14:paraId="27013D5C">
                  <w:pPr>
                    <w:pStyle w:val="76"/>
                    <w:snapToGrid w:val="0"/>
                    <w:jc w:val="center"/>
                    <w:rPr>
                      <w:kern w:val="2"/>
                      <w:sz w:val="21"/>
                      <w:szCs w:val="21"/>
                    </w:rPr>
                  </w:pPr>
                  <w:r>
                    <w:rPr>
                      <w:kern w:val="2"/>
                      <w:sz w:val="21"/>
                      <w:szCs w:val="21"/>
                    </w:rPr>
                    <w:t>施工期</w:t>
                  </w:r>
                </w:p>
              </w:tc>
              <w:tc>
                <w:tcPr>
                  <w:tcW w:w="4024" w:type="pct"/>
                  <w:vAlign w:val="center"/>
                </w:tcPr>
                <w:p w14:paraId="68A928A6">
                  <w:pPr>
                    <w:widowControl/>
                    <w:jc w:val="left"/>
                    <w:rPr>
                      <w:szCs w:val="21"/>
                    </w:rPr>
                  </w:pPr>
                  <w:r>
                    <w:rPr>
                      <w:szCs w:val="21"/>
                    </w:rPr>
                    <w:t>施工废水经隔油池、沉淀处理后，回用于车辆冲洗或施工现场洒水降尘，不外排；生活污水经通过旱厕收集处理，定期清掏后回用于当地周边林地或周边农田施肥，不外排。</w:t>
                  </w:r>
                </w:p>
              </w:tc>
            </w:tr>
            <w:tr w14:paraId="19D0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235" w:type="pct"/>
                  <w:vMerge w:val="continue"/>
                  <w:vAlign w:val="center"/>
                </w:tcPr>
                <w:p w14:paraId="6B88413B">
                  <w:pPr>
                    <w:pStyle w:val="76"/>
                    <w:snapToGrid w:val="0"/>
                    <w:jc w:val="center"/>
                    <w:rPr>
                      <w:kern w:val="2"/>
                      <w:sz w:val="21"/>
                      <w:szCs w:val="21"/>
                    </w:rPr>
                  </w:pPr>
                </w:p>
              </w:tc>
              <w:tc>
                <w:tcPr>
                  <w:tcW w:w="284" w:type="pct"/>
                  <w:vMerge w:val="continue"/>
                  <w:vAlign w:val="center"/>
                </w:tcPr>
                <w:p w14:paraId="40DB9687">
                  <w:pPr>
                    <w:pStyle w:val="76"/>
                    <w:snapToGrid w:val="0"/>
                    <w:jc w:val="center"/>
                    <w:rPr>
                      <w:kern w:val="2"/>
                      <w:sz w:val="21"/>
                      <w:szCs w:val="21"/>
                    </w:rPr>
                  </w:pPr>
                </w:p>
              </w:tc>
              <w:tc>
                <w:tcPr>
                  <w:tcW w:w="455" w:type="pct"/>
                  <w:vAlign w:val="center"/>
                </w:tcPr>
                <w:p w14:paraId="513D1152">
                  <w:pPr>
                    <w:pStyle w:val="76"/>
                    <w:snapToGrid w:val="0"/>
                    <w:jc w:val="center"/>
                    <w:rPr>
                      <w:kern w:val="2"/>
                      <w:sz w:val="21"/>
                      <w:szCs w:val="21"/>
                    </w:rPr>
                  </w:pPr>
                  <w:r>
                    <w:rPr>
                      <w:kern w:val="2"/>
                      <w:sz w:val="21"/>
                      <w:szCs w:val="21"/>
                    </w:rPr>
                    <w:t>运营期</w:t>
                  </w:r>
                </w:p>
              </w:tc>
              <w:tc>
                <w:tcPr>
                  <w:tcW w:w="4024" w:type="pct"/>
                  <w:vAlign w:val="center"/>
                </w:tcPr>
                <w:p w14:paraId="108F4F8D">
                  <w:pPr>
                    <w:widowControl/>
                    <w:jc w:val="left"/>
                    <w:rPr>
                      <w:szCs w:val="21"/>
                    </w:rPr>
                  </w:pPr>
                  <w:r>
                    <w:rPr>
                      <w:spacing w:val="8"/>
                    </w:rPr>
                    <w:t>运营期无生活污水产生。冲洗电池组件用水水源可取水塘水源，冲洗电池组件用水根据类似光伏电站的电池组件清洁经验，冲洗废水直接排入池塘，不</w:t>
                  </w:r>
                  <w:r>
                    <w:rPr>
                      <w:spacing w:val="2"/>
                    </w:rPr>
                    <w:t>外排。</w:t>
                  </w:r>
                </w:p>
              </w:tc>
            </w:tr>
            <w:tr w14:paraId="18B0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9" w:hRule="atLeast"/>
                <w:jc w:val="center"/>
              </w:trPr>
              <w:tc>
                <w:tcPr>
                  <w:tcW w:w="235" w:type="pct"/>
                  <w:vMerge w:val="continue"/>
                  <w:vAlign w:val="center"/>
                </w:tcPr>
                <w:p w14:paraId="66F2E3D9">
                  <w:pPr>
                    <w:adjustRightInd w:val="0"/>
                    <w:snapToGrid w:val="0"/>
                    <w:jc w:val="center"/>
                    <w:rPr>
                      <w:szCs w:val="21"/>
                    </w:rPr>
                  </w:pPr>
                </w:p>
              </w:tc>
              <w:tc>
                <w:tcPr>
                  <w:tcW w:w="284" w:type="pct"/>
                  <w:vMerge w:val="restart"/>
                  <w:vAlign w:val="center"/>
                </w:tcPr>
                <w:p w14:paraId="5E8B1267">
                  <w:pPr>
                    <w:pStyle w:val="76"/>
                    <w:snapToGrid w:val="0"/>
                    <w:jc w:val="center"/>
                    <w:rPr>
                      <w:kern w:val="2"/>
                      <w:sz w:val="21"/>
                      <w:szCs w:val="21"/>
                    </w:rPr>
                  </w:pPr>
                  <w:r>
                    <w:rPr>
                      <w:kern w:val="2"/>
                      <w:sz w:val="21"/>
                      <w:szCs w:val="21"/>
                    </w:rPr>
                    <w:t>固废</w:t>
                  </w:r>
                </w:p>
              </w:tc>
              <w:tc>
                <w:tcPr>
                  <w:tcW w:w="455" w:type="pct"/>
                  <w:vAlign w:val="center"/>
                </w:tcPr>
                <w:p w14:paraId="30D625E6">
                  <w:pPr>
                    <w:pStyle w:val="76"/>
                    <w:snapToGrid w:val="0"/>
                    <w:jc w:val="center"/>
                    <w:rPr>
                      <w:kern w:val="2"/>
                      <w:sz w:val="21"/>
                      <w:szCs w:val="21"/>
                    </w:rPr>
                  </w:pPr>
                  <w:r>
                    <w:rPr>
                      <w:kern w:val="2"/>
                      <w:sz w:val="21"/>
                      <w:szCs w:val="21"/>
                    </w:rPr>
                    <w:t>施工期</w:t>
                  </w:r>
                </w:p>
              </w:tc>
              <w:tc>
                <w:tcPr>
                  <w:tcW w:w="4024" w:type="pct"/>
                  <w:vAlign w:val="center"/>
                </w:tcPr>
                <w:p w14:paraId="639F5AE3">
                  <w:pPr>
                    <w:rPr>
                      <w:szCs w:val="21"/>
                    </w:rPr>
                  </w:pPr>
                  <w:r>
                    <w:rPr>
                      <w:szCs w:val="21"/>
                    </w:rPr>
                    <w:t>项目在挖方过程中将表土进行暂存后用于项目结束后的覆绿。开挖出的土方除在基坑附近预留足够回填土外，其余弃方筑检修道路用。</w:t>
                  </w:r>
                </w:p>
                <w:p w14:paraId="7E72C4CF">
                  <w:pPr>
                    <w:rPr>
                      <w:szCs w:val="21"/>
                    </w:rPr>
                  </w:pPr>
                  <w:r>
                    <w:rPr>
                      <w:szCs w:val="21"/>
                    </w:rPr>
                    <w:t>建筑垃圾中钢筋、钢板、木材等下脚料分类收集至临时建筑垃圾堆场内，定期出售给废品收购站进行回收利用。</w:t>
                  </w:r>
                </w:p>
                <w:p w14:paraId="410ABCF5">
                  <w:pPr>
                    <w:rPr>
                      <w:szCs w:val="21"/>
                    </w:rPr>
                  </w:pPr>
                  <w:r>
                    <w:rPr>
                      <w:szCs w:val="21"/>
                    </w:rPr>
                    <w:t>太阳能发电系统组件安装及设备安装等过程产生的下脚料（导线、电缆等）、废包装材料（主要为废纸箱和木架）等均具有回收再利用价值，外售给废旧资源回收站。</w:t>
                  </w:r>
                </w:p>
                <w:p w14:paraId="00E92E65">
                  <w:pPr>
                    <w:rPr>
                      <w:szCs w:val="21"/>
                    </w:rPr>
                  </w:pPr>
                  <w:r>
                    <w:rPr>
                      <w:szCs w:val="21"/>
                    </w:rPr>
                    <w:t>生活垃圾集中定点收集后，交由环卫部门处理；</w:t>
                  </w:r>
                </w:p>
              </w:tc>
            </w:tr>
            <w:tr w14:paraId="33DC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1" w:hRule="atLeast"/>
                <w:jc w:val="center"/>
              </w:trPr>
              <w:tc>
                <w:tcPr>
                  <w:tcW w:w="235" w:type="pct"/>
                  <w:vMerge w:val="continue"/>
                  <w:vAlign w:val="center"/>
                </w:tcPr>
                <w:p w14:paraId="5BAAFEB2">
                  <w:pPr>
                    <w:adjustRightInd w:val="0"/>
                    <w:snapToGrid w:val="0"/>
                    <w:jc w:val="center"/>
                    <w:rPr>
                      <w:szCs w:val="21"/>
                    </w:rPr>
                  </w:pPr>
                </w:p>
              </w:tc>
              <w:tc>
                <w:tcPr>
                  <w:tcW w:w="284" w:type="pct"/>
                  <w:vMerge w:val="continue"/>
                  <w:vAlign w:val="center"/>
                </w:tcPr>
                <w:p w14:paraId="4D1B7C89">
                  <w:pPr>
                    <w:pStyle w:val="76"/>
                    <w:snapToGrid w:val="0"/>
                    <w:jc w:val="center"/>
                    <w:rPr>
                      <w:kern w:val="2"/>
                      <w:sz w:val="21"/>
                      <w:szCs w:val="21"/>
                    </w:rPr>
                  </w:pPr>
                </w:p>
              </w:tc>
              <w:tc>
                <w:tcPr>
                  <w:tcW w:w="455" w:type="pct"/>
                  <w:vAlign w:val="center"/>
                </w:tcPr>
                <w:p w14:paraId="248D4E4A">
                  <w:pPr>
                    <w:pStyle w:val="76"/>
                    <w:snapToGrid w:val="0"/>
                    <w:jc w:val="center"/>
                    <w:rPr>
                      <w:kern w:val="2"/>
                      <w:sz w:val="21"/>
                      <w:szCs w:val="21"/>
                    </w:rPr>
                  </w:pPr>
                  <w:r>
                    <w:rPr>
                      <w:kern w:val="2"/>
                      <w:sz w:val="21"/>
                      <w:szCs w:val="21"/>
                    </w:rPr>
                    <w:t>运营期</w:t>
                  </w:r>
                </w:p>
              </w:tc>
              <w:tc>
                <w:tcPr>
                  <w:tcW w:w="4024" w:type="pct"/>
                  <w:vAlign w:val="center"/>
                </w:tcPr>
                <w:p w14:paraId="680E52B4">
                  <w:pPr>
                    <w:rPr>
                      <w:szCs w:val="21"/>
                    </w:rPr>
                  </w:pPr>
                  <w:r>
                    <w:rPr>
                      <w:spacing w:val="8"/>
                    </w:rPr>
                    <w:t>运营期产生的废物主要为废旧太阳能电池组件，光伏区内不设置临时储存点，检修更换后直接由设备</w:t>
                  </w:r>
                  <w:r>
                    <w:rPr>
                      <w:spacing w:val="5"/>
                    </w:rPr>
                    <w:t>厂家回收。</w:t>
                  </w:r>
                </w:p>
              </w:tc>
            </w:tr>
            <w:tr w14:paraId="21D6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35" w:type="pct"/>
                  <w:vMerge w:val="continue"/>
                  <w:vAlign w:val="center"/>
                </w:tcPr>
                <w:p w14:paraId="1BED65EC">
                  <w:pPr>
                    <w:adjustRightInd w:val="0"/>
                    <w:snapToGrid w:val="0"/>
                    <w:jc w:val="center"/>
                    <w:rPr>
                      <w:szCs w:val="21"/>
                    </w:rPr>
                  </w:pPr>
                </w:p>
              </w:tc>
              <w:tc>
                <w:tcPr>
                  <w:tcW w:w="284" w:type="pct"/>
                  <w:vMerge w:val="restart"/>
                  <w:vAlign w:val="center"/>
                </w:tcPr>
                <w:p w14:paraId="350C0633">
                  <w:pPr>
                    <w:pStyle w:val="76"/>
                    <w:snapToGrid w:val="0"/>
                    <w:jc w:val="center"/>
                    <w:rPr>
                      <w:kern w:val="2"/>
                      <w:sz w:val="21"/>
                      <w:szCs w:val="21"/>
                    </w:rPr>
                  </w:pPr>
                  <w:r>
                    <w:rPr>
                      <w:kern w:val="2"/>
                      <w:sz w:val="21"/>
                      <w:szCs w:val="21"/>
                    </w:rPr>
                    <w:t>噪声</w:t>
                  </w:r>
                </w:p>
              </w:tc>
              <w:tc>
                <w:tcPr>
                  <w:tcW w:w="455" w:type="pct"/>
                  <w:vAlign w:val="center"/>
                </w:tcPr>
                <w:p w14:paraId="7704A0FF">
                  <w:pPr>
                    <w:pStyle w:val="76"/>
                    <w:snapToGrid w:val="0"/>
                    <w:jc w:val="center"/>
                    <w:rPr>
                      <w:kern w:val="2"/>
                      <w:sz w:val="21"/>
                      <w:szCs w:val="21"/>
                    </w:rPr>
                  </w:pPr>
                  <w:r>
                    <w:rPr>
                      <w:kern w:val="2"/>
                      <w:sz w:val="21"/>
                      <w:szCs w:val="21"/>
                    </w:rPr>
                    <w:t>施工期</w:t>
                  </w:r>
                </w:p>
              </w:tc>
              <w:tc>
                <w:tcPr>
                  <w:tcW w:w="4024" w:type="pct"/>
                  <w:vAlign w:val="center"/>
                </w:tcPr>
                <w:p w14:paraId="05AEE40D">
                  <w:pPr>
                    <w:rPr>
                      <w:szCs w:val="21"/>
                    </w:rPr>
                  </w:pPr>
                  <w:r>
                    <w:rPr>
                      <w:szCs w:val="21"/>
                    </w:rPr>
                    <w:t>合理安排施工时间，高噪声施工时间尽量安排在昼间；尽量避免高噪源同时进行施工，设置施工围挡；优先选用低噪声施工工艺和施工机械；施工车辆的运行应尽量避开噪声敏感区域和噪声敏感时段。</w:t>
                  </w:r>
                </w:p>
              </w:tc>
            </w:tr>
            <w:tr w14:paraId="0D92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35" w:type="pct"/>
                  <w:vMerge w:val="continue"/>
                  <w:vAlign w:val="center"/>
                </w:tcPr>
                <w:p w14:paraId="35A5A5E5">
                  <w:pPr>
                    <w:adjustRightInd w:val="0"/>
                    <w:snapToGrid w:val="0"/>
                    <w:jc w:val="center"/>
                    <w:rPr>
                      <w:szCs w:val="21"/>
                    </w:rPr>
                  </w:pPr>
                </w:p>
              </w:tc>
              <w:tc>
                <w:tcPr>
                  <w:tcW w:w="284" w:type="pct"/>
                  <w:vMerge w:val="continue"/>
                  <w:vAlign w:val="center"/>
                </w:tcPr>
                <w:p w14:paraId="41D48922">
                  <w:pPr>
                    <w:pStyle w:val="76"/>
                    <w:snapToGrid w:val="0"/>
                    <w:jc w:val="center"/>
                    <w:rPr>
                      <w:kern w:val="2"/>
                      <w:sz w:val="21"/>
                      <w:szCs w:val="21"/>
                    </w:rPr>
                  </w:pPr>
                </w:p>
              </w:tc>
              <w:tc>
                <w:tcPr>
                  <w:tcW w:w="455" w:type="pct"/>
                  <w:vAlign w:val="center"/>
                </w:tcPr>
                <w:p w14:paraId="211D8E95">
                  <w:pPr>
                    <w:pStyle w:val="76"/>
                    <w:snapToGrid w:val="0"/>
                    <w:jc w:val="center"/>
                    <w:rPr>
                      <w:kern w:val="2"/>
                      <w:sz w:val="21"/>
                      <w:szCs w:val="21"/>
                    </w:rPr>
                  </w:pPr>
                  <w:r>
                    <w:rPr>
                      <w:kern w:val="2"/>
                      <w:sz w:val="21"/>
                      <w:szCs w:val="21"/>
                    </w:rPr>
                    <w:t>运营期</w:t>
                  </w:r>
                </w:p>
              </w:tc>
              <w:tc>
                <w:tcPr>
                  <w:tcW w:w="4024" w:type="pct"/>
                  <w:vAlign w:val="center"/>
                </w:tcPr>
                <w:p w14:paraId="2E321BC9">
                  <w:pPr>
                    <w:pStyle w:val="76"/>
                    <w:snapToGrid w:val="0"/>
                    <w:jc w:val="center"/>
                    <w:rPr>
                      <w:kern w:val="2"/>
                      <w:sz w:val="21"/>
                      <w:szCs w:val="21"/>
                    </w:rPr>
                  </w:pPr>
                  <w:r>
                    <w:rPr>
                      <w:kern w:val="2"/>
                      <w:sz w:val="21"/>
                      <w:szCs w:val="21"/>
                    </w:rPr>
                    <w:t>选用低噪声设备、合理布置，采取隔声、消声、基础减震、绿化等措施。</w:t>
                  </w:r>
                </w:p>
              </w:tc>
            </w:tr>
            <w:tr w14:paraId="663C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235" w:type="pct"/>
                  <w:vMerge w:val="continue"/>
                  <w:vAlign w:val="center"/>
                </w:tcPr>
                <w:p w14:paraId="7A4B096A">
                  <w:pPr>
                    <w:adjustRightInd w:val="0"/>
                    <w:snapToGrid w:val="0"/>
                    <w:jc w:val="center"/>
                    <w:rPr>
                      <w:szCs w:val="21"/>
                    </w:rPr>
                  </w:pPr>
                </w:p>
              </w:tc>
              <w:tc>
                <w:tcPr>
                  <w:tcW w:w="284" w:type="pct"/>
                  <w:vMerge w:val="restart"/>
                  <w:vAlign w:val="center"/>
                </w:tcPr>
                <w:p w14:paraId="597DFF59">
                  <w:pPr>
                    <w:pStyle w:val="76"/>
                    <w:snapToGrid w:val="0"/>
                    <w:jc w:val="center"/>
                    <w:rPr>
                      <w:kern w:val="2"/>
                      <w:sz w:val="21"/>
                      <w:szCs w:val="21"/>
                    </w:rPr>
                  </w:pPr>
                  <w:r>
                    <w:rPr>
                      <w:kern w:val="2"/>
                      <w:sz w:val="21"/>
                      <w:szCs w:val="21"/>
                    </w:rPr>
                    <w:t>生态恢复</w:t>
                  </w:r>
                </w:p>
              </w:tc>
              <w:tc>
                <w:tcPr>
                  <w:tcW w:w="455" w:type="pct"/>
                  <w:vAlign w:val="center"/>
                </w:tcPr>
                <w:p w14:paraId="69DF3046">
                  <w:pPr>
                    <w:pStyle w:val="76"/>
                    <w:snapToGrid w:val="0"/>
                    <w:jc w:val="center"/>
                    <w:rPr>
                      <w:kern w:val="2"/>
                      <w:sz w:val="21"/>
                      <w:szCs w:val="21"/>
                    </w:rPr>
                  </w:pPr>
                  <w:r>
                    <w:rPr>
                      <w:kern w:val="2"/>
                      <w:sz w:val="21"/>
                      <w:szCs w:val="21"/>
                    </w:rPr>
                    <w:t>施工期</w:t>
                  </w:r>
                </w:p>
              </w:tc>
              <w:tc>
                <w:tcPr>
                  <w:tcW w:w="4024" w:type="pct"/>
                  <w:vAlign w:val="center"/>
                </w:tcPr>
                <w:p w14:paraId="210C88B5">
                  <w:pPr>
                    <w:pStyle w:val="76"/>
                    <w:snapToGrid w:val="0"/>
                    <w:jc w:val="center"/>
                    <w:rPr>
                      <w:kern w:val="2"/>
                      <w:sz w:val="21"/>
                      <w:szCs w:val="21"/>
                    </w:rPr>
                  </w:pPr>
                  <w:r>
                    <w:rPr>
                      <w:kern w:val="2"/>
                      <w:sz w:val="21"/>
                      <w:szCs w:val="21"/>
                    </w:rPr>
                    <w:t>施工期合理规划设计，尽量缩短工期，做好水土流失防治措施等。施工结束后进表土回覆，土地整治；加大植草绿化，土地整治等。</w:t>
                  </w:r>
                </w:p>
              </w:tc>
            </w:tr>
            <w:tr w14:paraId="1167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235" w:type="pct"/>
                  <w:vMerge w:val="continue"/>
                  <w:vAlign w:val="center"/>
                </w:tcPr>
                <w:p w14:paraId="7194C9C7">
                  <w:pPr>
                    <w:adjustRightInd w:val="0"/>
                    <w:snapToGrid w:val="0"/>
                    <w:jc w:val="center"/>
                    <w:rPr>
                      <w:szCs w:val="21"/>
                    </w:rPr>
                  </w:pPr>
                </w:p>
              </w:tc>
              <w:tc>
                <w:tcPr>
                  <w:tcW w:w="284" w:type="pct"/>
                  <w:vMerge w:val="continue"/>
                  <w:vAlign w:val="center"/>
                </w:tcPr>
                <w:p w14:paraId="02C78D3F">
                  <w:pPr>
                    <w:pStyle w:val="76"/>
                    <w:snapToGrid w:val="0"/>
                    <w:jc w:val="center"/>
                    <w:rPr>
                      <w:kern w:val="2"/>
                      <w:sz w:val="21"/>
                      <w:szCs w:val="21"/>
                    </w:rPr>
                  </w:pPr>
                </w:p>
              </w:tc>
              <w:tc>
                <w:tcPr>
                  <w:tcW w:w="455" w:type="pct"/>
                  <w:vAlign w:val="center"/>
                </w:tcPr>
                <w:p w14:paraId="0FBCC075">
                  <w:pPr>
                    <w:pStyle w:val="76"/>
                    <w:snapToGrid w:val="0"/>
                    <w:jc w:val="center"/>
                    <w:rPr>
                      <w:kern w:val="2"/>
                      <w:sz w:val="21"/>
                      <w:szCs w:val="21"/>
                    </w:rPr>
                  </w:pPr>
                  <w:r>
                    <w:rPr>
                      <w:kern w:val="2"/>
                      <w:sz w:val="21"/>
                      <w:szCs w:val="21"/>
                    </w:rPr>
                    <w:t>运营期</w:t>
                  </w:r>
                </w:p>
              </w:tc>
              <w:tc>
                <w:tcPr>
                  <w:tcW w:w="4024" w:type="pct"/>
                  <w:vAlign w:val="center"/>
                </w:tcPr>
                <w:p w14:paraId="04AFE268">
                  <w:pPr>
                    <w:pStyle w:val="76"/>
                    <w:snapToGrid w:val="0"/>
                    <w:jc w:val="center"/>
                    <w:rPr>
                      <w:kern w:val="2"/>
                      <w:sz w:val="21"/>
                      <w:szCs w:val="21"/>
                    </w:rPr>
                  </w:pPr>
                  <w:r>
                    <w:rPr>
                      <w:kern w:val="2"/>
                      <w:sz w:val="21"/>
                      <w:szCs w:val="21"/>
                    </w:rPr>
                    <w:t>-</w:t>
                  </w:r>
                </w:p>
              </w:tc>
            </w:tr>
            <w:tr w14:paraId="7110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35" w:type="pct"/>
                  <w:vMerge w:val="restart"/>
                  <w:vAlign w:val="center"/>
                </w:tcPr>
                <w:p w14:paraId="43A5A47D">
                  <w:pPr>
                    <w:adjustRightInd w:val="0"/>
                    <w:snapToGrid w:val="0"/>
                    <w:jc w:val="center"/>
                    <w:rPr>
                      <w:szCs w:val="21"/>
                    </w:rPr>
                  </w:pPr>
                  <w:r>
                    <w:rPr>
                      <w:szCs w:val="21"/>
                    </w:rPr>
                    <w:t>临时工程</w:t>
                  </w:r>
                </w:p>
              </w:tc>
              <w:tc>
                <w:tcPr>
                  <w:tcW w:w="739" w:type="pct"/>
                  <w:gridSpan w:val="2"/>
                  <w:vAlign w:val="center"/>
                </w:tcPr>
                <w:p w14:paraId="1FBC132E">
                  <w:pPr>
                    <w:pStyle w:val="76"/>
                    <w:snapToGrid w:val="0"/>
                    <w:jc w:val="center"/>
                    <w:rPr>
                      <w:kern w:val="2"/>
                      <w:sz w:val="21"/>
                      <w:szCs w:val="21"/>
                    </w:rPr>
                  </w:pPr>
                  <w:r>
                    <w:rPr>
                      <w:kern w:val="2"/>
                      <w:sz w:val="21"/>
                      <w:szCs w:val="21"/>
                    </w:rPr>
                    <w:t>生活区</w:t>
                  </w:r>
                </w:p>
              </w:tc>
              <w:tc>
                <w:tcPr>
                  <w:tcW w:w="4024" w:type="pct"/>
                  <w:vAlign w:val="center"/>
                </w:tcPr>
                <w:p w14:paraId="70AB99F4">
                  <w:pPr>
                    <w:pStyle w:val="76"/>
                    <w:snapToGrid w:val="0"/>
                    <w:jc w:val="center"/>
                    <w:rPr>
                      <w:kern w:val="2"/>
                      <w:sz w:val="21"/>
                      <w:szCs w:val="21"/>
                    </w:rPr>
                  </w:pPr>
                  <w:r>
                    <w:rPr>
                      <w:kern w:val="2"/>
                      <w:sz w:val="21"/>
                      <w:szCs w:val="21"/>
                    </w:rPr>
                    <w:t>包括生产办公室、配电间、厕所、办公室及保安室等</w:t>
                  </w:r>
                </w:p>
              </w:tc>
            </w:tr>
            <w:tr w14:paraId="08BF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35" w:type="pct"/>
                  <w:vMerge w:val="continue"/>
                  <w:vAlign w:val="center"/>
                </w:tcPr>
                <w:p w14:paraId="09A9B8FD">
                  <w:pPr>
                    <w:adjustRightInd w:val="0"/>
                    <w:snapToGrid w:val="0"/>
                    <w:jc w:val="center"/>
                    <w:rPr>
                      <w:szCs w:val="21"/>
                    </w:rPr>
                  </w:pPr>
                </w:p>
              </w:tc>
              <w:tc>
                <w:tcPr>
                  <w:tcW w:w="739" w:type="pct"/>
                  <w:gridSpan w:val="2"/>
                  <w:vAlign w:val="center"/>
                </w:tcPr>
                <w:p w14:paraId="78574255">
                  <w:pPr>
                    <w:pStyle w:val="76"/>
                    <w:snapToGrid w:val="0"/>
                    <w:jc w:val="center"/>
                    <w:rPr>
                      <w:kern w:val="2"/>
                      <w:sz w:val="21"/>
                      <w:szCs w:val="21"/>
                    </w:rPr>
                  </w:pPr>
                  <w:r>
                    <w:rPr>
                      <w:kern w:val="2"/>
                      <w:sz w:val="21"/>
                      <w:szCs w:val="21"/>
                    </w:rPr>
                    <w:t>生产区</w:t>
                  </w:r>
                </w:p>
              </w:tc>
              <w:tc>
                <w:tcPr>
                  <w:tcW w:w="4024" w:type="pct"/>
                  <w:vAlign w:val="center"/>
                </w:tcPr>
                <w:p w14:paraId="0353E7C6">
                  <w:pPr>
                    <w:pStyle w:val="76"/>
                    <w:snapToGrid w:val="0"/>
                    <w:jc w:val="center"/>
                    <w:rPr>
                      <w:kern w:val="2"/>
                      <w:sz w:val="21"/>
                      <w:szCs w:val="21"/>
                    </w:rPr>
                  </w:pPr>
                  <w:r>
                    <w:rPr>
                      <w:kern w:val="2"/>
                      <w:sz w:val="21"/>
                      <w:szCs w:val="21"/>
                    </w:rPr>
                    <w:t>包括临时堆场、临时装配场、临时办公营地。</w:t>
                  </w:r>
                </w:p>
              </w:tc>
            </w:tr>
            <w:tr w14:paraId="7B56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vAlign w:val="center"/>
                </w:tcPr>
                <w:p w14:paraId="699B6D92">
                  <w:pPr>
                    <w:adjustRightInd w:val="0"/>
                    <w:snapToGrid w:val="0"/>
                    <w:jc w:val="center"/>
                    <w:rPr>
                      <w:szCs w:val="21"/>
                    </w:rPr>
                  </w:pPr>
                </w:p>
              </w:tc>
              <w:tc>
                <w:tcPr>
                  <w:tcW w:w="739" w:type="pct"/>
                  <w:gridSpan w:val="2"/>
                  <w:vAlign w:val="center"/>
                </w:tcPr>
                <w:p w14:paraId="3B3AB4BC">
                  <w:pPr>
                    <w:pStyle w:val="76"/>
                    <w:snapToGrid w:val="0"/>
                    <w:jc w:val="center"/>
                    <w:rPr>
                      <w:kern w:val="2"/>
                      <w:sz w:val="21"/>
                      <w:szCs w:val="21"/>
                    </w:rPr>
                  </w:pPr>
                  <w:r>
                    <w:rPr>
                      <w:kern w:val="2"/>
                      <w:sz w:val="21"/>
                      <w:szCs w:val="21"/>
                    </w:rPr>
                    <w:t>临时道路</w:t>
                  </w:r>
                </w:p>
              </w:tc>
              <w:tc>
                <w:tcPr>
                  <w:tcW w:w="4024" w:type="pct"/>
                  <w:vAlign w:val="center"/>
                </w:tcPr>
                <w:p w14:paraId="4328F927">
                  <w:pPr>
                    <w:pStyle w:val="76"/>
                    <w:snapToGrid w:val="0"/>
                    <w:jc w:val="center"/>
                    <w:rPr>
                      <w:kern w:val="2"/>
                      <w:sz w:val="21"/>
                      <w:szCs w:val="21"/>
                    </w:rPr>
                  </w:pPr>
                  <w:r>
                    <w:rPr>
                      <w:kern w:val="2"/>
                      <w:sz w:val="21"/>
                      <w:szCs w:val="21"/>
                    </w:rPr>
                    <w:t>施工道路充分利用现有乡村道路，不能满足要求的进行拓宽处理，以方便材料、设备等其他物资的运输。</w:t>
                  </w:r>
                </w:p>
              </w:tc>
            </w:tr>
          </w:tbl>
          <w:p w14:paraId="0EBAFC99">
            <w:pPr>
              <w:jc w:val="center"/>
              <w:rPr>
                <w:b/>
                <w:bCs/>
                <w:sz w:val="24"/>
              </w:rPr>
            </w:pPr>
            <w:r>
              <w:rPr>
                <w:b/>
                <w:bCs/>
                <w:sz w:val="24"/>
              </w:rPr>
              <w:t>表2-</w:t>
            </w:r>
            <w:r>
              <w:rPr>
                <w:rFonts w:hint="eastAsia"/>
                <w:b/>
                <w:bCs/>
                <w:sz w:val="24"/>
                <w:lang w:val="en-US" w:eastAsia="zh-CN"/>
              </w:rPr>
              <w:t>3</w:t>
            </w:r>
            <w:r>
              <w:rPr>
                <w:b/>
                <w:bCs/>
                <w:sz w:val="24"/>
              </w:rPr>
              <w:t xml:space="preserve">  项目主要技术指标一览表</w:t>
            </w:r>
          </w:p>
          <w:tbl>
            <w:tblPr>
              <w:tblStyle w:val="3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53"/>
              <w:gridCol w:w="2183"/>
              <w:gridCol w:w="4734"/>
            </w:tblGrid>
            <w:tr w14:paraId="5C6B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3770" w:type="dxa"/>
                  <w:gridSpan w:val="3"/>
                  <w:tcBorders>
                    <w:tl2br w:val="nil"/>
                    <w:tr2bl w:val="nil"/>
                  </w:tcBorders>
                  <w:vAlign w:val="center"/>
                </w:tcPr>
                <w:p w14:paraId="0CF53101">
                  <w:pPr>
                    <w:pStyle w:val="76"/>
                    <w:spacing w:before="76"/>
                    <w:ind w:left="5"/>
                    <w:jc w:val="center"/>
                    <w:rPr>
                      <w:kern w:val="2"/>
                      <w:sz w:val="21"/>
                      <w:szCs w:val="21"/>
                    </w:rPr>
                  </w:pPr>
                  <w:r>
                    <w:rPr>
                      <w:kern w:val="2"/>
                      <w:sz w:val="21"/>
                      <w:szCs w:val="21"/>
                    </w:rPr>
                    <w:t>指标</w:t>
                  </w:r>
                </w:p>
              </w:tc>
              <w:tc>
                <w:tcPr>
                  <w:tcW w:w="4734" w:type="dxa"/>
                  <w:tcBorders>
                    <w:tl2br w:val="nil"/>
                    <w:tr2bl w:val="nil"/>
                  </w:tcBorders>
                  <w:vAlign w:val="center"/>
                </w:tcPr>
                <w:p w14:paraId="38EBEFBF">
                  <w:pPr>
                    <w:pStyle w:val="76"/>
                    <w:spacing w:before="76"/>
                    <w:ind w:left="5"/>
                    <w:jc w:val="center"/>
                    <w:rPr>
                      <w:kern w:val="2"/>
                      <w:sz w:val="21"/>
                      <w:szCs w:val="21"/>
                    </w:rPr>
                  </w:pPr>
                  <w:r>
                    <w:rPr>
                      <w:kern w:val="2"/>
                      <w:sz w:val="21"/>
                      <w:szCs w:val="21"/>
                    </w:rPr>
                    <w:t>数量</w:t>
                  </w:r>
                </w:p>
              </w:tc>
            </w:tr>
            <w:tr w14:paraId="1518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jc w:val="center"/>
              </w:trPr>
              <w:tc>
                <w:tcPr>
                  <w:tcW w:w="534" w:type="dxa"/>
                  <w:tcBorders>
                    <w:tl2br w:val="nil"/>
                    <w:tr2bl w:val="nil"/>
                  </w:tcBorders>
                  <w:vAlign w:val="center"/>
                </w:tcPr>
                <w:p w14:paraId="08105ABC">
                  <w:pPr>
                    <w:pStyle w:val="76"/>
                    <w:spacing w:before="76"/>
                    <w:ind w:left="5"/>
                    <w:jc w:val="center"/>
                    <w:rPr>
                      <w:kern w:val="2"/>
                      <w:sz w:val="21"/>
                      <w:szCs w:val="21"/>
                    </w:rPr>
                  </w:pPr>
                  <w:r>
                    <w:rPr>
                      <w:kern w:val="2"/>
                      <w:sz w:val="21"/>
                      <w:szCs w:val="21"/>
                    </w:rPr>
                    <w:t>1</w:t>
                  </w:r>
                </w:p>
              </w:tc>
              <w:tc>
                <w:tcPr>
                  <w:tcW w:w="1053" w:type="dxa"/>
                  <w:tcBorders>
                    <w:tl2br w:val="nil"/>
                    <w:tr2bl w:val="nil"/>
                  </w:tcBorders>
                  <w:vAlign w:val="center"/>
                </w:tcPr>
                <w:p w14:paraId="15FF7C63">
                  <w:pPr>
                    <w:pStyle w:val="76"/>
                    <w:spacing w:before="76"/>
                    <w:ind w:left="5"/>
                    <w:jc w:val="center"/>
                    <w:rPr>
                      <w:kern w:val="2"/>
                      <w:sz w:val="21"/>
                      <w:szCs w:val="21"/>
                    </w:rPr>
                  </w:pPr>
                  <w:r>
                    <w:rPr>
                      <w:kern w:val="2"/>
                      <w:sz w:val="21"/>
                      <w:szCs w:val="21"/>
                    </w:rPr>
                    <w:t>装机容量</w:t>
                  </w:r>
                </w:p>
              </w:tc>
              <w:tc>
                <w:tcPr>
                  <w:tcW w:w="2183" w:type="dxa"/>
                  <w:tcBorders>
                    <w:tl2br w:val="nil"/>
                    <w:tr2bl w:val="nil"/>
                  </w:tcBorders>
                  <w:vAlign w:val="center"/>
                </w:tcPr>
                <w:p w14:paraId="767A679E">
                  <w:pPr>
                    <w:pStyle w:val="76"/>
                    <w:spacing w:before="76"/>
                    <w:ind w:left="5"/>
                    <w:jc w:val="center"/>
                    <w:rPr>
                      <w:kern w:val="2"/>
                      <w:sz w:val="21"/>
                      <w:szCs w:val="21"/>
                    </w:rPr>
                  </w:pPr>
                  <w:r>
                    <w:rPr>
                      <w:kern w:val="2"/>
                      <w:sz w:val="21"/>
                      <w:szCs w:val="21"/>
                    </w:rPr>
                    <w:t>直流侧容量</w:t>
                  </w:r>
                </w:p>
              </w:tc>
              <w:tc>
                <w:tcPr>
                  <w:tcW w:w="4734" w:type="dxa"/>
                  <w:tcBorders>
                    <w:tl2br w:val="nil"/>
                    <w:tr2bl w:val="nil"/>
                  </w:tcBorders>
                  <w:vAlign w:val="center"/>
                </w:tcPr>
                <w:p w14:paraId="0880BC3C">
                  <w:pPr>
                    <w:pStyle w:val="76"/>
                    <w:spacing w:before="76"/>
                    <w:ind w:left="5"/>
                    <w:jc w:val="center"/>
                    <w:rPr>
                      <w:kern w:val="2"/>
                      <w:sz w:val="21"/>
                      <w:szCs w:val="21"/>
                    </w:rPr>
                  </w:pPr>
                  <w:r>
                    <w:rPr>
                      <w:rFonts w:hint="eastAsia"/>
                      <w:kern w:val="2"/>
                      <w:sz w:val="21"/>
                      <w:szCs w:val="21"/>
                      <w:lang w:eastAsia="zh-CN"/>
                    </w:rPr>
                    <w:t>286.31048</w:t>
                  </w:r>
                  <w:r>
                    <w:rPr>
                      <w:kern w:val="2"/>
                      <w:sz w:val="21"/>
                      <w:szCs w:val="21"/>
                    </w:rPr>
                    <w:t>MW</w:t>
                  </w:r>
                </w:p>
              </w:tc>
            </w:tr>
            <w:tr w14:paraId="17E3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534" w:type="dxa"/>
                  <w:tcBorders>
                    <w:tl2br w:val="nil"/>
                    <w:tr2bl w:val="nil"/>
                  </w:tcBorders>
                  <w:vAlign w:val="center"/>
                </w:tcPr>
                <w:p w14:paraId="5E2026D2">
                  <w:pPr>
                    <w:pStyle w:val="76"/>
                    <w:spacing w:before="76"/>
                    <w:ind w:left="5"/>
                    <w:jc w:val="center"/>
                    <w:rPr>
                      <w:kern w:val="2"/>
                      <w:sz w:val="21"/>
                      <w:szCs w:val="21"/>
                    </w:rPr>
                  </w:pPr>
                  <w:r>
                    <w:rPr>
                      <w:kern w:val="2"/>
                      <w:sz w:val="21"/>
                      <w:szCs w:val="21"/>
                    </w:rPr>
                    <w:t>2</w:t>
                  </w:r>
                </w:p>
              </w:tc>
              <w:tc>
                <w:tcPr>
                  <w:tcW w:w="3236" w:type="dxa"/>
                  <w:gridSpan w:val="2"/>
                  <w:tcBorders>
                    <w:tl2br w:val="nil"/>
                    <w:tr2bl w:val="nil"/>
                  </w:tcBorders>
                  <w:vAlign w:val="center"/>
                </w:tcPr>
                <w:p w14:paraId="3A1C8BAF">
                  <w:pPr>
                    <w:pStyle w:val="76"/>
                    <w:spacing w:before="76"/>
                    <w:ind w:left="5"/>
                    <w:jc w:val="center"/>
                    <w:rPr>
                      <w:kern w:val="2"/>
                      <w:sz w:val="21"/>
                      <w:szCs w:val="21"/>
                    </w:rPr>
                  </w:pPr>
                  <w:r>
                    <w:rPr>
                      <w:kern w:val="2"/>
                      <w:sz w:val="21"/>
                      <w:szCs w:val="21"/>
                    </w:rPr>
                    <w:t>永久占地（升压站）</w:t>
                  </w:r>
                </w:p>
              </w:tc>
              <w:tc>
                <w:tcPr>
                  <w:tcW w:w="4734" w:type="dxa"/>
                  <w:tcBorders>
                    <w:tl2br w:val="nil"/>
                    <w:tr2bl w:val="nil"/>
                  </w:tcBorders>
                  <w:vAlign w:val="center"/>
                </w:tcPr>
                <w:p w14:paraId="7BC09D44">
                  <w:pPr>
                    <w:pStyle w:val="76"/>
                    <w:spacing w:before="76"/>
                    <w:ind w:left="5"/>
                    <w:jc w:val="center"/>
                    <w:rPr>
                      <w:kern w:val="2"/>
                      <w:sz w:val="21"/>
                      <w:szCs w:val="21"/>
                    </w:rPr>
                  </w:pPr>
                  <w:r>
                    <w:rPr>
                      <w:rFonts w:hint="eastAsia"/>
                      <w:kern w:val="2"/>
                      <w:sz w:val="21"/>
                      <w:szCs w:val="21"/>
                      <w:lang w:val="en-US" w:eastAsia="zh-CN"/>
                    </w:rPr>
                    <w:t>22</w:t>
                  </w:r>
                  <w:r>
                    <w:rPr>
                      <w:rFonts w:hint="eastAsia"/>
                      <w:kern w:val="2"/>
                      <w:sz w:val="21"/>
                      <w:szCs w:val="21"/>
                    </w:rPr>
                    <w:t>亩</w:t>
                  </w:r>
                </w:p>
              </w:tc>
            </w:tr>
            <w:tr w14:paraId="4C45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34" w:type="dxa"/>
                  <w:tcBorders>
                    <w:tl2br w:val="nil"/>
                    <w:tr2bl w:val="nil"/>
                  </w:tcBorders>
                  <w:vAlign w:val="center"/>
                </w:tcPr>
                <w:p w14:paraId="7F346E42">
                  <w:pPr>
                    <w:pStyle w:val="76"/>
                    <w:spacing w:before="76"/>
                    <w:ind w:left="5"/>
                    <w:jc w:val="center"/>
                    <w:rPr>
                      <w:kern w:val="2"/>
                      <w:sz w:val="21"/>
                      <w:szCs w:val="21"/>
                    </w:rPr>
                  </w:pPr>
                  <w:r>
                    <w:rPr>
                      <w:kern w:val="2"/>
                      <w:sz w:val="21"/>
                      <w:szCs w:val="21"/>
                    </w:rPr>
                    <w:t>3</w:t>
                  </w:r>
                </w:p>
              </w:tc>
              <w:tc>
                <w:tcPr>
                  <w:tcW w:w="3236" w:type="dxa"/>
                  <w:gridSpan w:val="2"/>
                  <w:tcBorders>
                    <w:tl2br w:val="nil"/>
                    <w:tr2bl w:val="nil"/>
                  </w:tcBorders>
                  <w:vAlign w:val="center"/>
                </w:tcPr>
                <w:p w14:paraId="1769D8EC">
                  <w:pPr>
                    <w:pStyle w:val="76"/>
                    <w:spacing w:before="76"/>
                    <w:ind w:left="5"/>
                    <w:jc w:val="center"/>
                    <w:rPr>
                      <w:kern w:val="2"/>
                      <w:sz w:val="21"/>
                      <w:szCs w:val="21"/>
                    </w:rPr>
                  </w:pPr>
                  <w:r>
                    <w:rPr>
                      <w:kern w:val="2"/>
                      <w:sz w:val="21"/>
                      <w:szCs w:val="21"/>
                    </w:rPr>
                    <w:t>年均等效满负荷利用小时数</w:t>
                  </w:r>
                </w:p>
              </w:tc>
              <w:tc>
                <w:tcPr>
                  <w:tcW w:w="4734" w:type="dxa"/>
                  <w:tcBorders>
                    <w:tl2br w:val="nil"/>
                    <w:tr2bl w:val="nil"/>
                  </w:tcBorders>
                  <w:vAlign w:val="center"/>
                </w:tcPr>
                <w:p w14:paraId="36A74409">
                  <w:pPr>
                    <w:pStyle w:val="76"/>
                    <w:spacing w:before="76"/>
                    <w:ind w:left="5"/>
                    <w:jc w:val="center"/>
                    <w:rPr>
                      <w:kern w:val="2"/>
                      <w:sz w:val="21"/>
                      <w:szCs w:val="21"/>
                    </w:rPr>
                  </w:pPr>
                  <w:r>
                    <w:rPr>
                      <w:rFonts w:hint="eastAsia"/>
                      <w:kern w:val="2"/>
                      <w:sz w:val="21"/>
                      <w:szCs w:val="21"/>
                      <w:lang w:val="en-US" w:eastAsia="zh-CN"/>
                    </w:rPr>
                    <w:t>1207.4h</w:t>
                  </w:r>
                </w:p>
              </w:tc>
            </w:tr>
            <w:tr w14:paraId="02D2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34" w:type="dxa"/>
                  <w:tcBorders>
                    <w:tl2br w:val="nil"/>
                    <w:tr2bl w:val="nil"/>
                  </w:tcBorders>
                  <w:vAlign w:val="center"/>
                </w:tcPr>
                <w:p w14:paraId="213CF739">
                  <w:pPr>
                    <w:pStyle w:val="76"/>
                    <w:spacing w:before="76"/>
                    <w:ind w:left="5"/>
                    <w:jc w:val="center"/>
                    <w:rPr>
                      <w:kern w:val="2"/>
                      <w:sz w:val="21"/>
                      <w:szCs w:val="21"/>
                    </w:rPr>
                  </w:pPr>
                  <w:r>
                    <w:rPr>
                      <w:kern w:val="2"/>
                      <w:sz w:val="21"/>
                      <w:szCs w:val="21"/>
                    </w:rPr>
                    <w:t>4</w:t>
                  </w:r>
                </w:p>
              </w:tc>
              <w:tc>
                <w:tcPr>
                  <w:tcW w:w="3236" w:type="dxa"/>
                  <w:gridSpan w:val="2"/>
                  <w:tcBorders>
                    <w:tl2br w:val="nil"/>
                    <w:tr2bl w:val="nil"/>
                  </w:tcBorders>
                  <w:vAlign w:val="center"/>
                </w:tcPr>
                <w:p w14:paraId="41E5C4E6">
                  <w:pPr>
                    <w:pStyle w:val="76"/>
                    <w:spacing w:before="76"/>
                    <w:ind w:left="5"/>
                    <w:jc w:val="center"/>
                    <w:rPr>
                      <w:kern w:val="2"/>
                      <w:sz w:val="21"/>
                      <w:szCs w:val="21"/>
                    </w:rPr>
                  </w:pPr>
                  <w:r>
                    <w:rPr>
                      <w:kern w:val="2"/>
                      <w:sz w:val="21"/>
                      <w:szCs w:val="21"/>
                    </w:rPr>
                    <w:t>光伏组件</w:t>
                  </w:r>
                </w:p>
              </w:tc>
              <w:tc>
                <w:tcPr>
                  <w:tcW w:w="4734" w:type="dxa"/>
                  <w:tcBorders>
                    <w:tl2br w:val="nil"/>
                    <w:tr2bl w:val="nil"/>
                  </w:tcBorders>
                  <w:vAlign w:val="center"/>
                </w:tcPr>
                <w:p w14:paraId="05A1607E">
                  <w:pPr>
                    <w:pStyle w:val="76"/>
                    <w:spacing w:before="76"/>
                    <w:ind w:left="5"/>
                    <w:jc w:val="center"/>
                    <w:rPr>
                      <w:kern w:val="2"/>
                      <w:sz w:val="21"/>
                      <w:szCs w:val="21"/>
                    </w:rPr>
                  </w:pPr>
                  <w:r>
                    <w:rPr>
                      <w:rFonts w:hint="eastAsia"/>
                      <w:kern w:val="2"/>
                      <w:sz w:val="21"/>
                      <w:szCs w:val="21"/>
                      <w:lang w:eastAsia="zh-CN"/>
                    </w:rPr>
                    <w:t>485272</w:t>
                  </w:r>
                  <w:r>
                    <w:rPr>
                      <w:kern w:val="2"/>
                      <w:sz w:val="21"/>
                      <w:szCs w:val="21"/>
                    </w:rPr>
                    <w:t>块</w:t>
                  </w:r>
                </w:p>
              </w:tc>
            </w:tr>
            <w:tr w14:paraId="593F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34" w:type="dxa"/>
                  <w:tcBorders>
                    <w:tl2br w:val="nil"/>
                    <w:tr2bl w:val="nil"/>
                  </w:tcBorders>
                  <w:vAlign w:val="center"/>
                </w:tcPr>
                <w:p w14:paraId="33AB29AE">
                  <w:pPr>
                    <w:pStyle w:val="76"/>
                    <w:spacing w:before="76"/>
                    <w:ind w:left="5"/>
                    <w:jc w:val="center"/>
                    <w:rPr>
                      <w:kern w:val="2"/>
                      <w:sz w:val="21"/>
                      <w:szCs w:val="21"/>
                    </w:rPr>
                  </w:pPr>
                  <w:r>
                    <w:rPr>
                      <w:kern w:val="2"/>
                      <w:sz w:val="21"/>
                      <w:szCs w:val="21"/>
                    </w:rPr>
                    <w:t>5</w:t>
                  </w:r>
                </w:p>
              </w:tc>
              <w:tc>
                <w:tcPr>
                  <w:tcW w:w="3236" w:type="dxa"/>
                  <w:gridSpan w:val="2"/>
                  <w:tcBorders>
                    <w:tl2br w:val="nil"/>
                    <w:tr2bl w:val="nil"/>
                  </w:tcBorders>
                  <w:vAlign w:val="center"/>
                </w:tcPr>
                <w:p w14:paraId="03E1EF82">
                  <w:pPr>
                    <w:pStyle w:val="76"/>
                    <w:spacing w:before="76"/>
                    <w:ind w:left="5"/>
                    <w:jc w:val="center"/>
                    <w:rPr>
                      <w:kern w:val="2"/>
                      <w:sz w:val="21"/>
                      <w:szCs w:val="21"/>
                    </w:rPr>
                  </w:pPr>
                  <w:r>
                    <w:rPr>
                      <w:kern w:val="2"/>
                      <w:sz w:val="21"/>
                      <w:szCs w:val="21"/>
                    </w:rPr>
                    <w:t>年平均太阳辐射</w:t>
                  </w:r>
                </w:p>
              </w:tc>
              <w:tc>
                <w:tcPr>
                  <w:tcW w:w="4734" w:type="dxa"/>
                  <w:tcBorders>
                    <w:tl2br w:val="nil"/>
                    <w:tr2bl w:val="nil"/>
                  </w:tcBorders>
                  <w:vAlign w:val="center"/>
                </w:tcPr>
                <w:p w14:paraId="4903BC70">
                  <w:pPr>
                    <w:pStyle w:val="76"/>
                    <w:spacing w:before="76"/>
                    <w:ind w:left="5"/>
                    <w:jc w:val="center"/>
                    <w:rPr>
                      <w:kern w:val="2"/>
                      <w:sz w:val="21"/>
                      <w:szCs w:val="21"/>
                    </w:rPr>
                  </w:pPr>
                  <w:r>
                    <w:rPr>
                      <w:rFonts w:hint="eastAsia"/>
                      <w:kern w:val="2"/>
                      <w:sz w:val="21"/>
                      <w:szCs w:val="21"/>
                      <w:lang w:eastAsia="zh-CN"/>
                    </w:rPr>
                    <w:t>5085.4M</w:t>
                  </w:r>
                  <w:r>
                    <w:rPr>
                      <w:kern w:val="2"/>
                      <w:sz w:val="21"/>
                      <w:szCs w:val="21"/>
                    </w:rPr>
                    <w:t>J/m</w:t>
                  </w:r>
                  <w:r>
                    <w:rPr>
                      <w:kern w:val="2"/>
                      <w:sz w:val="21"/>
                      <w:szCs w:val="21"/>
                      <w:vertAlign w:val="superscript"/>
                    </w:rPr>
                    <w:t>2</w:t>
                  </w:r>
                </w:p>
              </w:tc>
            </w:tr>
            <w:tr w14:paraId="7506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34" w:type="dxa"/>
                  <w:tcBorders>
                    <w:tl2br w:val="nil"/>
                    <w:tr2bl w:val="nil"/>
                  </w:tcBorders>
                  <w:vAlign w:val="center"/>
                </w:tcPr>
                <w:p w14:paraId="4044981A">
                  <w:pPr>
                    <w:pStyle w:val="76"/>
                    <w:spacing w:before="76"/>
                    <w:ind w:left="5"/>
                    <w:jc w:val="center"/>
                    <w:rPr>
                      <w:kern w:val="2"/>
                      <w:sz w:val="21"/>
                      <w:szCs w:val="21"/>
                    </w:rPr>
                  </w:pPr>
                  <w:r>
                    <w:rPr>
                      <w:kern w:val="2"/>
                      <w:sz w:val="21"/>
                      <w:szCs w:val="21"/>
                    </w:rPr>
                    <w:t>6</w:t>
                  </w:r>
                </w:p>
              </w:tc>
              <w:tc>
                <w:tcPr>
                  <w:tcW w:w="3236" w:type="dxa"/>
                  <w:gridSpan w:val="2"/>
                  <w:tcBorders>
                    <w:tl2br w:val="nil"/>
                    <w:tr2bl w:val="nil"/>
                  </w:tcBorders>
                  <w:vAlign w:val="center"/>
                </w:tcPr>
                <w:p w14:paraId="3D2BC658">
                  <w:pPr>
                    <w:pStyle w:val="76"/>
                    <w:spacing w:before="76"/>
                    <w:ind w:left="5"/>
                    <w:jc w:val="center"/>
                    <w:rPr>
                      <w:kern w:val="2"/>
                      <w:sz w:val="21"/>
                      <w:szCs w:val="21"/>
                    </w:rPr>
                  </w:pPr>
                  <w:r>
                    <w:rPr>
                      <w:kern w:val="2"/>
                      <w:sz w:val="21"/>
                      <w:szCs w:val="21"/>
                    </w:rPr>
                    <w:t>年平均上网电量</w:t>
                  </w:r>
                </w:p>
              </w:tc>
              <w:tc>
                <w:tcPr>
                  <w:tcW w:w="4734" w:type="dxa"/>
                  <w:tcBorders>
                    <w:tl2br w:val="nil"/>
                    <w:tr2bl w:val="nil"/>
                  </w:tcBorders>
                  <w:vAlign w:val="center"/>
                </w:tcPr>
                <w:p w14:paraId="2795F969">
                  <w:pPr>
                    <w:pStyle w:val="76"/>
                    <w:spacing w:before="76"/>
                    <w:ind w:left="5"/>
                    <w:jc w:val="center"/>
                    <w:rPr>
                      <w:kern w:val="2"/>
                      <w:sz w:val="21"/>
                      <w:szCs w:val="21"/>
                    </w:rPr>
                  </w:pPr>
                  <w:r>
                    <w:rPr>
                      <w:rFonts w:hint="eastAsia"/>
                      <w:kern w:val="2"/>
                      <w:sz w:val="21"/>
                      <w:szCs w:val="21"/>
                    </w:rPr>
                    <w:t>34569.95</w:t>
                  </w:r>
                  <w:r>
                    <w:rPr>
                      <w:kern w:val="2"/>
                      <w:sz w:val="21"/>
                      <w:szCs w:val="21"/>
                    </w:rPr>
                    <w:t>万kWh</w:t>
                  </w:r>
                </w:p>
              </w:tc>
            </w:tr>
            <w:tr w14:paraId="335B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34" w:type="dxa"/>
                  <w:tcBorders>
                    <w:tl2br w:val="nil"/>
                    <w:tr2bl w:val="nil"/>
                  </w:tcBorders>
                  <w:vAlign w:val="center"/>
                </w:tcPr>
                <w:p w14:paraId="045CAC43">
                  <w:pPr>
                    <w:pStyle w:val="76"/>
                    <w:spacing w:before="76"/>
                    <w:ind w:left="5"/>
                    <w:jc w:val="center"/>
                    <w:rPr>
                      <w:kern w:val="2"/>
                      <w:sz w:val="21"/>
                      <w:szCs w:val="21"/>
                    </w:rPr>
                  </w:pPr>
                  <w:r>
                    <w:rPr>
                      <w:kern w:val="2"/>
                      <w:sz w:val="21"/>
                      <w:szCs w:val="21"/>
                    </w:rPr>
                    <w:t>7</w:t>
                  </w:r>
                </w:p>
              </w:tc>
              <w:tc>
                <w:tcPr>
                  <w:tcW w:w="3236" w:type="dxa"/>
                  <w:gridSpan w:val="2"/>
                  <w:tcBorders>
                    <w:tl2br w:val="nil"/>
                    <w:tr2bl w:val="nil"/>
                  </w:tcBorders>
                  <w:vAlign w:val="center"/>
                </w:tcPr>
                <w:p w14:paraId="354B65E3">
                  <w:pPr>
                    <w:pStyle w:val="76"/>
                    <w:spacing w:before="76"/>
                    <w:ind w:left="5"/>
                    <w:jc w:val="center"/>
                    <w:rPr>
                      <w:kern w:val="2"/>
                      <w:sz w:val="21"/>
                      <w:szCs w:val="21"/>
                    </w:rPr>
                  </w:pPr>
                  <w:r>
                    <w:rPr>
                      <w:kern w:val="2"/>
                      <w:sz w:val="21"/>
                      <w:szCs w:val="21"/>
                    </w:rPr>
                    <w:t>项目投资内基准收益率</w:t>
                  </w:r>
                </w:p>
              </w:tc>
              <w:tc>
                <w:tcPr>
                  <w:tcW w:w="4734" w:type="dxa"/>
                  <w:tcBorders>
                    <w:tl2br w:val="nil"/>
                    <w:tr2bl w:val="nil"/>
                  </w:tcBorders>
                  <w:vAlign w:val="center"/>
                </w:tcPr>
                <w:p w14:paraId="75301460">
                  <w:pPr>
                    <w:pStyle w:val="76"/>
                    <w:spacing w:before="76"/>
                    <w:ind w:left="5"/>
                    <w:jc w:val="center"/>
                    <w:rPr>
                      <w:kern w:val="2"/>
                      <w:sz w:val="21"/>
                      <w:szCs w:val="21"/>
                    </w:rPr>
                  </w:pPr>
                  <w:r>
                    <w:rPr>
                      <w:kern w:val="2"/>
                      <w:sz w:val="21"/>
                      <w:szCs w:val="21"/>
                    </w:rPr>
                    <w:t>6.40%</w:t>
                  </w:r>
                </w:p>
              </w:tc>
            </w:tr>
            <w:tr w14:paraId="5DAB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34" w:type="dxa"/>
                  <w:tcBorders>
                    <w:tl2br w:val="nil"/>
                    <w:tr2bl w:val="nil"/>
                  </w:tcBorders>
                  <w:vAlign w:val="center"/>
                </w:tcPr>
                <w:p w14:paraId="3CD545FA">
                  <w:pPr>
                    <w:pStyle w:val="76"/>
                    <w:spacing w:before="76"/>
                    <w:ind w:left="5"/>
                    <w:jc w:val="center"/>
                    <w:rPr>
                      <w:kern w:val="2"/>
                      <w:sz w:val="21"/>
                      <w:szCs w:val="21"/>
                    </w:rPr>
                  </w:pPr>
                  <w:r>
                    <w:rPr>
                      <w:kern w:val="2"/>
                      <w:sz w:val="21"/>
                      <w:szCs w:val="21"/>
                    </w:rPr>
                    <w:t>8</w:t>
                  </w:r>
                </w:p>
              </w:tc>
              <w:tc>
                <w:tcPr>
                  <w:tcW w:w="3236" w:type="dxa"/>
                  <w:gridSpan w:val="2"/>
                  <w:tcBorders>
                    <w:tl2br w:val="nil"/>
                    <w:tr2bl w:val="nil"/>
                  </w:tcBorders>
                  <w:vAlign w:val="center"/>
                </w:tcPr>
                <w:p w14:paraId="06A441F3">
                  <w:pPr>
                    <w:pStyle w:val="76"/>
                    <w:spacing w:before="76"/>
                    <w:ind w:left="5"/>
                    <w:jc w:val="center"/>
                    <w:rPr>
                      <w:rFonts w:hint="eastAsia" w:eastAsia="宋体"/>
                      <w:kern w:val="2"/>
                      <w:sz w:val="21"/>
                      <w:szCs w:val="21"/>
                      <w:lang w:eastAsia="zh-CN"/>
                    </w:rPr>
                  </w:pPr>
                  <w:r>
                    <w:rPr>
                      <w:kern w:val="2"/>
                      <w:sz w:val="21"/>
                      <w:szCs w:val="21"/>
                    </w:rPr>
                    <w:t>资本金财务内部收益率</w:t>
                  </w:r>
                  <w:r>
                    <w:rPr>
                      <w:rFonts w:hint="eastAsia"/>
                      <w:kern w:val="2"/>
                      <w:sz w:val="21"/>
                      <w:szCs w:val="21"/>
                      <w:lang w:eastAsia="zh-CN"/>
                    </w:rPr>
                    <w:t>（</w:t>
                  </w:r>
                  <w:r>
                    <w:rPr>
                      <w:rFonts w:hint="eastAsia"/>
                      <w:kern w:val="2"/>
                      <w:sz w:val="21"/>
                      <w:szCs w:val="21"/>
                    </w:rPr>
                    <w:t>税前</w:t>
                  </w:r>
                  <w:r>
                    <w:rPr>
                      <w:rFonts w:hint="eastAsia"/>
                      <w:kern w:val="2"/>
                      <w:sz w:val="21"/>
                      <w:szCs w:val="21"/>
                      <w:lang w:eastAsia="zh-CN"/>
                    </w:rPr>
                    <w:t>）</w:t>
                  </w:r>
                </w:p>
              </w:tc>
              <w:tc>
                <w:tcPr>
                  <w:tcW w:w="4734" w:type="dxa"/>
                  <w:tcBorders>
                    <w:tl2br w:val="nil"/>
                    <w:tr2bl w:val="nil"/>
                  </w:tcBorders>
                  <w:vAlign w:val="center"/>
                </w:tcPr>
                <w:p w14:paraId="03337634">
                  <w:pPr>
                    <w:pStyle w:val="76"/>
                    <w:spacing w:before="76"/>
                    <w:ind w:left="5"/>
                    <w:jc w:val="center"/>
                    <w:rPr>
                      <w:kern w:val="2"/>
                      <w:sz w:val="21"/>
                      <w:szCs w:val="21"/>
                    </w:rPr>
                  </w:pPr>
                  <w:r>
                    <w:rPr>
                      <w:rFonts w:hint="eastAsia"/>
                      <w:kern w:val="2"/>
                      <w:sz w:val="21"/>
                      <w:szCs w:val="21"/>
                      <w:lang w:val="en-US" w:eastAsia="zh-CN"/>
                    </w:rPr>
                    <w:t>8.22</w:t>
                  </w:r>
                  <w:r>
                    <w:rPr>
                      <w:kern w:val="2"/>
                      <w:sz w:val="21"/>
                      <w:szCs w:val="21"/>
                    </w:rPr>
                    <w:t>%</w:t>
                  </w:r>
                </w:p>
              </w:tc>
            </w:tr>
            <w:tr w14:paraId="22AC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34" w:type="dxa"/>
                  <w:tcBorders>
                    <w:tl2br w:val="nil"/>
                    <w:tr2bl w:val="nil"/>
                  </w:tcBorders>
                  <w:vAlign w:val="center"/>
                </w:tcPr>
                <w:p w14:paraId="62A1C904">
                  <w:pPr>
                    <w:pStyle w:val="76"/>
                    <w:spacing w:before="76"/>
                    <w:ind w:left="5"/>
                    <w:jc w:val="center"/>
                    <w:rPr>
                      <w:kern w:val="2"/>
                      <w:sz w:val="21"/>
                      <w:szCs w:val="21"/>
                    </w:rPr>
                  </w:pPr>
                  <w:r>
                    <w:rPr>
                      <w:kern w:val="2"/>
                      <w:sz w:val="21"/>
                      <w:szCs w:val="21"/>
                    </w:rPr>
                    <w:t>9</w:t>
                  </w:r>
                </w:p>
              </w:tc>
              <w:tc>
                <w:tcPr>
                  <w:tcW w:w="3236" w:type="dxa"/>
                  <w:gridSpan w:val="2"/>
                  <w:tcBorders>
                    <w:tl2br w:val="nil"/>
                    <w:tr2bl w:val="nil"/>
                  </w:tcBorders>
                  <w:vAlign w:val="center"/>
                </w:tcPr>
                <w:p w14:paraId="2ED9EEFD">
                  <w:pPr>
                    <w:pStyle w:val="76"/>
                    <w:spacing w:before="76"/>
                    <w:ind w:left="5"/>
                    <w:jc w:val="center"/>
                    <w:rPr>
                      <w:kern w:val="2"/>
                      <w:sz w:val="21"/>
                      <w:szCs w:val="21"/>
                    </w:rPr>
                  </w:pPr>
                  <w:r>
                    <w:rPr>
                      <w:kern w:val="2"/>
                      <w:sz w:val="21"/>
                      <w:szCs w:val="21"/>
                    </w:rPr>
                    <w:t>投资回收期</w:t>
                  </w:r>
                </w:p>
              </w:tc>
              <w:tc>
                <w:tcPr>
                  <w:tcW w:w="4734" w:type="dxa"/>
                  <w:tcBorders>
                    <w:tl2br w:val="nil"/>
                    <w:tr2bl w:val="nil"/>
                  </w:tcBorders>
                  <w:vAlign w:val="center"/>
                </w:tcPr>
                <w:p w14:paraId="65BEC8D8">
                  <w:pPr>
                    <w:pStyle w:val="76"/>
                    <w:spacing w:before="76"/>
                    <w:ind w:left="5"/>
                    <w:jc w:val="center"/>
                    <w:rPr>
                      <w:kern w:val="2"/>
                      <w:sz w:val="21"/>
                      <w:szCs w:val="21"/>
                    </w:rPr>
                  </w:pPr>
                  <w:r>
                    <w:rPr>
                      <w:kern w:val="2"/>
                      <w:sz w:val="21"/>
                      <w:szCs w:val="21"/>
                    </w:rPr>
                    <w:t>11.</w:t>
                  </w:r>
                  <w:r>
                    <w:rPr>
                      <w:rFonts w:hint="eastAsia"/>
                      <w:kern w:val="2"/>
                      <w:sz w:val="21"/>
                      <w:szCs w:val="21"/>
                      <w:lang w:val="en-US" w:eastAsia="zh-CN"/>
                    </w:rPr>
                    <w:t>76</w:t>
                  </w:r>
                  <w:r>
                    <w:rPr>
                      <w:kern w:val="2"/>
                      <w:sz w:val="21"/>
                      <w:szCs w:val="21"/>
                    </w:rPr>
                    <w:t>年</w:t>
                  </w:r>
                </w:p>
              </w:tc>
            </w:tr>
            <w:tr w14:paraId="1DB6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534" w:type="dxa"/>
                  <w:tcBorders>
                    <w:tl2br w:val="nil"/>
                    <w:tr2bl w:val="nil"/>
                  </w:tcBorders>
                  <w:vAlign w:val="center"/>
                </w:tcPr>
                <w:p w14:paraId="3C7CEB20">
                  <w:pPr>
                    <w:pStyle w:val="76"/>
                    <w:spacing w:before="76"/>
                    <w:ind w:left="5"/>
                    <w:jc w:val="center"/>
                    <w:rPr>
                      <w:kern w:val="2"/>
                      <w:sz w:val="21"/>
                      <w:szCs w:val="21"/>
                    </w:rPr>
                  </w:pPr>
                  <w:r>
                    <w:rPr>
                      <w:kern w:val="2"/>
                      <w:sz w:val="21"/>
                      <w:szCs w:val="21"/>
                    </w:rPr>
                    <w:t>10</w:t>
                  </w:r>
                </w:p>
              </w:tc>
              <w:tc>
                <w:tcPr>
                  <w:tcW w:w="3236" w:type="dxa"/>
                  <w:gridSpan w:val="2"/>
                  <w:tcBorders>
                    <w:tl2br w:val="nil"/>
                    <w:tr2bl w:val="nil"/>
                  </w:tcBorders>
                  <w:vAlign w:val="center"/>
                </w:tcPr>
                <w:p w14:paraId="1B68D8E2">
                  <w:pPr>
                    <w:pStyle w:val="76"/>
                    <w:spacing w:before="76"/>
                    <w:ind w:left="5"/>
                    <w:jc w:val="center"/>
                    <w:rPr>
                      <w:kern w:val="2"/>
                      <w:sz w:val="21"/>
                      <w:szCs w:val="21"/>
                    </w:rPr>
                  </w:pPr>
                  <w:r>
                    <w:rPr>
                      <w:kern w:val="2"/>
                      <w:sz w:val="21"/>
                      <w:szCs w:val="21"/>
                    </w:rPr>
                    <w:t>借款偿还期</w:t>
                  </w:r>
                </w:p>
              </w:tc>
              <w:tc>
                <w:tcPr>
                  <w:tcW w:w="4734" w:type="dxa"/>
                  <w:tcBorders>
                    <w:tl2br w:val="nil"/>
                    <w:tr2bl w:val="nil"/>
                  </w:tcBorders>
                  <w:vAlign w:val="center"/>
                </w:tcPr>
                <w:p w14:paraId="48725538">
                  <w:pPr>
                    <w:pStyle w:val="76"/>
                    <w:spacing w:before="76"/>
                    <w:ind w:left="5"/>
                    <w:jc w:val="center"/>
                    <w:rPr>
                      <w:kern w:val="2"/>
                      <w:sz w:val="21"/>
                      <w:szCs w:val="21"/>
                    </w:rPr>
                  </w:pPr>
                  <w:r>
                    <w:rPr>
                      <w:kern w:val="2"/>
                      <w:sz w:val="21"/>
                      <w:szCs w:val="21"/>
                    </w:rPr>
                    <w:t>12年</w:t>
                  </w:r>
                </w:p>
              </w:tc>
            </w:tr>
          </w:tbl>
          <w:p w14:paraId="5C488602">
            <w:pPr>
              <w:spacing w:line="360" w:lineRule="auto"/>
              <w:ind w:firstLine="482" w:firstLineChars="200"/>
              <w:rPr>
                <w:b/>
                <w:bCs/>
                <w:sz w:val="24"/>
              </w:rPr>
            </w:pPr>
            <w:r>
              <w:rPr>
                <w:b/>
                <w:bCs/>
                <w:sz w:val="24"/>
              </w:rPr>
              <w:t>2、系统主要设备配置清单</w:t>
            </w:r>
          </w:p>
          <w:p w14:paraId="370A5059">
            <w:pPr>
              <w:ind w:firstLine="482" w:firstLineChars="200"/>
              <w:jc w:val="center"/>
              <w:rPr>
                <w:b/>
                <w:bCs/>
                <w:sz w:val="24"/>
              </w:rPr>
            </w:pPr>
            <w:r>
              <w:rPr>
                <w:b/>
                <w:bCs/>
                <w:sz w:val="24"/>
              </w:rPr>
              <w:t>表2-</w:t>
            </w:r>
            <w:r>
              <w:rPr>
                <w:rFonts w:hint="eastAsia"/>
                <w:b/>
                <w:bCs/>
                <w:sz w:val="24"/>
                <w:lang w:val="en-US" w:eastAsia="zh-CN"/>
              </w:rPr>
              <w:t>4</w:t>
            </w:r>
            <w:r>
              <w:rPr>
                <w:b/>
                <w:bCs/>
                <w:sz w:val="24"/>
              </w:rPr>
              <w:t xml:space="preserve"> 项目主要设备及技术参数一览表</w:t>
            </w:r>
          </w:p>
          <w:tbl>
            <w:tblPr>
              <w:tblStyle w:val="29"/>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29"/>
              <w:gridCol w:w="2671"/>
              <w:gridCol w:w="1047"/>
              <w:gridCol w:w="259"/>
              <w:gridCol w:w="636"/>
              <w:gridCol w:w="1418"/>
              <w:gridCol w:w="1500"/>
            </w:tblGrid>
            <w:tr w14:paraId="0943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blHeader/>
                <w:jc w:val="center"/>
              </w:trPr>
              <w:tc>
                <w:tcPr>
                  <w:tcW w:w="866" w:type="dxa"/>
                  <w:gridSpan w:val="2"/>
                  <w:vAlign w:val="center"/>
                </w:tcPr>
                <w:p w14:paraId="266FA87F">
                  <w:pPr>
                    <w:jc w:val="center"/>
                  </w:pPr>
                  <w:bookmarkStart w:id="18" w:name="_Hlk25836137"/>
                  <w:r>
                    <w:t>编号</w:t>
                  </w:r>
                </w:p>
              </w:tc>
              <w:tc>
                <w:tcPr>
                  <w:tcW w:w="2671" w:type="dxa"/>
                  <w:vAlign w:val="center"/>
                </w:tcPr>
                <w:p w14:paraId="62A3E43D">
                  <w:pPr>
                    <w:jc w:val="center"/>
                  </w:pPr>
                  <w:r>
                    <w:t>名称</w:t>
                  </w:r>
                </w:p>
              </w:tc>
              <w:tc>
                <w:tcPr>
                  <w:tcW w:w="1306" w:type="dxa"/>
                  <w:gridSpan w:val="2"/>
                  <w:vAlign w:val="center"/>
                </w:tcPr>
                <w:p w14:paraId="15C07517">
                  <w:pPr>
                    <w:jc w:val="center"/>
                  </w:pPr>
                  <w:r>
                    <w:t>单位</w:t>
                  </w:r>
                </w:p>
              </w:tc>
              <w:tc>
                <w:tcPr>
                  <w:tcW w:w="2054" w:type="dxa"/>
                  <w:gridSpan w:val="2"/>
                  <w:vAlign w:val="center"/>
                </w:tcPr>
                <w:p w14:paraId="0C0B9F97">
                  <w:pPr>
                    <w:jc w:val="center"/>
                  </w:pPr>
                  <w:r>
                    <w:t>数值</w:t>
                  </w:r>
                </w:p>
              </w:tc>
              <w:tc>
                <w:tcPr>
                  <w:tcW w:w="1500" w:type="dxa"/>
                  <w:vAlign w:val="center"/>
                </w:tcPr>
                <w:p w14:paraId="06066789">
                  <w:pPr>
                    <w:jc w:val="center"/>
                  </w:pPr>
                  <w:r>
                    <w:t>备注</w:t>
                  </w:r>
                </w:p>
              </w:tc>
            </w:tr>
            <w:tr w14:paraId="303B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97" w:type="dxa"/>
                  <w:gridSpan w:val="8"/>
                  <w:vAlign w:val="center"/>
                </w:tcPr>
                <w:p w14:paraId="665AEB49">
                  <w:pPr>
                    <w:jc w:val="center"/>
                    <w:rPr>
                      <w:b/>
                    </w:rPr>
                  </w:pPr>
                  <w:r>
                    <w:rPr>
                      <w:b/>
                    </w:rPr>
                    <w:t>1 光伏组件</w:t>
                  </w:r>
                </w:p>
              </w:tc>
            </w:tr>
            <w:tr w14:paraId="7D18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6AE81E6F">
                  <w:pPr>
                    <w:jc w:val="center"/>
                  </w:pPr>
                  <w:r>
                    <w:t>1.1</w:t>
                  </w:r>
                </w:p>
              </w:tc>
              <w:tc>
                <w:tcPr>
                  <w:tcW w:w="2671" w:type="dxa"/>
                  <w:vAlign w:val="center"/>
                </w:tcPr>
                <w:p w14:paraId="1D3E16BC">
                  <w:pPr>
                    <w:jc w:val="center"/>
                  </w:pPr>
                  <w:r>
                    <w:t>峰值功率</w:t>
                  </w:r>
                </w:p>
              </w:tc>
              <w:tc>
                <w:tcPr>
                  <w:tcW w:w="1306" w:type="dxa"/>
                  <w:gridSpan w:val="2"/>
                  <w:vAlign w:val="center"/>
                </w:tcPr>
                <w:p w14:paraId="0C7DD4C3">
                  <w:pPr>
                    <w:jc w:val="center"/>
                  </w:pPr>
                  <w:r>
                    <w:t>Wp</w:t>
                  </w:r>
                </w:p>
              </w:tc>
              <w:tc>
                <w:tcPr>
                  <w:tcW w:w="2054" w:type="dxa"/>
                  <w:gridSpan w:val="2"/>
                  <w:vAlign w:val="center"/>
                </w:tcPr>
                <w:p w14:paraId="75C18B47">
                  <w:pPr>
                    <w:jc w:val="center"/>
                    <w:rPr>
                      <w:rFonts w:hint="default" w:ascii="Times New Roman" w:hAnsi="Times New Roman" w:cs="Times New Roman"/>
                    </w:rPr>
                  </w:pPr>
                  <w:r>
                    <w:rPr>
                      <w:rFonts w:hint="default" w:ascii="Times New Roman" w:hAnsi="Times New Roman" w:cs="Times New Roman"/>
                      <w:lang w:val="en-US" w:eastAsia="zh-CN"/>
                    </w:rPr>
                    <w:t>590</w:t>
                  </w:r>
                </w:p>
              </w:tc>
              <w:tc>
                <w:tcPr>
                  <w:tcW w:w="1500" w:type="dxa"/>
                  <w:vAlign w:val="center"/>
                </w:tcPr>
                <w:p w14:paraId="01264117">
                  <w:pPr>
                    <w:jc w:val="center"/>
                  </w:pPr>
                  <w:r>
                    <w:rPr>
                      <w:rFonts w:hint="eastAsia"/>
                    </w:rPr>
                    <w:t>/</w:t>
                  </w:r>
                </w:p>
              </w:tc>
            </w:tr>
            <w:tr w14:paraId="2418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1DE4F034">
                  <w:pPr>
                    <w:jc w:val="center"/>
                  </w:pPr>
                  <w:r>
                    <w:t>1.2</w:t>
                  </w:r>
                </w:p>
              </w:tc>
              <w:tc>
                <w:tcPr>
                  <w:tcW w:w="2671" w:type="dxa"/>
                  <w:vAlign w:val="center"/>
                </w:tcPr>
                <w:p w14:paraId="27B040BE">
                  <w:pPr>
                    <w:jc w:val="center"/>
                  </w:pPr>
                  <w:r>
                    <w:t>开路电压Voc</w:t>
                  </w:r>
                </w:p>
              </w:tc>
              <w:tc>
                <w:tcPr>
                  <w:tcW w:w="1306" w:type="dxa"/>
                  <w:gridSpan w:val="2"/>
                  <w:vAlign w:val="center"/>
                </w:tcPr>
                <w:p w14:paraId="075D7504">
                  <w:pPr>
                    <w:jc w:val="center"/>
                  </w:pPr>
                  <w:r>
                    <w:t>V</w:t>
                  </w:r>
                </w:p>
              </w:tc>
              <w:tc>
                <w:tcPr>
                  <w:tcW w:w="2054" w:type="dxa"/>
                  <w:gridSpan w:val="2"/>
                  <w:vAlign w:val="center"/>
                </w:tcPr>
                <w:p w14:paraId="180C12BC">
                  <w:pPr>
                    <w:autoSpaceDE w:val="0"/>
                    <w:autoSpaceDN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cs="Times New Roman"/>
                      <w:lang w:val="zh-CN" w:eastAsia="en-US" w:bidi="zh-CN"/>
                    </w:rPr>
                    <w:t>52.</w:t>
                  </w:r>
                  <w:r>
                    <w:rPr>
                      <w:rFonts w:hint="default" w:ascii="Times New Roman" w:hAnsi="Times New Roman" w:cs="Times New Roman"/>
                      <w:lang w:eastAsia="en-US" w:bidi="zh-CN"/>
                    </w:rPr>
                    <w:t>9</w:t>
                  </w:r>
                </w:p>
              </w:tc>
              <w:tc>
                <w:tcPr>
                  <w:tcW w:w="1500" w:type="dxa"/>
                  <w:vAlign w:val="center"/>
                </w:tcPr>
                <w:p w14:paraId="02F6915C">
                  <w:pPr>
                    <w:jc w:val="center"/>
                  </w:pPr>
                  <w:r>
                    <w:rPr>
                      <w:rFonts w:hint="eastAsia"/>
                    </w:rPr>
                    <w:t>/</w:t>
                  </w:r>
                </w:p>
              </w:tc>
            </w:tr>
            <w:tr w14:paraId="46F7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28BC40EC">
                  <w:pPr>
                    <w:jc w:val="center"/>
                  </w:pPr>
                  <w:r>
                    <w:t>1.3</w:t>
                  </w:r>
                </w:p>
              </w:tc>
              <w:tc>
                <w:tcPr>
                  <w:tcW w:w="2671" w:type="dxa"/>
                  <w:vAlign w:val="center"/>
                </w:tcPr>
                <w:p w14:paraId="036E4F17">
                  <w:pPr>
                    <w:jc w:val="center"/>
                  </w:pPr>
                  <w:r>
                    <w:t>短路电流Isc</w:t>
                  </w:r>
                </w:p>
              </w:tc>
              <w:tc>
                <w:tcPr>
                  <w:tcW w:w="1306" w:type="dxa"/>
                  <w:gridSpan w:val="2"/>
                  <w:vAlign w:val="center"/>
                </w:tcPr>
                <w:p w14:paraId="73DD1771">
                  <w:pPr>
                    <w:jc w:val="center"/>
                  </w:pPr>
                  <w:r>
                    <w:t>A</w:t>
                  </w:r>
                </w:p>
              </w:tc>
              <w:tc>
                <w:tcPr>
                  <w:tcW w:w="2054" w:type="dxa"/>
                  <w:gridSpan w:val="2"/>
                  <w:vAlign w:val="center"/>
                </w:tcPr>
                <w:p w14:paraId="708FE428">
                  <w:pPr>
                    <w:autoSpaceDE w:val="0"/>
                    <w:autoSpaceDN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cs="Times New Roman"/>
                      <w:lang w:val="zh-CN" w:eastAsia="en-US" w:bidi="zh-CN"/>
                    </w:rPr>
                    <w:t>1</w:t>
                  </w:r>
                  <w:r>
                    <w:rPr>
                      <w:rFonts w:hint="default" w:ascii="Times New Roman" w:hAnsi="Times New Roman" w:cs="Times New Roman"/>
                      <w:lang w:eastAsia="en-US" w:bidi="zh-CN"/>
                    </w:rPr>
                    <w:t>4</w:t>
                  </w:r>
                  <w:r>
                    <w:rPr>
                      <w:rFonts w:hint="default" w:ascii="Times New Roman" w:hAnsi="Times New Roman" w:cs="Times New Roman"/>
                      <w:lang w:val="zh-CN" w:eastAsia="en-US" w:bidi="zh-CN"/>
                    </w:rPr>
                    <w:t>.</w:t>
                  </w:r>
                  <w:r>
                    <w:rPr>
                      <w:rFonts w:hint="default" w:ascii="Times New Roman" w:hAnsi="Times New Roman" w:cs="Times New Roman"/>
                      <w:lang w:eastAsia="en-US" w:bidi="zh-CN"/>
                    </w:rPr>
                    <w:t>07</w:t>
                  </w:r>
                </w:p>
              </w:tc>
              <w:tc>
                <w:tcPr>
                  <w:tcW w:w="1500" w:type="dxa"/>
                  <w:vAlign w:val="center"/>
                </w:tcPr>
                <w:p w14:paraId="2EFC8D57">
                  <w:pPr>
                    <w:jc w:val="center"/>
                  </w:pPr>
                  <w:r>
                    <w:rPr>
                      <w:rFonts w:hint="eastAsia"/>
                    </w:rPr>
                    <w:t>/</w:t>
                  </w:r>
                </w:p>
              </w:tc>
            </w:tr>
            <w:tr w14:paraId="77F3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5BBCC9C7">
                  <w:pPr>
                    <w:jc w:val="center"/>
                  </w:pPr>
                  <w:r>
                    <w:t>1.4</w:t>
                  </w:r>
                </w:p>
              </w:tc>
              <w:tc>
                <w:tcPr>
                  <w:tcW w:w="2671" w:type="dxa"/>
                  <w:vAlign w:val="center"/>
                </w:tcPr>
                <w:p w14:paraId="370EFBF0">
                  <w:pPr>
                    <w:jc w:val="center"/>
                  </w:pPr>
                  <w:r>
                    <w:t>工作电压Vmppt</w:t>
                  </w:r>
                </w:p>
              </w:tc>
              <w:tc>
                <w:tcPr>
                  <w:tcW w:w="1306" w:type="dxa"/>
                  <w:gridSpan w:val="2"/>
                  <w:vAlign w:val="center"/>
                </w:tcPr>
                <w:p w14:paraId="3F2E278E">
                  <w:pPr>
                    <w:jc w:val="center"/>
                  </w:pPr>
                  <w:r>
                    <w:t>V</w:t>
                  </w:r>
                </w:p>
              </w:tc>
              <w:tc>
                <w:tcPr>
                  <w:tcW w:w="2054" w:type="dxa"/>
                  <w:gridSpan w:val="2"/>
                  <w:vAlign w:val="center"/>
                </w:tcPr>
                <w:p w14:paraId="636D75E5">
                  <w:pPr>
                    <w:autoSpaceDE w:val="0"/>
                    <w:autoSpaceDN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cs="Times New Roman"/>
                      <w:lang w:eastAsia="en-US" w:bidi="zh-CN"/>
                    </w:rPr>
                    <w:t>44</w:t>
                  </w:r>
                  <w:r>
                    <w:rPr>
                      <w:rFonts w:hint="default" w:ascii="Times New Roman" w:hAnsi="Times New Roman" w:cs="Times New Roman"/>
                      <w:lang w:val="zh-CN" w:eastAsia="en-US" w:bidi="zh-CN"/>
                    </w:rPr>
                    <w:t>.</w:t>
                  </w:r>
                  <w:r>
                    <w:rPr>
                      <w:rFonts w:hint="default" w:ascii="Times New Roman" w:hAnsi="Times New Roman" w:cs="Times New Roman"/>
                      <w:lang w:eastAsia="en-US" w:bidi="zh-CN"/>
                    </w:rPr>
                    <w:t>17</w:t>
                  </w:r>
                </w:p>
              </w:tc>
              <w:tc>
                <w:tcPr>
                  <w:tcW w:w="1500" w:type="dxa"/>
                  <w:vAlign w:val="center"/>
                </w:tcPr>
                <w:p w14:paraId="0E5FD773">
                  <w:pPr>
                    <w:jc w:val="center"/>
                  </w:pPr>
                  <w:r>
                    <w:rPr>
                      <w:rFonts w:hint="eastAsia"/>
                    </w:rPr>
                    <w:t>/</w:t>
                  </w:r>
                </w:p>
              </w:tc>
            </w:tr>
            <w:tr w14:paraId="2E62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2E3222C7">
                  <w:pPr>
                    <w:jc w:val="center"/>
                  </w:pPr>
                  <w:r>
                    <w:t>1.5</w:t>
                  </w:r>
                </w:p>
              </w:tc>
              <w:tc>
                <w:tcPr>
                  <w:tcW w:w="2671" w:type="dxa"/>
                  <w:vAlign w:val="center"/>
                </w:tcPr>
                <w:p w14:paraId="7DC28DE8">
                  <w:pPr>
                    <w:jc w:val="center"/>
                  </w:pPr>
                  <w:r>
                    <w:t>工作电流Imppt</w:t>
                  </w:r>
                </w:p>
              </w:tc>
              <w:tc>
                <w:tcPr>
                  <w:tcW w:w="1306" w:type="dxa"/>
                  <w:gridSpan w:val="2"/>
                  <w:vAlign w:val="center"/>
                </w:tcPr>
                <w:p w14:paraId="7F55495B">
                  <w:pPr>
                    <w:jc w:val="center"/>
                  </w:pPr>
                  <w:r>
                    <w:t>A</w:t>
                  </w:r>
                </w:p>
              </w:tc>
              <w:tc>
                <w:tcPr>
                  <w:tcW w:w="2054" w:type="dxa"/>
                  <w:gridSpan w:val="2"/>
                  <w:vAlign w:val="center"/>
                </w:tcPr>
                <w:p w14:paraId="7459E672">
                  <w:pPr>
                    <w:autoSpaceDE w:val="0"/>
                    <w:autoSpaceDN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cs="Times New Roman"/>
                      <w:lang w:val="zh-CN" w:eastAsia="en-US" w:bidi="zh-CN"/>
                    </w:rPr>
                    <w:t>1</w:t>
                  </w:r>
                  <w:r>
                    <w:rPr>
                      <w:rFonts w:hint="default" w:ascii="Times New Roman" w:hAnsi="Times New Roman" w:cs="Times New Roman"/>
                      <w:lang w:eastAsia="en-US" w:bidi="zh-CN"/>
                    </w:rPr>
                    <w:t>3</w:t>
                  </w:r>
                  <w:r>
                    <w:rPr>
                      <w:rFonts w:hint="default" w:ascii="Times New Roman" w:hAnsi="Times New Roman" w:cs="Times New Roman"/>
                      <w:lang w:val="zh-CN" w:eastAsia="en-US" w:bidi="zh-CN"/>
                    </w:rPr>
                    <w:t>.</w:t>
                  </w:r>
                  <w:r>
                    <w:rPr>
                      <w:rFonts w:hint="default" w:ascii="Times New Roman" w:hAnsi="Times New Roman" w:cs="Times New Roman"/>
                      <w:lang w:eastAsia="en-US" w:bidi="zh-CN"/>
                    </w:rPr>
                    <w:t>36</w:t>
                  </w:r>
                </w:p>
              </w:tc>
              <w:tc>
                <w:tcPr>
                  <w:tcW w:w="1500" w:type="dxa"/>
                  <w:vAlign w:val="center"/>
                </w:tcPr>
                <w:p w14:paraId="12821EDE">
                  <w:pPr>
                    <w:jc w:val="center"/>
                  </w:pPr>
                  <w:r>
                    <w:rPr>
                      <w:rFonts w:hint="eastAsia"/>
                    </w:rPr>
                    <w:t>/</w:t>
                  </w:r>
                </w:p>
              </w:tc>
            </w:tr>
            <w:tr w14:paraId="04D0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6945FCF9">
                  <w:pPr>
                    <w:jc w:val="center"/>
                  </w:pPr>
                  <w:r>
                    <w:t>1.6</w:t>
                  </w:r>
                </w:p>
              </w:tc>
              <w:tc>
                <w:tcPr>
                  <w:tcW w:w="2671" w:type="dxa"/>
                  <w:vAlign w:val="center"/>
                </w:tcPr>
                <w:p w14:paraId="30E274F5">
                  <w:pPr>
                    <w:jc w:val="center"/>
                  </w:pPr>
                  <w:r>
                    <w:t>峰值功率温度系数</w:t>
                  </w:r>
                </w:p>
              </w:tc>
              <w:tc>
                <w:tcPr>
                  <w:tcW w:w="1306" w:type="dxa"/>
                  <w:gridSpan w:val="2"/>
                  <w:vAlign w:val="center"/>
                </w:tcPr>
                <w:p w14:paraId="74FC05A2">
                  <w:pPr>
                    <w:jc w:val="center"/>
                  </w:pPr>
                  <w:r>
                    <w:t>%/℃</w:t>
                  </w:r>
                </w:p>
              </w:tc>
              <w:tc>
                <w:tcPr>
                  <w:tcW w:w="2054" w:type="dxa"/>
                  <w:gridSpan w:val="2"/>
                  <w:vAlign w:val="center"/>
                </w:tcPr>
                <w:p w14:paraId="2454D7DB">
                  <w:pPr>
                    <w:autoSpaceDE w:val="0"/>
                    <w:autoSpaceDN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cs="Times New Roman"/>
                      <w:lang w:val="zh-CN" w:eastAsia="en-US" w:bidi="zh-CN"/>
                    </w:rPr>
                    <w:t>-0.</w:t>
                  </w:r>
                  <w:r>
                    <w:rPr>
                      <w:rFonts w:hint="default" w:ascii="Times New Roman" w:hAnsi="Times New Roman" w:cs="Times New Roman"/>
                      <w:lang w:eastAsia="en-US" w:bidi="zh-CN"/>
                    </w:rPr>
                    <w:t>29</w:t>
                  </w:r>
                </w:p>
              </w:tc>
              <w:tc>
                <w:tcPr>
                  <w:tcW w:w="1500" w:type="dxa"/>
                  <w:vAlign w:val="center"/>
                </w:tcPr>
                <w:p w14:paraId="1F911FE5">
                  <w:pPr>
                    <w:jc w:val="center"/>
                  </w:pPr>
                  <w:r>
                    <w:rPr>
                      <w:rFonts w:hint="eastAsia"/>
                    </w:rPr>
                    <w:t>/</w:t>
                  </w:r>
                </w:p>
              </w:tc>
            </w:tr>
            <w:tr w14:paraId="2AA8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0BE0122F">
                  <w:pPr>
                    <w:jc w:val="center"/>
                  </w:pPr>
                  <w:r>
                    <w:t>1.7</w:t>
                  </w:r>
                </w:p>
              </w:tc>
              <w:tc>
                <w:tcPr>
                  <w:tcW w:w="2671" w:type="dxa"/>
                  <w:vAlign w:val="center"/>
                </w:tcPr>
                <w:p w14:paraId="64184DB2">
                  <w:pPr>
                    <w:jc w:val="center"/>
                  </w:pPr>
                  <w:r>
                    <w:t>开路电压温度系数</w:t>
                  </w:r>
                </w:p>
              </w:tc>
              <w:tc>
                <w:tcPr>
                  <w:tcW w:w="1306" w:type="dxa"/>
                  <w:gridSpan w:val="2"/>
                  <w:vAlign w:val="center"/>
                </w:tcPr>
                <w:p w14:paraId="7369CFF8">
                  <w:pPr>
                    <w:jc w:val="center"/>
                  </w:pPr>
                  <w:r>
                    <w:t>%/℃</w:t>
                  </w:r>
                </w:p>
              </w:tc>
              <w:tc>
                <w:tcPr>
                  <w:tcW w:w="2054" w:type="dxa"/>
                  <w:gridSpan w:val="2"/>
                  <w:vAlign w:val="center"/>
                </w:tcPr>
                <w:p w14:paraId="4ED4470A">
                  <w:pPr>
                    <w:autoSpaceDE w:val="0"/>
                    <w:autoSpaceDN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cs="Times New Roman"/>
                      <w:lang w:val="zh-CN" w:eastAsia="en-US" w:bidi="zh-CN"/>
                    </w:rPr>
                    <w:t>-0.25</w:t>
                  </w:r>
                </w:p>
              </w:tc>
              <w:tc>
                <w:tcPr>
                  <w:tcW w:w="1500" w:type="dxa"/>
                  <w:vAlign w:val="center"/>
                </w:tcPr>
                <w:p w14:paraId="5EE29CAC">
                  <w:pPr>
                    <w:jc w:val="center"/>
                  </w:pPr>
                  <w:r>
                    <w:rPr>
                      <w:rFonts w:hint="eastAsia"/>
                    </w:rPr>
                    <w:t>/</w:t>
                  </w:r>
                </w:p>
              </w:tc>
            </w:tr>
            <w:tr w14:paraId="746A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11B139AB">
                  <w:pPr>
                    <w:jc w:val="center"/>
                  </w:pPr>
                  <w:r>
                    <w:t>1.8</w:t>
                  </w:r>
                </w:p>
              </w:tc>
              <w:tc>
                <w:tcPr>
                  <w:tcW w:w="2671" w:type="dxa"/>
                  <w:vAlign w:val="center"/>
                </w:tcPr>
                <w:p w14:paraId="1D84993D">
                  <w:pPr>
                    <w:jc w:val="center"/>
                  </w:pPr>
                  <w:r>
                    <w:t>短路电流温度系数</w:t>
                  </w:r>
                </w:p>
              </w:tc>
              <w:tc>
                <w:tcPr>
                  <w:tcW w:w="1306" w:type="dxa"/>
                  <w:gridSpan w:val="2"/>
                  <w:vAlign w:val="center"/>
                </w:tcPr>
                <w:p w14:paraId="2EFAF989">
                  <w:pPr>
                    <w:jc w:val="center"/>
                  </w:pPr>
                  <w:r>
                    <w:t>%/℃</w:t>
                  </w:r>
                </w:p>
              </w:tc>
              <w:tc>
                <w:tcPr>
                  <w:tcW w:w="2054" w:type="dxa"/>
                  <w:gridSpan w:val="2"/>
                  <w:vAlign w:val="center"/>
                </w:tcPr>
                <w:p w14:paraId="54083624">
                  <w:pPr>
                    <w:autoSpaceDE w:val="0"/>
                    <w:autoSpaceDN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cs="Times New Roman"/>
                      <w:lang w:val="zh-CN" w:eastAsia="en-US" w:bidi="zh-CN"/>
                    </w:rPr>
                    <w:t>0.04</w:t>
                  </w:r>
                  <w:r>
                    <w:rPr>
                      <w:rFonts w:hint="default" w:ascii="Times New Roman" w:hAnsi="Times New Roman" w:cs="Times New Roman"/>
                      <w:lang w:eastAsia="en-US" w:bidi="zh-CN"/>
                    </w:rPr>
                    <w:t>5</w:t>
                  </w:r>
                </w:p>
              </w:tc>
              <w:tc>
                <w:tcPr>
                  <w:tcW w:w="1500" w:type="dxa"/>
                  <w:vAlign w:val="center"/>
                </w:tcPr>
                <w:p w14:paraId="5DC5B991">
                  <w:pPr>
                    <w:jc w:val="center"/>
                  </w:pPr>
                  <w:r>
                    <w:rPr>
                      <w:rFonts w:hint="eastAsia"/>
                    </w:rPr>
                    <w:t>/</w:t>
                  </w:r>
                </w:p>
              </w:tc>
            </w:tr>
            <w:tr w14:paraId="185C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430832F2">
                  <w:pPr>
                    <w:jc w:val="center"/>
                  </w:pPr>
                  <w:r>
                    <w:t>1.9</w:t>
                  </w:r>
                </w:p>
              </w:tc>
              <w:tc>
                <w:tcPr>
                  <w:tcW w:w="2671" w:type="dxa"/>
                  <w:vAlign w:val="center"/>
                </w:tcPr>
                <w:p w14:paraId="77CCF5B6">
                  <w:pPr>
                    <w:jc w:val="center"/>
                  </w:pPr>
                  <w:r>
                    <w:t>首年功率衰降</w:t>
                  </w:r>
                </w:p>
              </w:tc>
              <w:tc>
                <w:tcPr>
                  <w:tcW w:w="1306" w:type="dxa"/>
                  <w:gridSpan w:val="2"/>
                  <w:vAlign w:val="center"/>
                </w:tcPr>
                <w:p w14:paraId="49CCD5AA">
                  <w:pPr>
                    <w:jc w:val="center"/>
                  </w:pPr>
                  <w:r>
                    <w:t>%</w:t>
                  </w:r>
                </w:p>
              </w:tc>
              <w:tc>
                <w:tcPr>
                  <w:tcW w:w="2054" w:type="dxa"/>
                  <w:gridSpan w:val="2"/>
                  <w:vAlign w:val="center"/>
                </w:tcPr>
                <w:p w14:paraId="1A844149">
                  <w:pPr>
                    <w:jc w:val="center"/>
                    <w:rPr>
                      <w:rFonts w:hint="default" w:ascii="Times New Roman" w:hAnsi="Times New Roman" w:cs="Times New Roman"/>
                    </w:rPr>
                  </w:pPr>
                  <w:r>
                    <w:rPr>
                      <w:rFonts w:hint="default" w:ascii="Times New Roman" w:hAnsi="Times New Roman" w:cs="Times New Roman"/>
                      <w:lang w:val="en-US" w:eastAsia="zh-CN"/>
                    </w:rPr>
                    <w:t>1</w:t>
                  </w:r>
                </w:p>
              </w:tc>
              <w:tc>
                <w:tcPr>
                  <w:tcW w:w="1500" w:type="dxa"/>
                  <w:vAlign w:val="center"/>
                </w:tcPr>
                <w:p w14:paraId="754BDE74">
                  <w:pPr>
                    <w:jc w:val="center"/>
                  </w:pPr>
                  <w:r>
                    <w:rPr>
                      <w:rFonts w:hint="eastAsia"/>
                    </w:rPr>
                    <w:t>/</w:t>
                  </w:r>
                </w:p>
              </w:tc>
            </w:tr>
            <w:tr w14:paraId="751D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37877BF4">
                  <w:pPr>
                    <w:jc w:val="center"/>
                  </w:pPr>
                  <w:r>
                    <w:t>1.10</w:t>
                  </w:r>
                </w:p>
              </w:tc>
              <w:tc>
                <w:tcPr>
                  <w:tcW w:w="2671" w:type="dxa"/>
                  <w:vAlign w:val="center"/>
                </w:tcPr>
                <w:p w14:paraId="4D73D630">
                  <w:pPr>
                    <w:jc w:val="center"/>
                  </w:pPr>
                  <w:r>
                    <w:t>25年功率衰降</w:t>
                  </w:r>
                </w:p>
              </w:tc>
              <w:tc>
                <w:tcPr>
                  <w:tcW w:w="1306" w:type="dxa"/>
                  <w:gridSpan w:val="2"/>
                  <w:vAlign w:val="center"/>
                </w:tcPr>
                <w:p w14:paraId="152DBB46">
                  <w:pPr>
                    <w:jc w:val="center"/>
                  </w:pPr>
                  <w:r>
                    <w:t>%</w:t>
                  </w:r>
                </w:p>
              </w:tc>
              <w:tc>
                <w:tcPr>
                  <w:tcW w:w="2054" w:type="dxa"/>
                  <w:gridSpan w:val="2"/>
                  <w:vAlign w:val="center"/>
                </w:tcPr>
                <w:p w14:paraId="4FDB4EBF">
                  <w:pPr>
                    <w:jc w:val="center"/>
                    <w:rPr>
                      <w:rFonts w:hint="default" w:ascii="Times New Roman" w:hAnsi="Times New Roman" w:cs="Times New Roman"/>
                    </w:rPr>
                  </w:pPr>
                  <w:r>
                    <w:rPr>
                      <w:rFonts w:hint="default" w:ascii="Times New Roman" w:hAnsi="Times New Roman" w:cs="Times New Roman"/>
                      <w:lang w:val="en-US" w:eastAsia="zh-CN"/>
                    </w:rPr>
                    <w:t>10.6</w:t>
                  </w:r>
                </w:p>
              </w:tc>
              <w:tc>
                <w:tcPr>
                  <w:tcW w:w="1500" w:type="dxa"/>
                  <w:vAlign w:val="center"/>
                </w:tcPr>
                <w:p w14:paraId="26F264AC">
                  <w:pPr>
                    <w:jc w:val="center"/>
                  </w:pPr>
                  <w:r>
                    <w:rPr>
                      <w:rFonts w:hint="eastAsia"/>
                    </w:rPr>
                    <w:t>/</w:t>
                  </w:r>
                </w:p>
              </w:tc>
            </w:tr>
            <w:tr w14:paraId="052D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6E04196B">
                  <w:pPr>
                    <w:jc w:val="center"/>
                  </w:pPr>
                  <w:r>
                    <w:t>1.11</w:t>
                  </w:r>
                </w:p>
              </w:tc>
              <w:tc>
                <w:tcPr>
                  <w:tcW w:w="2671" w:type="dxa"/>
                  <w:vAlign w:val="center"/>
                </w:tcPr>
                <w:p w14:paraId="4A5AC9E7">
                  <w:pPr>
                    <w:jc w:val="center"/>
                  </w:pPr>
                  <w:r>
                    <w:t>外形尺寸</w:t>
                  </w:r>
                </w:p>
              </w:tc>
              <w:tc>
                <w:tcPr>
                  <w:tcW w:w="1306" w:type="dxa"/>
                  <w:gridSpan w:val="2"/>
                  <w:vAlign w:val="center"/>
                </w:tcPr>
                <w:p w14:paraId="442537B3">
                  <w:pPr>
                    <w:jc w:val="center"/>
                  </w:pPr>
                  <w:r>
                    <w:t>mm</w:t>
                  </w:r>
                </w:p>
              </w:tc>
              <w:tc>
                <w:tcPr>
                  <w:tcW w:w="2054" w:type="dxa"/>
                  <w:gridSpan w:val="2"/>
                  <w:vAlign w:val="center"/>
                </w:tcPr>
                <w:p w14:paraId="54FCA584">
                  <w:pPr>
                    <w:jc w:val="center"/>
                    <w:rPr>
                      <w:rFonts w:hint="default" w:ascii="Times New Roman" w:hAnsi="Times New Roman" w:cs="Times New Roman"/>
                    </w:rPr>
                  </w:pPr>
                  <w:r>
                    <w:rPr>
                      <w:rFonts w:hint="default" w:ascii="Times New Roman" w:hAnsi="Times New Roman" w:cs="Times New Roman"/>
                      <w:lang w:val="zh-CN" w:eastAsia="en-US" w:bidi="zh-CN"/>
                    </w:rPr>
                    <w:t>2278×1134×3</w:t>
                  </w:r>
                  <w:r>
                    <w:rPr>
                      <w:rFonts w:hint="default" w:ascii="Times New Roman" w:hAnsi="Times New Roman" w:cs="Times New Roman"/>
                      <w:lang w:val="en-US" w:eastAsia="en-US" w:bidi="zh-CN"/>
                    </w:rPr>
                    <w:t>0</w:t>
                  </w:r>
                </w:p>
              </w:tc>
              <w:tc>
                <w:tcPr>
                  <w:tcW w:w="1500" w:type="dxa"/>
                  <w:vAlign w:val="center"/>
                </w:tcPr>
                <w:p w14:paraId="55ADB64B">
                  <w:pPr>
                    <w:jc w:val="center"/>
                  </w:pPr>
                  <w:r>
                    <w:rPr>
                      <w:rFonts w:hint="eastAsia"/>
                    </w:rPr>
                    <w:t>/</w:t>
                  </w:r>
                </w:p>
              </w:tc>
            </w:tr>
            <w:tr w14:paraId="670C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685A22FC">
                  <w:pPr>
                    <w:jc w:val="center"/>
                  </w:pPr>
                  <w:r>
                    <w:t>1.12</w:t>
                  </w:r>
                </w:p>
              </w:tc>
              <w:tc>
                <w:tcPr>
                  <w:tcW w:w="2671" w:type="dxa"/>
                  <w:vAlign w:val="center"/>
                </w:tcPr>
                <w:p w14:paraId="7BF688C3">
                  <w:pPr>
                    <w:jc w:val="center"/>
                  </w:pPr>
                  <w:r>
                    <w:t>重量</w:t>
                  </w:r>
                </w:p>
              </w:tc>
              <w:tc>
                <w:tcPr>
                  <w:tcW w:w="1306" w:type="dxa"/>
                  <w:gridSpan w:val="2"/>
                  <w:vAlign w:val="center"/>
                </w:tcPr>
                <w:p w14:paraId="4D2751BD">
                  <w:pPr>
                    <w:jc w:val="center"/>
                  </w:pPr>
                  <w:r>
                    <w:t>kg</w:t>
                  </w:r>
                </w:p>
              </w:tc>
              <w:tc>
                <w:tcPr>
                  <w:tcW w:w="2054" w:type="dxa"/>
                  <w:gridSpan w:val="2"/>
                  <w:vAlign w:val="center"/>
                </w:tcPr>
                <w:p w14:paraId="33718B05">
                  <w:pPr>
                    <w:jc w:val="center"/>
                    <w:rPr>
                      <w:rFonts w:hint="default" w:ascii="Times New Roman" w:hAnsi="Times New Roman" w:cs="Times New Roman"/>
                    </w:rPr>
                  </w:pPr>
                  <w:r>
                    <w:rPr>
                      <w:rFonts w:hint="default" w:ascii="Times New Roman" w:hAnsi="Times New Roman" w:cs="Times New Roman"/>
                      <w:lang w:val="en-US" w:eastAsia="zh-CN"/>
                    </w:rPr>
                    <w:t>31</w:t>
                  </w:r>
                </w:p>
              </w:tc>
              <w:tc>
                <w:tcPr>
                  <w:tcW w:w="1500" w:type="dxa"/>
                  <w:vAlign w:val="center"/>
                </w:tcPr>
                <w:p w14:paraId="44CF571B">
                  <w:pPr>
                    <w:jc w:val="center"/>
                  </w:pPr>
                  <w:r>
                    <w:rPr>
                      <w:rFonts w:hint="eastAsia"/>
                    </w:rPr>
                    <w:t>/</w:t>
                  </w:r>
                </w:p>
              </w:tc>
            </w:tr>
            <w:tr w14:paraId="4447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6AB7254E">
                  <w:pPr>
                    <w:jc w:val="center"/>
                  </w:pPr>
                  <w:r>
                    <w:t>1.13</w:t>
                  </w:r>
                </w:p>
              </w:tc>
              <w:tc>
                <w:tcPr>
                  <w:tcW w:w="2671" w:type="dxa"/>
                  <w:vAlign w:val="center"/>
                </w:tcPr>
                <w:p w14:paraId="6B781C77">
                  <w:pPr>
                    <w:jc w:val="center"/>
                  </w:pPr>
                  <w:r>
                    <w:t>数量</w:t>
                  </w:r>
                </w:p>
              </w:tc>
              <w:tc>
                <w:tcPr>
                  <w:tcW w:w="1306" w:type="dxa"/>
                  <w:gridSpan w:val="2"/>
                  <w:vAlign w:val="center"/>
                </w:tcPr>
                <w:p w14:paraId="5FD399EA">
                  <w:pPr>
                    <w:jc w:val="center"/>
                  </w:pPr>
                  <w:r>
                    <w:t>块</w:t>
                  </w:r>
                </w:p>
              </w:tc>
              <w:tc>
                <w:tcPr>
                  <w:tcW w:w="2054" w:type="dxa"/>
                  <w:gridSpan w:val="2"/>
                  <w:vAlign w:val="center"/>
                </w:tcPr>
                <w:p w14:paraId="7824CE0A">
                  <w:pPr>
                    <w:jc w:val="center"/>
                    <w:rPr>
                      <w:rFonts w:hint="default" w:ascii="Times New Roman" w:hAnsi="Times New Roman" w:cs="Times New Roman"/>
                    </w:rPr>
                  </w:pPr>
                  <w:r>
                    <w:rPr>
                      <w:rFonts w:hint="default" w:ascii="Times New Roman" w:hAnsi="Times New Roman" w:cs="Times New Roman"/>
                    </w:rPr>
                    <w:t>485272</w:t>
                  </w:r>
                </w:p>
              </w:tc>
              <w:tc>
                <w:tcPr>
                  <w:tcW w:w="1500" w:type="dxa"/>
                  <w:vAlign w:val="center"/>
                </w:tcPr>
                <w:p w14:paraId="52FEB6F6">
                  <w:pPr>
                    <w:jc w:val="center"/>
                  </w:pPr>
                  <w:r>
                    <w:rPr>
                      <w:rFonts w:hint="eastAsia"/>
                    </w:rPr>
                    <w:t>/</w:t>
                  </w:r>
                </w:p>
              </w:tc>
            </w:tr>
            <w:tr w14:paraId="1CA0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Merge w:val="restart"/>
                  <w:vAlign w:val="center"/>
                </w:tcPr>
                <w:p w14:paraId="0E9BEF6A">
                  <w:pPr>
                    <w:jc w:val="center"/>
                  </w:pPr>
                  <w:r>
                    <w:t>1.14</w:t>
                  </w:r>
                </w:p>
              </w:tc>
              <w:tc>
                <w:tcPr>
                  <w:tcW w:w="2671" w:type="dxa"/>
                  <w:vMerge w:val="restart"/>
                  <w:vAlign w:val="center"/>
                </w:tcPr>
                <w:p w14:paraId="3CABC57F">
                  <w:pPr>
                    <w:jc w:val="center"/>
                  </w:pPr>
                  <w:r>
                    <w:t>向日跟踪方式</w:t>
                  </w:r>
                </w:p>
              </w:tc>
              <w:tc>
                <w:tcPr>
                  <w:tcW w:w="1306" w:type="dxa"/>
                  <w:gridSpan w:val="2"/>
                  <w:vAlign w:val="center"/>
                </w:tcPr>
                <w:p w14:paraId="59B4203C">
                  <w:pPr>
                    <w:jc w:val="center"/>
                  </w:pPr>
                  <w:r>
                    <w:rPr>
                      <w:rFonts w:hint="eastAsia"/>
                    </w:rPr>
                    <w:t>/</w:t>
                  </w:r>
                </w:p>
              </w:tc>
              <w:tc>
                <w:tcPr>
                  <w:tcW w:w="2054" w:type="dxa"/>
                  <w:gridSpan w:val="2"/>
                  <w:vAlign w:val="center"/>
                </w:tcPr>
                <w:p w14:paraId="77B9D316">
                  <w:pPr>
                    <w:jc w:val="center"/>
                  </w:pPr>
                  <w:r>
                    <w:t>固定支架</w:t>
                  </w:r>
                </w:p>
              </w:tc>
              <w:tc>
                <w:tcPr>
                  <w:tcW w:w="1500" w:type="dxa"/>
                  <w:vAlign w:val="center"/>
                </w:tcPr>
                <w:p w14:paraId="150BB763">
                  <w:pPr>
                    <w:jc w:val="center"/>
                  </w:pPr>
                  <w:r>
                    <w:t>倾角27°</w:t>
                  </w:r>
                </w:p>
              </w:tc>
            </w:tr>
            <w:tr w14:paraId="316D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Merge w:val="continue"/>
                  <w:vAlign w:val="center"/>
                </w:tcPr>
                <w:p w14:paraId="5CF49252">
                  <w:pPr>
                    <w:jc w:val="center"/>
                  </w:pPr>
                </w:p>
              </w:tc>
              <w:tc>
                <w:tcPr>
                  <w:tcW w:w="2671" w:type="dxa"/>
                  <w:vMerge w:val="continue"/>
                  <w:vAlign w:val="center"/>
                </w:tcPr>
                <w:p w14:paraId="79A47130">
                  <w:pPr>
                    <w:jc w:val="center"/>
                  </w:pPr>
                </w:p>
              </w:tc>
              <w:tc>
                <w:tcPr>
                  <w:tcW w:w="1306" w:type="dxa"/>
                  <w:gridSpan w:val="2"/>
                  <w:vAlign w:val="center"/>
                </w:tcPr>
                <w:p w14:paraId="78E92BDF">
                  <w:pPr>
                    <w:jc w:val="center"/>
                  </w:pPr>
                  <w:r>
                    <w:rPr>
                      <w:rFonts w:hint="eastAsia"/>
                    </w:rPr>
                    <w:t>/</w:t>
                  </w:r>
                </w:p>
              </w:tc>
              <w:tc>
                <w:tcPr>
                  <w:tcW w:w="2054" w:type="dxa"/>
                  <w:gridSpan w:val="2"/>
                  <w:vAlign w:val="center"/>
                </w:tcPr>
                <w:p w14:paraId="2F98BDED">
                  <w:pPr>
                    <w:jc w:val="center"/>
                  </w:pPr>
                  <w:r>
                    <w:t>柔性支架</w:t>
                  </w:r>
                </w:p>
              </w:tc>
              <w:tc>
                <w:tcPr>
                  <w:tcW w:w="1500" w:type="dxa"/>
                  <w:vAlign w:val="center"/>
                </w:tcPr>
                <w:p w14:paraId="3444E831">
                  <w:pPr>
                    <w:jc w:val="center"/>
                  </w:pPr>
                  <w:r>
                    <w:t>倾角15°</w:t>
                  </w:r>
                </w:p>
              </w:tc>
            </w:tr>
            <w:tr w14:paraId="3018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97" w:type="dxa"/>
                  <w:gridSpan w:val="8"/>
                  <w:vAlign w:val="center"/>
                </w:tcPr>
                <w:p w14:paraId="37214F5D">
                  <w:pPr>
                    <w:jc w:val="center"/>
                    <w:rPr>
                      <w:b/>
                    </w:rPr>
                  </w:pPr>
                  <w:r>
                    <w:rPr>
                      <w:b/>
                    </w:rPr>
                    <w:t>2组串式逆变器</w:t>
                  </w:r>
                </w:p>
              </w:tc>
            </w:tr>
            <w:tr w14:paraId="01EE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3E2A4641">
                  <w:pPr>
                    <w:jc w:val="center"/>
                  </w:pPr>
                  <w:r>
                    <w:t>编号</w:t>
                  </w:r>
                </w:p>
              </w:tc>
              <w:tc>
                <w:tcPr>
                  <w:tcW w:w="2671" w:type="dxa"/>
                  <w:vAlign w:val="center"/>
                </w:tcPr>
                <w:p w14:paraId="1307CFD1">
                  <w:pPr>
                    <w:jc w:val="center"/>
                  </w:pPr>
                  <w:r>
                    <w:t>名称</w:t>
                  </w:r>
                </w:p>
              </w:tc>
              <w:tc>
                <w:tcPr>
                  <w:tcW w:w="1306" w:type="dxa"/>
                  <w:gridSpan w:val="2"/>
                  <w:vAlign w:val="center"/>
                </w:tcPr>
                <w:p w14:paraId="0062BE54">
                  <w:pPr>
                    <w:jc w:val="center"/>
                  </w:pPr>
                  <w:r>
                    <w:t>单位</w:t>
                  </w:r>
                </w:p>
              </w:tc>
              <w:tc>
                <w:tcPr>
                  <w:tcW w:w="2054" w:type="dxa"/>
                  <w:gridSpan w:val="2"/>
                  <w:vAlign w:val="center"/>
                </w:tcPr>
                <w:p w14:paraId="26F42870">
                  <w:pPr>
                    <w:jc w:val="center"/>
                  </w:pPr>
                  <w:r>
                    <w:t>数值</w:t>
                  </w:r>
                </w:p>
              </w:tc>
              <w:tc>
                <w:tcPr>
                  <w:tcW w:w="1500" w:type="dxa"/>
                  <w:vAlign w:val="center"/>
                </w:tcPr>
                <w:p w14:paraId="3ECA1F3C">
                  <w:pPr>
                    <w:jc w:val="center"/>
                  </w:pPr>
                  <w:r>
                    <w:t>备注</w:t>
                  </w:r>
                </w:p>
              </w:tc>
            </w:tr>
            <w:tr w14:paraId="76B8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7686BB17">
                  <w:pPr>
                    <w:jc w:val="center"/>
                  </w:pPr>
                  <w:r>
                    <w:t>2.1</w:t>
                  </w:r>
                </w:p>
              </w:tc>
              <w:tc>
                <w:tcPr>
                  <w:tcW w:w="2671" w:type="dxa"/>
                  <w:vAlign w:val="center"/>
                </w:tcPr>
                <w:p w14:paraId="1D30BF3B">
                  <w:pPr>
                    <w:jc w:val="center"/>
                  </w:pPr>
                  <w:r>
                    <w:t>输出额定功率</w:t>
                  </w:r>
                </w:p>
              </w:tc>
              <w:tc>
                <w:tcPr>
                  <w:tcW w:w="1306" w:type="dxa"/>
                  <w:gridSpan w:val="2"/>
                  <w:vAlign w:val="center"/>
                </w:tcPr>
                <w:p w14:paraId="39F40A89">
                  <w:pPr>
                    <w:jc w:val="center"/>
                  </w:pPr>
                  <w:r>
                    <w:t>kW</w:t>
                  </w:r>
                </w:p>
              </w:tc>
              <w:tc>
                <w:tcPr>
                  <w:tcW w:w="2054" w:type="dxa"/>
                  <w:gridSpan w:val="2"/>
                  <w:vAlign w:val="center"/>
                </w:tcPr>
                <w:p w14:paraId="582A27B1">
                  <w:pPr>
                    <w:ind w:firstLine="0" w:firstLineChars="0"/>
                    <w:jc w:val="center"/>
                  </w:pPr>
                  <w:r>
                    <w:rPr>
                      <w:rFonts w:hint="eastAsia"/>
                    </w:rPr>
                    <w:t>300</w:t>
                  </w:r>
                </w:p>
              </w:tc>
              <w:tc>
                <w:tcPr>
                  <w:tcW w:w="1500" w:type="dxa"/>
                  <w:vAlign w:val="center"/>
                </w:tcPr>
                <w:p w14:paraId="345C517D">
                  <w:pPr>
                    <w:jc w:val="center"/>
                  </w:pPr>
                  <w:r>
                    <w:rPr>
                      <w:rFonts w:hint="eastAsia"/>
                    </w:rPr>
                    <w:t>/</w:t>
                  </w:r>
                </w:p>
              </w:tc>
            </w:tr>
            <w:tr w14:paraId="1189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2E3D176B">
                  <w:pPr>
                    <w:jc w:val="center"/>
                  </w:pPr>
                  <w:r>
                    <w:t>2.2</w:t>
                  </w:r>
                </w:p>
              </w:tc>
              <w:tc>
                <w:tcPr>
                  <w:tcW w:w="2671" w:type="dxa"/>
                  <w:vAlign w:val="center"/>
                </w:tcPr>
                <w:p w14:paraId="7EAB7B76">
                  <w:pPr>
                    <w:jc w:val="center"/>
                  </w:pPr>
                  <w:r>
                    <w:t>最大输出功率</w:t>
                  </w:r>
                </w:p>
              </w:tc>
              <w:tc>
                <w:tcPr>
                  <w:tcW w:w="1306" w:type="dxa"/>
                  <w:gridSpan w:val="2"/>
                  <w:vAlign w:val="center"/>
                </w:tcPr>
                <w:p w14:paraId="1ADB5ED3">
                  <w:pPr>
                    <w:jc w:val="center"/>
                  </w:pPr>
                  <w:r>
                    <w:t>kW</w:t>
                  </w:r>
                </w:p>
              </w:tc>
              <w:tc>
                <w:tcPr>
                  <w:tcW w:w="2054" w:type="dxa"/>
                  <w:gridSpan w:val="2"/>
                  <w:vAlign w:val="center"/>
                </w:tcPr>
                <w:p w14:paraId="281839D5">
                  <w:pPr>
                    <w:ind w:firstLine="0" w:firstLineChars="0"/>
                    <w:jc w:val="center"/>
                  </w:pPr>
                  <w:r>
                    <w:rPr>
                      <w:rFonts w:hint="eastAsia"/>
                    </w:rPr>
                    <w:t>330</w:t>
                  </w:r>
                </w:p>
              </w:tc>
              <w:tc>
                <w:tcPr>
                  <w:tcW w:w="1500" w:type="dxa"/>
                  <w:vAlign w:val="center"/>
                </w:tcPr>
                <w:p w14:paraId="58DE2D45">
                  <w:pPr>
                    <w:jc w:val="center"/>
                  </w:pPr>
                  <w:r>
                    <w:rPr>
                      <w:rFonts w:hint="eastAsia"/>
                    </w:rPr>
                    <w:t>/</w:t>
                  </w:r>
                </w:p>
              </w:tc>
            </w:tr>
            <w:tr w14:paraId="6DD3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359A1AF0">
                  <w:pPr>
                    <w:jc w:val="center"/>
                  </w:pPr>
                  <w:r>
                    <w:t>2.3</w:t>
                  </w:r>
                </w:p>
              </w:tc>
              <w:tc>
                <w:tcPr>
                  <w:tcW w:w="2671" w:type="dxa"/>
                  <w:vAlign w:val="center"/>
                </w:tcPr>
                <w:p w14:paraId="24C54B6C">
                  <w:pPr>
                    <w:jc w:val="center"/>
                  </w:pPr>
                  <w:r>
                    <w:t>最大输出电流</w:t>
                  </w:r>
                </w:p>
              </w:tc>
              <w:tc>
                <w:tcPr>
                  <w:tcW w:w="1306" w:type="dxa"/>
                  <w:gridSpan w:val="2"/>
                  <w:vAlign w:val="center"/>
                </w:tcPr>
                <w:p w14:paraId="0E243565">
                  <w:pPr>
                    <w:jc w:val="center"/>
                  </w:pPr>
                  <w:r>
                    <w:t>A</w:t>
                  </w:r>
                </w:p>
              </w:tc>
              <w:tc>
                <w:tcPr>
                  <w:tcW w:w="2054" w:type="dxa"/>
                  <w:gridSpan w:val="2"/>
                  <w:vAlign w:val="center"/>
                </w:tcPr>
                <w:p w14:paraId="44E6293F">
                  <w:pPr>
                    <w:ind w:firstLine="0" w:firstLineChars="0"/>
                    <w:jc w:val="center"/>
                  </w:pPr>
                  <w:r>
                    <w:rPr>
                      <w:rFonts w:hint="eastAsia"/>
                    </w:rPr>
                    <w:t>216.6</w:t>
                  </w:r>
                </w:p>
              </w:tc>
              <w:tc>
                <w:tcPr>
                  <w:tcW w:w="1500" w:type="dxa"/>
                  <w:vAlign w:val="center"/>
                </w:tcPr>
                <w:p w14:paraId="6E509DC3">
                  <w:pPr>
                    <w:jc w:val="center"/>
                  </w:pPr>
                  <w:r>
                    <w:rPr>
                      <w:rFonts w:hint="eastAsia"/>
                    </w:rPr>
                    <w:t>/</w:t>
                  </w:r>
                </w:p>
              </w:tc>
            </w:tr>
            <w:tr w14:paraId="4EDF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41ED4BA6">
                  <w:pPr>
                    <w:jc w:val="center"/>
                  </w:pPr>
                  <w:r>
                    <w:t>2.4</w:t>
                  </w:r>
                </w:p>
              </w:tc>
              <w:tc>
                <w:tcPr>
                  <w:tcW w:w="2671" w:type="dxa"/>
                  <w:vAlign w:val="center"/>
                </w:tcPr>
                <w:p w14:paraId="4FDADA3B">
                  <w:pPr>
                    <w:jc w:val="center"/>
                  </w:pPr>
                  <w:r>
                    <w:t>最大效率</w:t>
                  </w:r>
                </w:p>
              </w:tc>
              <w:tc>
                <w:tcPr>
                  <w:tcW w:w="1306" w:type="dxa"/>
                  <w:gridSpan w:val="2"/>
                  <w:vAlign w:val="center"/>
                </w:tcPr>
                <w:p w14:paraId="4F9063A0">
                  <w:pPr>
                    <w:jc w:val="center"/>
                  </w:pPr>
                  <w:r>
                    <w:t>%</w:t>
                  </w:r>
                </w:p>
              </w:tc>
              <w:tc>
                <w:tcPr>
                  <w:tcW w:w="2054" w:type="dxa"/>
                  <w:gridSpan w:val="2"/>
                  <w:vAlign w:val="center"/>
                </w:tcPr>
                <w:p w14:paraId="4AE6CBDC">
                  <w:pPr>
                    <w:ind w:firstLine="0" w:firstLineChars="0"/>
                    <w:jc w:val="center"/>
                  </w:pPr>
                  <w:r>
                    <w:t>99.0</w:t>
                  </w:r>
                  <w:r>
                    <w:rPr>
                      <w:rFonts w:hint="eastAsia"/>
                    </w:rPr>
                    <w:t>1</w:t>
                  </w:r>
                </w:p>
              </w:tc>
              <w:tc>
                <w:tcPr>
                  <w:tcW w:w="1500" w:type="dxa"/>
                  <w:vAlign w:val="center"/>
                </w:tcPr>
                <w:p w14:paraId="29541DC5">
                  <w:pPr>
                    <w:jc w:val="center"/>
                  </w:pPr>
                  <w:r>
                    <w:rPr>
                      <w:rFonts w:hint="eastAsia"/>
                    </w:rPr>
                    <w:t>/</w:t>
                  </w:r>
                </w:p>
              </w:tc>
            </w:tr>
            <w:tr w14:paraId="13EC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3A96AEDD">
                  <w:pPr>
                    <w:jc w:val="center"/>
                  </w:pPr>
                  <w:r>
                    <w:t>2.5</w:t>
                  </w:r>
                </w:p>
              </w:tc>
              <w:tc>
                <w:tcPr>
                  <w:tcW w:w="2671" w:type="dxa"/>
                  <w:vAlign w:val="center"/>
                </w:tcPr>
                <w:p w14:paraId="5EF4B962">
                  <w:pPr>
                    <w:jc w:val="center"/>
                  </w:pPr>
                  <w:r>
                    <w:t>中国效率</w:t>
                  </w:r>
                </w:p>
              </w:tc>
              <w:tc>
                <w:tcPr>
                  <w:tcW w:w="1306" w:type="dxa"/>
                  <w:gridSpan w:val="2"/>
                  <w:vAlign w:val="center"/>
                </w:tcPr>
                <w:p w14:paraId="73827E08">
                  <w:pPr>
                    <w:jc w:val="center"/>
                  </w:pPr>
                  <w:r>
                    <w:t>%</w:t>
                  </w:r>
                </w:p>
              </w:tc>
              <w:tc>
                <w:tcPr>
                  <w:tcW w:w="2054" w:type="dxa"/>
                  <w:gridSpan w:val="2"/>
                  <w:vAlign w:val="center"/>
                </w:tcPr>
                <w:p w14:paraId="488DA66E">
                  <w:pPr>
                    <w:ind w:firstLine="0" w:firstLineChars="0"/>
                    <w:jc w:val="center"/>
                  </w:pPr>
                  <w:r>
                    <w:t>98.</w:t>
                  </w:r>
                  <w:r>
                    <w:rPr>
                      <w:rFonts w:hint="eastAsia"/>
                    </w:rPr>
                    <w:t>52</w:t>
                  </w:r>
                </w:p>
              </w:tc>
              <w:tc>
                <w:tcPr>
                  <w:tcW w:w="1500" w:type="dxa"/>
                  <w:vAlign w:val="center"/>
                </w:tcPr>
                <w:p w14:paraId="6C6E9DF1">
                  <w:pPr>
                    <w:jc w:val="center"/>
                  </w:pPr>
                  <w:r>
                    <w:rPr>
                      <w:rFonts w:hint="eastAsia"/>
                    </w:rPr>
                    <w:t>/</w:t>
                  </w:r>
                </w:p>
              </w:tc>
            </w:tr>
            <w:tr w14:paraId="3987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599B3B90">
                  <w:pPr>
                    <w:jc w:val="center"/>
                  </w:pPr>
                  <w:r>
                    <w:t>2.6</w:t>
                  </w:r>
                </w:p>
              </w:tc>
              <w:tc>
                <w:tcPr>
                  <w:tcW w:w="2671" w:type="dxa"/>
                  <w:vAlign w:val="center"/>
                </w:tcPr>
                <w:p w14:paraId="7049878D">
                  <w:pPr>
                    <w:jc w:val="center"/>
                  </w:pPr>
                  <w:r>
                    <w:t>最大输入电压</w:t>
                  </w:r>
                </w:p>
              </w:tc>
              <w:tc>
                <w:tcPr>
                  <w:tcW w:w="1306" w:type="dxa"/>
                  <w:gridSpan w:val="2"/>
                  <w:vAlign w:val="center"/>
                </w:tcPr>
                <w:p w14:paraId="3AAD96AD">
                  <w:pPr>
                    <w:jc w:val="center"/>
                  </w:pPr>
                  <w:r>
                    <w:t>Vdc</w:t>
                  </w:r>
                </w:p>
              </w:tc>
              <w:tc>
                <w:tcPr>
                  <w:tcW w:w="2054" w:type="dxa"/>
                  <w:gridSpan w:val="2"/>
                  <w:vAlign w:val="center"/>
                </w:tcPr>
                <w:p w14:paraId="73D565B1">
                  <w:pPr>
                    <w:ind w:firstLine="0" w:firstLineChars="0"/>
                    <w:jc w:val="center"/>
                  </w:pPr>
                  <w:r>
                    <w:t>1500</w:t>
                  </w:r>
                </w:p>
              </w:tc>
              <w:tc>
                <w:tcPr>
                  <w:tcW w:w="1500" w:type="dxa"/>
                  <w:vAlign w:val="center"/>
                </w:tcPr>
                <w:p w14:paraId="757BA8B5">
                  <w:pPr>
                    <w:jc w:val="center"/>
                  </w:pPr>
                  <w:r>
                    <w:rPr>
                      <w:rFonts w:hint="eastAsia"/>
                    </w:rPr>
                    <w:t>/</w:t>
                  </w:r>
                </w:p>
              </w:tc>
            </w:tr>
            <w:tr w14:paraId="3155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0C3022F2">
                  <w:pPr>
                    <w:jc w:val="center"/>
                  </w:pPr>
                  <w:r>
                    <w:t>2.7</w:t>
                  </w:r>
                </w:p>
              </w:tc>
              <w:tc>
                <w:tcPr>
                  <w:tcW w:w="2671" w:type="dxa"/>
                  <w:vAlign w:val="center"/>
                </w:tcPr>
                <w:p w14:paraId="3E19AE0E">
                  <w:pPr>
                    <w:jc w:val="center"/>
                  </w:pPr>
                  <w:r>
                    <w:t>满载MPPT电压范围</w:t>
                  </w:r>
                </w:p>
              </w:tc>
              <w:tc>
                <w:tcPr>
                  <w:tcW w:w="1306" w:type="dxa"/>
                  <w:gridSpan w:val="2"/>
                  <w:vAlign w:val="center"/>
                </w:tcPr>
                <w:p w14:paraId="155D2A29">
                  <w:pPr>
                    <w:jc w:val="center"/>
                  </w:pPr>
                  <w:r>
                    <w:t>Vdc</w:t>
                  </w:r>
                </w:p>
              </w:tc>
              <w:tc>
                <w:tcPr>
                  <w:tcW w:w="2054" w:type="dxa"/>
                  <w:gridSpan w:val="2"/>
                  <w:vAlign w:val="center"/>
                </w:tcPr>
                <w:p w14:paraId="2EABE37A">
                  <w:pPr>
                    <w:ind w:firstLine="0" w:firstLineChars="0"/>
                    <w:jc w:val="center"/>
                  </w:pPr>
                  <w:r>
                    <w:t>500~1500</w:t>
                  </w:r>
                </w:p>
              </w:tc>
              <w:tc>
                <w:tcPr>
                  <w:tcW w:w="1500" w:type="dxa"/>
                  <w:vAlign w:val="center"/>
                </w:tcPr>
                <w:p w14:paraId="7B7E5CBB">
                  <w:pPr>
                    <w:jc w:val="center"/>
                  </w:pPr>
                  <w:r>
                    <w:rPr>
                      <w:rFonts w:hint="eastAsia"/>
                    </w:rPr>
                    <w:t>/</w:t>
                  </w:r>
                </w:p>
              </w:tc>
            </w:tr>
            <w:tr w14:paraId="5D6B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7514E4A8">
                  <w:pPr>
                    <w:jc w:val="center"/>
                  </w:pPr>
                  <w:r>
                    <w:t>2.8</w:t>
                  </w:r>
                </w:p>
              </w:tc>
              <w:tc>
                <w:tcPr>
                  <w:tcW w:w="2671" w:type="dxa"/>
                  <w:vAlign w:val="center"/>
                </w:tcPr>
                <w:p w14:paraId="1E9FD663">
                  <w:pPr>
                    <w:jc w:val="center"/>
                  </w:pPr>
                  <w:r>
                    <w:t>额定输入电压</w:t>
                  </w:r>
                </w:p>
              </w:tc>
              <w:tc>
                <w:tcPr>
                  <w:tcW w:w="1306" w:type="dxa"/>
                  <w:gridSpan w:val="2"/>
                  <w:vAlign w:val="center"/>
                </w:tcPr>
                <w:p w14:paraId="33F1AA9D">
                  <w:pPr>
                    <w:jc w:val="center"/>
                  </w:pPr>
                  <w:r>
                    <w:t>V</w:t>
                  </w:r>
                </w:p>
              </w:tc>
              <w:tc>
                <w:tcPr>
                  <w:tcW w:w="2054" w:type="dxa"/>
                  <w:gridSpan w:val="2"/>
                  <w:vAlign w:val="center"/>
                </w:tcPr>
                <w:p w14:paraId="26EA0615">
                  <w:pPr>
                    <w:ind w:firstLine="0" w:firstLineChars="0"/>
                    <w:jc w:val="center"/>
                  </w:pPr>
                  <w:r>
                    <w:rPr>
                      <w:rFonts w:hint="eastAsia"/>
                    </w:rPr>
                    <w:t>1080</w:t>
                  </w:r>
                </w:p>
              </w:tc>
              <w:tc>
                <w:tcPr>
                  <w:tcW w:w="1500" w:type="dxa"/>
                  <w:vAlign w:val="center"/>
                </w:tcPr>
                <w:p w14:paraId="0EC8A7E2">
                  <w:pPr>
                    <w:jc w:val="center"/>
                  </w:pPr>
                  <w:r>
                    <w:rPr>
                      <w:rFonts w:hint="eastAsia"/>
                    </w:rPr>
                    <w:t>/</w:t>
                  </w:r>
                </w:p>
              </w:tc>
            </w:tr>
            <w:tr w14:paraId="01C4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64D31F5F">
                  <w:pPr>
                    <w:jc w:val="center"/>
                  </w:pPr>
                  <w:r>
                    <w:t>2.9</w:t>
                  </w:r>
                </w:p>
              </w:tc>
              <w:tc>
                <w:tcPr>
                  <w:tcW w:w="2671" w:type="dxa"/>
                  <w:vAlign w:val="center"/>
                </w:tcPr>
                <w:p w14:paraId="09C499E9">
                  <w:pPr>
                    <w:jc w:val="center"/>
                  </w:pPr>
                  <w:r>
                    <w:t>额定电网电压</w:t>
                  </w:r>
                </w:p>
              </w:tc>
              <w:tc>
                <w:tcPr>
                  <w:tcW w:w="1306" w:type="dxa"/>
                  <w:gridSpan w:val="2"/>
                  <w:vAlign w:val="center"/>
                </w:tcPr>
                <w:p w14:paraId="18A90EFE">
                  <w:pPr>
                    <w:jc w:val="center"/>
                  </w:pPr>
                  <w:r>
                    <w:t>V</w:t>
                  </w:r>
                </w:p>
              </w:tc>
              <w:tc>
                <w:tcPr>
                  <w:tcW w:w="2054" w:type="dxa"/>
                  <w:gridSpan w:val="2"/>
                  <w:vAlign w:val="center"/>
                </w:tcPr>
                <w:p w14:paraId="4DE8C4BA">
                  <w:pPr>
                    <w:ind w:firstLine="0" w:firstLineChars="0"/>
                    <w:jc w:val="center"/>
                  </w:pPr>
                  <w:r>
                    <w:t>800</w:t>
                  </w:r>
                </w:p>
              </w:tc>
              <w:tc>
                <w:tcPr>
                  <w:tcW w:w="1500" w:type="dxa"/>
                  <w:vAlign w:val="center"/>
                </w:tcPr>
                <w:p w14:paraId="1AFDFBE4">
                  <w:pPr>
                    <w:jc w:val="center"/>
                  </w:pPr>
                  <w:r>
                    <w:rPr>
                      <w:rFonts w:hint="eastAsia"/>
                    </w:rPr>
                    <w:t>/</w:t>
                  </w:r>
                </w:p>
              </w:tc>
            </w:tr>
            <w:tr w14:paraId="55A9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759E5DF9">
                  <w:pPr>
                    <w:jc w:val="center"/>
                  </w:pPr>
                  <w:r>
                    <w:t>2.10</w:t>
                  </w:r>
                </w:p>
              </w:tc>
              <w:tc>
                <w:tcPr>
                  <w:tcW w:w="2671" w:type="dxa"/>
                  <w:vAlign w:val="center"/>
                </w:tcPr>
                <w:p w14:paraId="6E04E023">
                  <w:pPr>
                    <w:jc w:val="center"/>
                  </w:pPr>
                  <w:r>
                    <w:t>输出频率范围</w:t>
                  </w:r>
                </w:p>
              </w:tc>
              <w:tc>
                <w:tcPr>
                  <w:tcW w:w="1306" w:type="dxa"/>
                  <w:gridSpan w:val="2"/>
                  <w:vAlign w:val="center"/>
                </w:tcPr>
                <w:p w14:paraId="5E51E9A4">
                  <w:pPr>
                    <w:jc w:val="center"/>
                  </w:pPr>
                  <w:r>
                    <w:t>Hz</w:t>
                  </w:r>
                </w:p>
              </w:tc>
              <w:tc>
                <w:tcPr>
                  <w:tcW w:w="2054" w:type="dxa"/>
                  <w:gridSpan w:val="2"/>
                  <w:vAlign w:val="center"/>
                </w:tcPr>
                <w:p w14:paraId="5893F06A">
                  <w:pPr>
                    <w:ind w:firstLine="0" w:firstLineChars="0"/>
                    <w:jc w:val="center"/>
                  </w:pPr>
                  <w:r>
                    <w:rPr>
                      <w:rFonts w:hint="eastAsia"/>
                    </w:rPr>
                    <w:t>50</w:t>
                  </w:r>
                </w:p>
              </w:tc>
              <w:tc>
                <w:tcPr>
                  <w:tcW w:w="1500" w:type="dxa"/>
                  <w:vAlign w:val="center"/>
                </w:tcPr>
                <w:p w14:paraId="06894CB7">
                  <w:pPr>
                    <w:jc w:val="center"/>
                  </w:pPr>
                  <w:r>
                    <w:rPr>
                      <w:rFonts w:hint="eastAsia"/>
                    </w:rPr>
                    <w:t>/</w:t>
                  </w:r>
                </w:p>
              </w:tc>
            </w:tr>
            <w:tr w14:paraId="60D2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3D853CB5">
                  <w:pPr>
                    <w:jc w:val="center"/>
                  </w:pPr>
                  <w:r>
                    <w:t>2.11</w:t>
                  </w:r>
                </w:p>
              </w:tc>
              <w:tc>
                <w:tcPr>
                  <w:tcW w:w="2671" w:type="dxa"/>
                  <w:vAlign w:val="center"/>
                </w:tcPr>
                <w:p w14:paraId="279DCA6F">
                  <w:pPr>
                    <w:jc w:val="center"/>
                  </w:pPr>
                  <w:r>
                    <w:t>功率因数</w:t>
                  </w:r>
                </w:p>
              </w:tc>
              <w:tc>
                <w:tcPr>
                  <w:tcW w:w="1306" w:type="dxa"/>
                  <w:gridSpan w:val="2"/>
                  <w:vAlign w:val="center"/>
                </w:tcPr>
                <w:p w14:paraId="322B2EAC">
                  <w:pPr>
                    <w:jc w:val="center"/>
                  </w:pPr>
                </w:p>
              </w:tc>
              <w:tc>
                <w:tcPr>
                  <w:tcW w:w="2054" w:type="dxa"/>
                  <w:gridSpan w:val="2"/>
                  <w:vAlign w:val="center"/>
                </w:tcPr>
                <w:p w14:paraId="34421185">
                  <w:pPr>
                    <w:ind w:firstLine="0" w:firstLineChars="0"/>
                    <w:jc w:val="center"/>
                  </w:pPr>
                  <w:r>
                    <w:rPr>
                      <w:rFonts w:hint="eastAsia"/>
                    </w:rPr>
                    <w:t>0.8超前~</w:t>
                  </w:r>
                  <w:r>
                    <w:t>0.</w:t>
                  </w:r>
                  <w:r>
                    <w:rPr>
                      <w:rFonts w:hint="eastAsia"/>
                    </w:rPr>
                    <w:t>8滞后</w:t>
                  </w:r>
                </w:p>
              </w:tc>
              <w:tc>
                <w:tcPr>
                  <w:tcW w:w="1500" w:type="dxa"/>
                  <w:vAlign w:val="center"/>
                </w:tcPr>
                <w:p w14:paraId="12E55AD7">
                  <w:pPr>
                    <w:jc w:val="center"/>
                  </w:pPr>
                  <w:r>
                    <w:rPr>
                      <w:rFonts w:hint="eastAsia"/>
                    </w:rPr>
                    <w:t>/</w:t>
                  </w:r>
                </w:p>
              </w:tc>
            </w:tr>
            <w:tr w14:paraId="6618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3FA872EE">
                  <w:pPr>
                    <w:jc w:val="center"/>
                  </w:pPr>
                  <w:r>
                    <w:t>2.12</w:t>
                  </w:r>
                </w:p>
              </w:tc>
              <w:tc>
                <w:tcPr>
                  <w:tcW w:w="2671" w:type="dxa"/>
                  <w:vAlign w:val="center"/>
                </w:tcPr>
                <w:p w14:paraId="478906BA">
                  <w:pPr>
                    <w:jc w:val="center"/>
                  </w:pPr>
                  <w:r>
                    <w:t>宽/高/深</w:t>
                  </w:r>
                </w:p>
              </w:tc>
              <w:tc>
                <w:tcPr>
                  <w:tcW w:w="1306" w:type="dxa"/>
                  <w:gridSpan w:val="2"/>
                  <w:vAlign w:val="center"/>
                </w:tcPr>
                <w:p w14:paraId="0E198B17">
                  <w:pPr>
                    <w:jc w:val="center"/>
                  </w:pPr>
                  <w:r>
                    <w:t>mm</w:t>
                  </w:r>
                </w:p>
              </w:tc>
              <w:tc>
                <w:tcPr>
                  <w:tcW w:w="2054" w:type="dxa"/>
                  <w:gridSpan w:val="2"/>
                  <w:vAlign w:val="center"/>
                </w:tcPr>
                <w:p w14:paraId="5A989B8D">
                  <w:pPr>
                    <w:ind w:firstLine="0" w:firstLineChars="0"/>
                    <w:jc w:val="center"/>
                  </w:pPr>
                  <w:r>
                    <w:t>10</w:t>
                  </w:r>
                  <w:r>
                    <w:rPr>
                      <w:rFonts w:hint="eastAsia"/>
                    </w:rPr>
                    <w:t>48</w:t>
                  </w:r>
                  <w:r>
                    <w:t>×</w:t>
                  </w:r>
                  <w:r>
                    <w:rPr>
                      <w:rFonts w:hint="eastAsia"/>
                    </w:rPr>
                    <w:t>732</w:t>
                  </w:r>
                  <w:r>
                    <w:t>×</w:t>
                  </w:r>
                  <w:r>
                    <w:rPr>
                      <w:rFonts w:hint="eastAsia"/>
                    </w:rPr>
                    <w:t>395</w:t>
                  </w:r>
                </w:p>
              </w:tc>
              <w:tc>
                <w:tcPr>
                  <w:tcW w:w="1500" w:type="dxa"/>
                  <w:vAlign w:val="center"/>
                </w:tcPr>
                <w:p w14:paraId="52F733FC">
                  <w:pPr>
                    <w:jc w:val="center"/>
                  </w:pPr>
                  <w:r>
                    <w:rPr>
                      <w:rFonts w:hint="eastAsia"/>
                    </w:rPr>
                    <w:t>/</w:t>
                  </w:r>
                </w:p>
              </w:tc>
            </w:tr>
            <w:tr w14:paraId="5242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7E49AD3E">
                  <w:pPr>
                    <w:jc w:val="center"/>
                  </w:pPr>
                  <w:r>
                    <w:t>2.13</w:t>
                  </w:r>
                </w:p>
              </w:tc>
              <w:tc>
                <w:tcPr>
                  <w:tcW w:w="2671" w:type="dxa"/>
                  <w:vAlign w:val="center"/>
                </w:tcPr>
                <w:p w14:paraId="2BDFEEAF">
                  <w:pPr>
                    <w:jc w:val="center"/>
                  </w:pPr>
                  <w:r>
                    <w:t>重量</w:t>
                  </w:r>
                </w:p>
              </w:tc>
              <w:tc>
                <w:tcPr>
                  <w:tcW w:w="1306" w:type="dxa"/>
                  <w:gridSpan w:val="2"/>
                  <w:vAlign w:val="center"/>
                </w:tcPr>
                <w:p w14:paraId="65EFF3B3">
                  <w:pPr>
                    <w:jc w:val="center"/>
                  </w:pPr>
                  <w:r>
                    <w:t>kg</w:t>
                  </w:r>
                </w:p>
              </w:tc>
              <w:tc>
                <w:tcPr>
                  <w:tcW w:w="2054" w:type="dxa"/>
                  <w:gridSpan w:val="2"/>
                  <w:vAlign w:val="center"/>
                </w:tcPr>
                <w:p w14:paraId="18683972">
                  <w:pPr>
                    <w:ind w:firstLine="0" w:firstLineChars="0"/>
                    <w:jc w:val="center"/>
                  </w:pPr>
                  <w:r>
                    <w:rPr>
                      <w:rFonts w:hint="eastAsia"/>
                    </w:rPr>
                    <w:t>112</w:t>
                  </w:r>
                </w:p>
              </w:tc>
              <w:tc>
                <w:tcPr>
                  <w:tcW w:w="1500" w:type="dxa"/>
                  <w:vAlign w:val="center"/>
                </w:tcPr>
                <w:p w14:paraId="725E8574">
                  <w:pPr>
                    <w:jc w:val="center"/>
                  </w:pPr>
                  <w:r>
                    <w:rPr>
                      <w:rFonts w:hint="eastAsia"/>
                    </w:rPr>
                    <w:t>/</w:t>
                  </w:r>
                </w:p>
              </w:tc>
            </w:tr>
            <w:tr w14:paraId="659B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2BC64A31">
                  <w:pPr>
                    <w:jc w:val="center"/>
                  </w:pPr>
                  <w:r>
                    <w:t>2.14</w:t>
                  </w:r>
                </w:p>
              </w:tc>
              <w:tc>
                <w:tcPr>
                  <w:tcW w:w="2671" w:type="dxa"/>
                  <w:vAlign w:val="center"/>
                </w:tcPr>
                <w:p w14:paraId="438F1F36">
                  <w:pPr>
                    <w:jc w:val="center"/>
                  </w:pPr>
                  <w:r>
                    <w:t>工作环境温度范围</w:t>
                  </w:r>
                </w:p>
              </w:tc>
              <w:tc>
                <w:tcPr>
                  <w:tcW w:w="1306" w:type="dxa"/>
                  <w:gridSpan w:val="2"/>
                  <w:vAlign w:val="center"/>
                </w:tcPr>
                <w:p w14:paraId="5E414043">
                  <w:pPr>
                    <w:jc w:val="center"/>
                  </w:pPr>
                  <w:r>
                    <w:t>℃</w:t>
                  </w:r>
                </w:p>
              </w:tc>
              <w:tc>
                <w:tcPr>
                  <w:tcW w:w="2054" w:type="dxa"/>
                  <w:gridSpan w:val="2"/>
                  <w:vAlign w:val="center"/>
                </w:tcPr>
                <w:p w14:paraId="7D7C28A2">
                  <w:pPr>
                    <w:ind w:firstLine="0" w:firstLineChars="0"/>
                    <w:jc w:val="center"/>
                  </w:pPr>
                  <w:r>
                    <w:rPr>
                      <w:rFonts w:hint="eastAsia"/>
                    </w:rPr>
                    <w:t>-</w:t>
                  </w:r>
                  <w:r>
                    <w:t>3</w:t>
                  </w:r>
                  <w:r>
                    <w:rPr>
                      <w:rFonts w:hint="eastAsia"/>
                    </w:rPr>
                    <w:t>0~60</w:t>
                  </w:r>
                </w:p>
              </w:tc>
              <w:tc>
                <w:tcPr>
                  <w:tcW w:w="1500" w:type="dxa"/>
                  <w:vAlign w:val="center"/>
                </w:tcPr>
                <w:p w14:paraId="3D8D3379">
                  <w:pPr>
                    <w:jc w:val="center"/>
                  </w:pPr>
                  <w:r>
                    <w:rPr>
                      <w:rFonts w:hint="eastAsia"/>
                    </w:rPr>
                    <w:t>/</w:t>
                  </w:r>
                </w:p>
              </w:tc>
            </w:tr>
            <w:tr w14:paraId="5C45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47E3049D">
                  <w:pPr>
                    <w:jc w:val="center"/>
                  </w:pPr>
                  <w:r>
                    <w:t>2.15</w:t>
                  </w:r>
                </w:p>
              </w:tc>
              <w:tc>
                <w:tcPr>
                  <w:tcW w:w="2671" w:type="dxa"/>
                  <w:vAlign w:val="center"/>
                </w:tcPr>
                <w:p w14:paraId="310959C3">
                  <w:pPr>
                    <w:jc w:val="center"/>
                  </w:pPr>
                  <w:r>
                    <w:t>数量</w:t>
                  </w:r>
                </w:p>
              </w:tc>
              <w:tc>
                <w:tcPr>
                  <w:tcW w:w="1306" w:type="dxa"/>
                  <w:gridSpan w:val="2"/>
                  <w:vAlign w:val="center"/>
                </w:tcPr>
                <w:p w14:paraId="16278937">
                  <w:pPr>
                    <w:jc w:val="center"/>
                  </w:pPr>
                  <w:r>
                    <w:t>台</w:t>
                  </w:r>
                </w:p>
              </w:tc>
              <w:tc>
                <w:tcPr>
                  <w:tcW w:w="2054" w:type="dxa"/>
                  <w:gridSpan w:val="2"/>
                  <w:vAlign w:val="center"/>
                </w:tcPr>
                <w:p w14:paraId="294D8911">
                  <w:pPr>
                    <w:ind w:firstLine="0" w:firstLineChars="0"/>
                    <w:jc w:val="center"/>
                  </w:pPr>
                  <w:r>
                    <w:rPr>
                      <w:rFonts w:hint="eastAsia"/>
                    </w:rPr>
                    <w:t>750</w:t>
                  </w:r>
                </w:p>
              </w:tc>
              <w:tc>
                <w:tcPr>
                  <w:tcW w:w="1500" w:type="dxa"/>
                  <w:vAlign w:val="center"/>
                </w:tcPr>
                <w:p w14:paraId="7D7C3F5A">
                  <w:pPr>
                    <w:jc w:val="center"/>
                  </w:pPr>
                  <w:r>
                    <w:rPr>
                      <w:rFonts w:hint="eastAsia"/>
                    </w:rPr>
                    <w:t>/</w:t>
                  </w:r>
                </w:p>
              </w:tc>
            </w:tr>
            <w:tr w14:paraId="4695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97" w:type="dxa"/>
                  <w:gridSpan w:val="8"/>
                  <w:vAlign w:val="center"/>
                </w:tcPr>
                <w:p w14:paraId="52EA231F">
                  <w:pPr>
                    <w:jc w:val="center"/>
                  </w:pPr>
                  <w:r>
                    <w:rPr>
                      <w:b/>
                      <w:bCs/>
                    </w:rPr>
                    <w:t>3升压变电站进线回路数、电压等级和出线形式</w:t>
                  </w:r>
                </w:p>
              </w:tc>
            </w:tr>
            <w:tr w14:paraId="6968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383715D8">
                  <w:pPr>
                    <w:jc w:val="center"/>
                  </w:pPr>
                  <w:r>
                    <w:t>3.1</w:t>
                  </w:r>
                </w:p>
              </w:tc>
              <w:tc>
                <w:tcPr>
                  <w:tcW w:w="2671" w:type="dxa"/>
                  <w:vAlign w:val="center"/>
                </w:tcPr>
                <w:p w14:paraId="3BAFE8F7">
                  <w:pPr>
                    <w:jc w:val="center"/>
                  </w:pPr>
                  <w:r>
                    <w:t>进线回路数</w:t>
                  </w:r>
                </w:p>
              </w:tc>
              <w:tc>
                <w:tcPr>
                  <w:tcW w:w="1306" w:type="dxa"/>
                  <w:gridSpan w:val="2"/>
                  <w:vAlign w:val="center"/>
                </w:tcPr>
                <w:p w14:paraId="17828216">
                  <w:pPr>
                    <w:jc w:val="center"/>
                  </w:pPr>
                  <w:r>
                    <w:t>回</w:t>
                  </w:r>
                </w:p>
              </w:tc>
              <w:tc>
                <w:tcPr>
                  <w:tcW w:w="2054" w:type="dxa"/>
                  <w:gridSpan w:val="2"/>
                  <w:vAlign w:val="center"/>
                </w:tcPr>
                <w:p w14:paraId="31E6C8F6">
                  <w:pPr>
                    <w:jc w:val="center"/>
                  </w:pPr>
                  <w:r>
                    <w:t>1</w:t>
                  </w:r>
                  <w:r>
                    <w:rPr>
                      <w:rFonts w:hint="eastAsia"/>
                      <w:lang w:val="en-US" w:eastAsia="zh-CN"/>
                    </w:rPr>
                    <w:t>1</w:t>
                  </w:r>
                </w:p>
              </w:tc>
              <w:tc>
                <w:tcPr>
                  <w:tcW w:w="1500" w:type="dxa"/>
                  <w:vAlign w:val="center"/>
                </w:tcPr>
                <w:p w14:paraId="21F459BD">
                  <w:pPr>
                    <w:jc w:val="center"/>
                  </w:pPr>
                  <w:r>
                    <w:rPr>
                      <w:rFonts w:hint="eastAsia"/>
                    </w:rPr>
                    <w:t>/</w:t>
                  </w:r>
                </w:p>
              </w:tc>
            </w:tr>
            <w:tr w14:paraId="5495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66" w:type="dxa"/>
                  <w:gridSpan w:val="2"/>
                  <w:vAlign w:val="center"/>
                </w:tcPr>
                <w:p w14:paraId="2582DA3C">
                  <w:pPr>
                    <w:jc w:val="center"/>
                  </w:pPr>
                  <w:r>
                    <w:t>3.2</w:t>
                  </w:r>
                </w:p>
              </w:tc>
              <w:tc>
                <w:tcPr>
                  <w:tcW w:w="2671" w:type="dxa"/>
                  <w:vAlign w:val="center"/>
                </w:tcPr>
                <w:p w14:paraId="2B8BCC32">
                  <w:pPr>
                    <w:jc w:val="center"/>
                  </w:pPr>
                  <w:r>
                    <w:t>电压等级</w:t>
                  </w:r>
                </w:p>
              </w:tc>
              <w:tc>
                <w:tcPr>
                  <w:tcW w:w="1306" w:type="dxa"/>
                  <w:gridSpan w:val="2"/>
                  <w:vAlign w:val="center"/>
                </w:tcPr>
                <w:p w14:paraId="45CE0E27">
                  <w:pPr>
                    <w:jc w:val="center"/>
                  </w:pPr>
                  <w:r>
                    <w:t>kV</w:t>
                  </w:r>
                </w:p>
              </w:tc>
              <w:tc>
                <w:tcPr>
                  <w:tcW w:w="2054" w:type="dxa"/>
                  <w:gridSpan w:val="2"/>
                  <w:vAlign w:val="center"/>
                </w:tcPr>
                <w:p w14:paraId="3E03EA5D">
                  <w:pPr>
                    <w:jc w:val="center"/>
                  </w:pPr>
                  <w:r>
                    <w:t>3</w:t>
                  </w:r>
                  <w:r>
                    <w:rPr>
                      <w:rFonts w:hint="eastAsia"/>
                      <w:lang w:val="en-US" w:eastAsia="zh-CN"/>
                    </w:rPr>
                    <w:t>3</w:t>
                  </w:r>
                </w:p>
              </w:tc>
              <w:tc>
                <w:tcPr>
                  <w:tcW w:w="1500" w:type="dxa"/>
                  <w:vAlign w:val="center"/>
                </w:tcPr>
                <w:p w14:paraId="7CF1E860">
                  <w:pPr>
                    <w:jc w:val="center"/>
                  </w:pPr>
                  <w:r>
                    <w:rPr>
                      <w:rFonts w:hint="eastAsia"/>
                    </w:rPr>
                    <w:t>/</w:t>
                  </w:r>
                </w:p>
              </w:tc>
            </w:tr>
            <w:bookmarkEnd w:id="18"/>
            <w:tr w14:paraId="2AF8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8397" w:type="dxa"/>
                  <w:gridSpan w:val="8"/>
                  <w:vAlign w:val="center"/>
                </w:tcPr>
                <w:p w14:paraId="4574B751">
                  <w:pPr>
                    <w:pStyle w:val="76"/>
                    <w:spacing w:before="27"/>
                    <w:ind w:left="103"/>
                    <w:jc w:val="center"/>
                    <w:rPr>
                      <w:kern w:val="2"/>
                      <w:sz w:val="21"/>
                      <w:szCs w:val="21"/>
                    </w:rPr>
                  </w:pPr>
                  <w:r>
                    <w:rPr>
                      <w:rFonts w:hint="eastAsia"/>
                      <w:b/>
                      <w:bCs/>
                      <w:kern w:val="2"/>
                      <w:sz w:val="21"/>
                      <w:szCs w:val="21"/>
                      <w:lang w:val="en-US" w:eastAsia="zh-CN"/>
                    </w:rPr>
                    <w:t>4</w:t>
                  </w:r>
                  <w:r>
                    <w:rPr>
                      <w:b/>
                      <w:bCs/>
                      <w:kern w:val="2"/>
                      <w:sz w:val="21"/>
                      <w:szCs w:val="21"/>
                    </w:rPr>
                    <w:t>箱式升压变压器</w:t>
                  </w:r>
                </w:p>
              </w:tc>
            </w:tr>
            <w:tr w14:paraId="39BC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37" w:type="dxa"/>
                  <w:vAlign w:val="center"/>
                </w:tcPr>
                <w:p w14:paraId="576C698A">
                  <w:pPr>
                    <w:pStyle w:val="76"/>
                    <w:spacing w:before="78"/>
                    <w:jc w:val="center"/>
                    <w:rPr>
                      <w:kern w:val="2"/>
                      <w:sz w:val="21"/>
                      <w:szCs w:val="21"/>
                    </w:rPr>
                  </w:pPr>
                  <w:r>
                    <w:rPr>
                      <w:rFonts w:hint="eastAsia"/>
                      <w:kern w:val="2"/>
                      <w:sz w:val="21"/>
                      <w:szCs w:val="21"/>
                      <w:lang w:val="en-US" w:eastAsia="zh-CN"/>
                    </w:rPr>
                    <w:t>4.</w:t>
                  </w:r>
                  <w:r>
                    <w:rPr>
                      <w:kern w:val="2"/>
                      <w:sz w:val="21"/>
                      <w:szCs w:val="21"/>
                    </w:rPr>
                    <w:t>1</w:t>
                  </w:r>
                </w:p>
              </w:tc>
              <w:tc>
                <w:tcPr>
                  <w:tcW w:w="3947" w:type="dxa"/>
                  <w:gridSpan w:val="3"/>
                  <w:vAlign w:val="center"/>
                </w:tcPr>
                <w:p w14:paraId="691AED23">
                  <w:pPr>
                    <w:pStyle w:val="76"/>
                    <w:spacing w:before="27"/>
                    <w:ind w:left="103"/>
                    <w:jc w:val="center"/>
                    <w:rPr>
                      <w:kern w:val="2"/>
                      <w:sz w:val="21"/>
                      <w:szCs w:val="21"/>
                    </w:rPr>
                  </w:pPr>
                  <w:r>
                    <w:rPr>
                      <w:kern w:val="2"/>
                      <w:sz w:val="21"/>
                      <w:szCs w:val="21"/>
                    </w:rPr>
                    <w:t>台数</w:t>
                  </w:r>
                </w:p>
              </w:tc>
              <w:tc>
                <w:tcPr>
                  <w:tcW w:w="895" w:type="dxa"/>
                  <w:gridSpan w:val="2"/>
                  <w:vAlign w:val="center"/>
                </w:tcPr>
                <w:p w14:paraId="0A0EC93D">
                  <w:pPr>
                    <w:pStyle w:val="76"/>
                    <w:spacing w:before="76"/>
                    <w:ind w:left="1"/>
                    <w:jc w:val="center"/>
                    <w:rPr>
                      <w:kern w:val="2"/>
                      <w:sz w:val="21"/>
                      <w:szCs w:val="21"/>
                    </w:rPr>
                  </w:pPr>
                  <w:r>
                    <w:rPr>
                      <w:kern w:val="2"/>
                      <w:sz w:val="21"/>
                      <w:szCs w:val="21"/>
                    </w:rPr>
                    <w:t>台</w:t>
                  </w:r>
                </w:p>
              </w:tc>
              <w:tc>
                <w:tcPr>
                  <w:tcW w:w="1418" w:type="dxa"/>
                  <w:vAlign w:val="center"/>
                </w:tcPr>
                <w:p w14:paraId="4948FF32">
                  <w:pPr>
                    <w:pStyle w:val="76"/>
                    <w:spacing w:before="78"/>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76</w:t>
                  </w:r>
                </w:p>
              </w:tc>
              <w:tc>
                <w:tcPr>
                  <w:tcW w:w="1500" w:type="dxa"/>
                  <w:vAlign w:val="center"/>
                </w:tcPr>
                <w:p w14:paraId="7214710F">
                  <w:pPr>
                    <w:jc w:val="center"/>
                  </w:pPr>
                  <w:r>
                    <w:rPr>
                      <w:rFonts w:hint="eastAsia"/>
                    </w:rPr>
                    <w:t>/</w:t>
                  </w:r>
                </w:p>
              </w:tc>
            </w:tr>
            <w:tr w14:paraId="0FAF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637" w:type="dxa"/>
                  <w:vAlign w:val="center"/>
                </w:tcPr>
                <w:p w14:paraId="1DE6DCAE">
                  <w:pPr>
                    <w:pStyle w:val="76"/>
                    <w:tabs>
                      <w:tab w:val="left" w:pos="210"/>
                      <w:tab w:val="center" w:pos="373"/>
                    </w:tabs>
                    <w:spacing w:before="78"/>
                    <w:jc w:val="left"/>
                    <w:rPr>
                      <w:kern w:val="2"/>
                      <w:sz w:val="21"/>
                      <w:szCs w:val="21"/>
                    </w:rPr>
                  </w:pPr>
                  <w:r>
                    <w:rPr>
                      <w:rFonts w:hint="eastAsia"/>
                      <w:kern w:val="2"/>
                      <w:sz w:val="21"/>
                      <w:szCs w:val="21"/>
                      <w:lang w:eastAsia="zh-CN"/>
                    </w:rPr>
                    <w:tab/>
                  </w:r>
                  <w:r>
                    <w:rPr>
                      <w:rFonts w:hint="eastAsia"/>
                      <w:kern w:val="2"/>
                      <w:sz w:val="21"/>
                      <w:szCs w:val="21"/>
                      <w:lang w:val="en-US" w:eastAsia="zh-CN"/>
                    </w:rPr>
                    <w:t>4.</w:t>
                  </w:r>
                  <w:r>
                    <w:rPr>
                      <w:rFonts w:hint="eastAsia"/>
                      <w:kern w:val="2"/>
                      <w:sz w:val="21"/>
                      <w:szCs w:val="21"/>
                      <w:lang w:eastAsia="zh-CN"/>
                    </w:rPr>
                    <w:tab/>
                  </w:r>
                  <w:r>
                    <w:rPr>
                      <w:kern w:val="2"/>
                      <w:sz w:val="21"/>
                      <w:szCs w:val="21"/>
                    </w:rPr>
                    <w:t>2</w:t>
                  </w:r>
                </w:p>
              </w:tc>
              <w:tc>
                <w:tcPr>
                  <w:tcW w:w="3947" w:type="dxa"/>
                  <w:gridSpan w:val="3"/>
                  <w:vAlign w:val="center"/>
                </w:tcPr>
                <w:p w14:paraId="705BAE77">
                  <w:pPr>
                    <w:pStyle w:val="76"/>
                    <w:spacing w:before="27"/>
                    <w:ind w:left="103"/>
                    <w:jc w:val="center"/>
                    <w:rPr>
                      <w:kern w:val="2"/>
                      <w:sz w:val="21"/>
                      <w:szCs w:val="21"/>
                    </w:rPr>
                  </w:pPr>
                  <w:r>
                    <w:rPr>
                      <w:kern w:val="2"/>
                      <w:sz w:val="21"/>
                      <w:szCs w:val="21"/>
                    </w:rPr>
                    <w:t>容量</w:t>
                  </w:r>
                </w:p>
              </w:tc>
              <w:tc>
                <w:tcPr>
                  <w:tcW w:w="895" w:type="dxa"/>
                  <w:gridSpan w:val="2"/>
                  <w:vAlign w:val="center"/>
                </w:tcPr>
                <w:p w14:paraId="5FC37E98">
                  <w:pPr>
                    <w:pStyle w:val="76"/>
                    <w:spacing w:before="76"/>
                    <w:ind w:left="1"/>
                    <w:jc w:val="center"/>
                    <w:rPr>
                      <w:kern w:val="2"/>
                      <w:sz w:val="21"/>
                      <w:szCs w:val="21"/>
                    </w:rPr>
                  </w:pPr>
                  <w:r>
                    <w:rPr>
                      <w:kern w:val="2"/>
                      <w:sz w:val="21"/>
                      <w:szCs w:val="21"/>
                    </w:rPr>
                    <w:t>kVA</w:t>
                  </w:r>
                </w:p>
              </w:tc>
              <w:tc>
                <w:tcPr>
                  <w:tcW w:w="1418" w:type="dxa"/>
                  <w:vAlign w:val="center"/>
                </w:tcPr>
                <w:p w14:paraId="1C595CE2">
                  <w:pPr>
                    <w:pStyle w:val="76"/>
                    <w:spacing w:before="78"/>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3150</w:t>
                  </w:r>
                </w:p>
              </w:tc>
              <w:tc>
                <w:tcPr>
                  <w:tcW w:w="1500" w:type="dxa"/>
                  <w:vAlign w:val="center"/>
                </w:tcPr>
                <w:p w14:paraId="774CBAA8">
                  <w:pPr>
                    <w:jc w:val="center"/>
                  </w:pPr>
                  <w:r>
                    <w:rPr>
                      <w:rFonts w:hint="eastAsia"/>
                    </w:rPr>
                    <w:t>/</w:t>
                  </w:r>
                </w:p>
              </w:tc>
            </w:tr>
          </w:tbl>
          <w:p w14:paraId="349CC12C">
            <w:pPr>
              <w:snapToGrid w:val="0"/>
              <w:spacing w:line="360" w:lineRule="auto"/>
              <w:ind w:firstLine="482" w:firstLineChars="200"/>
              <w:rPr>
                <w:rFonts w:hint="eastAsia"/>
                <w:b/>
                <w:bCs/>
                <w:color w:val="000000"/>
                <w:sz w:val="24"/>
                <w:szCs w:val="24"/>
              </w:rPr>
            </w:pPr>
            <w:r>
              <w:rPr>
                <w:b/>
                <w:bCs/>
                <w:sz w:val="24"/>
              </w:rPr>
              <w:t>3、</w:t>
            </w:r>
            <w:r>
              <w:rPr>
                <w:rFonts w:hint="eastAsia"/>
                <w:b/>
                <w:bCs/>
                <w:color w:val="000000"/>
                <w:sz w:val="24"/>
                <w:szCs w:val="24"/>
              </w:rPr>
              <w:t>光伏组件设备与发电量匹配性分析</w:t>
            </w:r>
          </w:p>
          <w:p w14:paraId="5B7F8177">
            <w:pPr>
              <w:snapToGrid w:val="0"/>
              <w:spacing w:line="360" w:lineRule="auto"/>
              <w:ind w:firstLine="480" w:firstLineChars="200"/>
              <w:rPr>
                <w:rFonts w:hint="eastAsia"/>
                <w:sz w:val="24"/>
              </w:rPr>
            </w:pPr>
            <w:r>
              <w:rPr>
                <w:rFonts w:hint="eastAsia"/>
                <w:sz w:val="24"/>
              </w:rPr>
              <w:t>本工程光伏电池组件76个方阵按590Wp单晶硅双面组件设计，共布置485272块光伏组件，上网电量计算如下：</w:t>
            </w:r>
          </w:p>
          <w:p w14:paraId="364F7AC2">
            <w:pPr>
              <w:snapToGrid w:val="0"/>
              <w:spacing w:line="360" w:lineRule="auto"/>
              <w:ind w:firstLine="480" w:firstLineChars="200"/>
              <w:rPr>
                <w:rFonts w:hint="eastAsia"/>
                <w:sz w:val="24"/>
              </w:rPr>
            </w:pPr>
            <w:r>
              <w:rPr>
                <w:rFonts w:hint="eastAsia"/>
                <w:sz w:val="24"/>
              </w:rPr>
              <w:t>1）年上网电量</w:t>
            </w:r>
          </w:p>
          <w:p w14:paraId="1E856393">
            <w:pPr>
              <w:snapToGrid w:val="0"/>
              <w:spacing w:line="360" w:lineRule="auto"/>
              <w:ind w:firstLine="480" w:firstLineChars="200"/>
              <w:rPr>
                <w:rFonts w:hint="eastAsia"/>
                <w:sz w:val="24"/>
              </w:rPr>
            </w:pPr>
            <w:r>
              <w:rPr>
                <w:rFonts w:hint="eastAsia"/>
                <w:sz w:val="24"/>
              </w:rPr>
              <w:t>（1）水平面总辐射量</w:t>
            </w:r>
          </w:p>
          <w:p w14:paraId="27DD8ECF">
            <w:pPr>
              <w:snapToGrid w:val="0"/>
              <w:spacing w:line="360" w:lineRule="auto"/>
              <w:ind w:firstLine="480" w:firstLineChars="200"/>
              <w:rPr>
                <w:rFonts w:hint="eastAsia"/>
                <w:sz w:val="24"/>
              </w:rPr>
            </w:pPr>
            <w:r>
              <w:rPr>
                <w:rFonts w:hint="eastAsia"/>
                <w:sz w:val="24"/>
              </w:rPr>
              <w:t>根据计算，水平面上年平均太阳辐射为5085.4MJ/m</w:t>
            </w:r>
            <w:r>
              <w:rPr>
                <w:rFonts w:hint="eastAsia"/>
                <w:sz w:val="24"/>
                <w:vertAlign w:val="superscript"/>
              </w:rPr>
              <w:t>2</w:t>
            </w:r>
            <w:r>
              <w:rPr>
                <w:rFonts w:hint="eastAsia"/>
                <w:sz w:val="24"/>
              </w:rPr>
              <w:t>，即1412.6kWh/m</w:t>
            </w:r>
            <w:r>
              <w:rPr>
                <w:rFonts w:hint="eastAsia"/>
                <w:sz w:val="24"/>
                <w:vertAlign w:val="superscript"/>
              </w:rPr>
              <w:t>2</w:t>
            </w:r>
            <w:r>
              <w:rPr>
                <w:rFonts w:hint="eastAsia"/>
                <w:sz w:val="24"/>
              </w:rPr>
              <w:t>。</w:t>
            </w:r>
          </w:p>
          <w:p w14:paraId="44AD8005">
            <w:pPr>
              <w:snapToGrid w:val="0"/>
              <w:spacing w:line="360" w:lineRule="auto"/>
              <w:ind w:firstLine="480" w:firstLineChars="200"/>
              <w:rPr>
                <w:rFonts w:hint="eastAsia"/>
                <w:sz w:val="24"/>
              </w:rPr>
            </w:pPr>
            <w:r>
              <w:rPr>
                <w:rFonts w:hint="eastAsia"/>
                <w:sz w:val="24"/>
              </w:rPr>
              <w:t>（2）安装方式</w:t>
            </w:r>
          </w:p>
          <w:p w14:paraId="15F5DEDA">
            <w:pPr>
              <w:snapToGrid w:val="0"/>
              <w:spacing w:line="360" w:lineRule="auto"/>
              <w:ind w:firstLine="480" w:firstLineChars="200"/>
              <w:rPr>
                <w:rFonts w:hint="eastAsia"/>
                <w:sz w:val="24"/>
              </w:rPr>
            </w:pPr>
            <w:r>
              <w:rPr>
                <w:rFonts w:hint="eastAsia"/>
                <w:sz w:val="24"/>
              </w:rPr>
              <w:t>根据倾斜面辐射量PVsyst测算，可得出本工程光伏阵列布置方案下电池组件太阳</w:t>
            </w:r>
          </w:p>
          <w:p w14:paraId="0CB7BB04">
            <w:pPr>
              <w:snapToGrid w:val="0"/>
              <w:spacing w:line="360" w:lineRule="auto"/>
              <w:ind w:firstLine="480" w:firstLineChars="200"/>
              <w:rPr>
                <w:rFonts w:hint="eastAsia"/>
                <w:sz w:val="24"/>
              </w:rPr>
            </w:pPr>
            <w:r>
              <w:rPr>
                <w:rFonts w:hint="eastAsia"/>
                <w:sz w:val="24"/>
              </w:rPr>
              <w:t>辐射量，见表</w:t>
            </w:r>
            <w:r>
              <w:rPr>
                <w:rFonts w:hint="eastAsia"/>
                <w:sz w:val="24"/>
                <w:lang w:val="en-US" w:eastAsia="zh-CN"/>
              </w:rPr>
              <w:t>2</w:t>
            </w:r>
            <w:r>
              <w:rPr>
                <w:rFonts w:hint="eastAsia"/>
                <w:sz w:val="24"/>
              </w:rPr>
              <w:t>-</w:t>
            </w:r>
            <w:r>
              <w:rPr>
                <w:rFonts w:hint="eastAsia"/>
                <w:sz w:val="24"/>
                <w:lang w:val="en-US" w:eastAsia="zh-CN"/>
              </w:rPr>
              <w:t>5</w:t>
            </w:r>
            <w:r>
              <w:rPr>
                <w:rFonts w:hint="eastAsia"/>
                <w:sz w:val="24"/>
              </w:rPr>
              <w:t>；</w:t>
            </w:r>
          </w:p>
          <w:p w14:paraId="41A229B7">
            <w:pPr>
              <w:snapToGrid w:val="0"/>
              <w:spacing w:line="360" w:lineRule="auto"/>
              <w:ind w:firstLine="1928" w:firstLineChars="800"/>
              <w:rPr>
                <w:rFonts w:hint="eastAsia"/>
                <w:b/>
                <w:bCs/>
                <w:sz w:val="24"/>
              </w:rPr>
            </w:pPr>
            <w:r>
              <w:rPr>
                <w:rFonts w:hint="eastAsia"/>
                <w:b/>
                <w:bCs/>
                <w:sz w:val="24"/>
              </w:rPr>
              <w:t xml:space="preserve">表 </w:t>
            </w:r>
            <w:r>
              <w:rPr>
                <w:rFonts w:hint="eastAsia"/>
                <w:b/>
                <w:bCs/>
                <w:sz w:val="24"/>
                <w:lang w:val="en-US" w:eastAsia="zh-CN"/>
              </w:rPr>
              <w:t>2</w:t>
            </w:r>
            <w:r>
              <w:rPr>
                <w:rFonts w:hint="eastAsia"/>
                <w:b/>
                <w:bCs/>
                <w:sz w:val="24"/>
              </w:rPr>
              <w:t>-</w:t>
            </w:r>
            <w:r>
              <w:rPr>
                <w:rFonts w:hint="eastAsia"/>
                <w:b/>
                <w:bCs/>
                <w:sz w:val="24"/>
                <w:lang w:val="en-US" w:eastAsia="zh-CN"/>
              </w:rPr>
              <w:t>5</w:t>
            </w:r>
            <w:r>
              <w:rPr>
                <w:rFonts w:hint="eastAsia"/>
                <w:b/>
                <w:bCs/>
                <w:sz w:val="24"/>
              </w:rPr>
              <w:t xml:space="preserve"> 光伏阵列的倾斜面辐射量（单位：kWh/m</w:t>
            </w:r>
            <w:r>
              <w:rPr>
                <w:rFonts w:hint="eastAsia"/>
                <w:b/>
                <w:bCs/>
                <w:sz w:val="24"/>
                <w:vertAlign w:val="superscript"/>
              </w:rPr>
              <w:t>2</w:t>
            </w:r>
            <w:r>
              <w:rPr>
                <w:rFonts w:hint="eastAsia"/>
                <w:b/>
                <w:bCs/>
                <w:sz w:val="24"/>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3"/>
              <w:gridCol w:w="2605"/>
              <w:gridCol w:w="3085"/>
            </w:tblGrid>
            <w:tr w14:paraId="2A73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1C697F4E">
                  <w:pPr>
                    <w:spacing w:line="240" w:lineRule="auto"/>
                    <w:ind w:firstLine="0" w:firstLineChars="0"/>
                    <w:jc w:val="center"/>
                  </w:pPr>
                  <w:r>
                    <w:rPr>
                      <w:rFonts w:hint="eastAsia"/>
                    </w:rPr>
                    <w:t>月份</w:t>
                  </w:r>
                </w:p>
              </w:tc>
              <w:tc>
                <w:tcPr>
                  <w:tcW w:w="2605" w:type="dxa"/>
                </w:tcPr>
                <w:p w14:paraId="683630FB">
                  <w:pPr>
                    <w:spacing w:line="240" w:lineRule="auto"/>
                    <w:ind w:firstLine="0" w:firstLineChars="0"/>
                    <w:jc w:val="center"/>
                  </w:pPr>
                  <w:r>
                    <w:rPr>
                      <w:rFonts w:hint="eastAsia"/>
                    </w:rPr>
                    <w:t>柔性支架</w:t>
                  </w:r>
                </w:p>
              </w:tc>
              <w:tc>
                <w:tcPr>
                  <w:tcW w:w="3085" w:type="dxa"/>
                  <w:vAlign w:val="top"/>
                </w:tcPr>
                <w:p w14:paraId="4C09A9B8">
                  <w:pPr>
                    <w:spacing w:line="240" w:lineRule="auto"/>
                    <w:ind w:firstLine="0" w:firstLineChars="0"/>
                    <w:jc w:val="center"/>
                    <w:rPr>
                      <w:rFonts w:hint="eastAsia"/>
                    </w:rPr>
                  </w:pPr>
                  <w:r>
                    <w:rPr>
                      <w:rFonts w:hint="eastAsia"/>
                    </w:rPr>
                    <w:t>固定支架</w:t>
                  </w:r>
                </w:p>
              </w:tc>
            </w:tr>
            <w:tr w14:paraId="6A4E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62576F53">
                  <w:pPr>
                    <w:spacing w:line="240" w:lineRule="auto"/>
                    <w:ind w:firstLine="0" w:firstLineChars="0"/>
                    <w:jc w:val="center"/>
                  </w:pPr>
                  <w:r>
                    <w:rPr>
                      <w:rFonts w:hint="eastAsia"/>
                    </w:rPr>
                    <w:t>1月</w:t>
                  </w:r>
                </w:p>
              </w:tc>
              <w:tc>
                <w:tcPr>
                  <w:tcW w:w="2605" w:type="dxa"/>
                </w:tcPr>
                <w:p w14:paraId="7322AF66">
                  <w:pPr>
                    <w:spacing w:line="240" w:lineRule="auto"/>
                    <w:ind w:firstLine="0" w:firstLineChars="0"/>
                    <w:jc w:val="center"/>
                    <w:rPr>
                      <w:rFonts w:hint="eastAsia" w:ascii="宋体" w:hAnsi="宋体"/>
                    </w:rPr>
                  </w:pPr>
                  <w:r>
                    <w:rPr>
                      <w:rFonts w:hint="eastAsia"/>
                    </w:rPr>
                    <w:t>107.7</w:t>
                  </w:r>
                </w:p>
              </w:tc>
              <w:tc>
                <w:tcPr>
                  <w:tcW w:w="3085" w:type="dxa"/>
                  <w:vAlign w:val="top"/>
                </w:tcPr>
                <w:p w14:paraId="65CC33C4">
                  <w:pPr>
                    <w:spacing w:line="240" w:lineRule="auto"/>
                    <w:ind w:firstLine="0" w:firstLineChars="0"/>
                    <w:jc w:val="center"/>
                    <w:rPr>
                      <w:rFonts w:hint="eastAsia"/>
                    </w:rPr>
                  </w:pPr>
                  <w:r>
                    <w:rPr>
                      <w:rFonts w:cs="Times New Roman"/>
                    </w:rPr>
                    <w:t>120.2</w:t>
                  </w:r>
                </w:p>
              </w:tc>
            </w:tr>
            <w:tr w14:paraId="621C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400CD05E">
                  <w:pPr>
                    <w:spacing w:line="240" w:lineRule="auto"/>
                    <w:ind w:firstLine="0" w:firstLineChars="0"/>
                    <w:jc w:val="center"/>
                  </w:pPr>
                  <w:r>
                    <w:rPr>
                      <w:rFonts w:hint="eastAsia"/>
                    </w:rPr>
                    <w:t>2月</w:t>
                  </w:r>
                </w:p>
              </w:tc>
              <w:tc>
                <w:tcPr>
                  <w:tcW w:w="2605" w:type="dxa"/>
                </w:tcPr>
                <w:p w14:paraId="6764D30D">
                  <w:pPr>
                    <w:spacing w:line="240" w:lineRule="auto"/>
                    <w:ind w:firstLine="0" w:firstLineChars="0"/>
                    <w:jc w:val="center"/>
                    <w:rPr>
                      <w:rFonts w:hint="eastAsia" w:ascii="宋体" w:hAnsi="宋体"/>
                    </w:rPr>
                  </w:pPr>
                  <w:r>
                    <w:rPr>
                      <w:rFonts w:hint="eastAsia"/>
                    </w:rPr>
                    <w:t>113.0</w:t>
                  </w:r>
                </w:p>
              </w:tc>
              <w:tc>
                <w:tcPr>
                  <w:tcW w:w="3085" w:type="dxa"/>
                  <w:vAlign w:val="top"/>
                </w:tcPr>
                <w:p w14:paraId="064CBE1A">
                  <w:pPr>
                    <w:spacing w:line="240" w:lineRule="auto"/>
                    <w:ind w:firstLine="0" w:firstLineChars="0"/>
                    <w:jc w:val="center"/>
                    <w:rPr>
                      <w:rFonts w:hint="eastAsia"/>
                    </w:rPr>
                  </w:pPr>
                  <w:r>
                    <w:rPr>
                      <w:rFonts w:cs="Times New Roman"/>
                    </w:rPr>
                    <w:t>121.9</w:t>
                  </w:r>
                </w:p>
              </w:tc>
            </w:tr>
            <w:tr w14:paraId="387C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4B9D28D9">
                  <w:pPr>
                    <w:spacing w:line="240" w:lineRule="auto"/>
                    <w:ind w:firstLine="0" w:firstLineChars="0"/>
                    <w:jc w:val="center"/>
                  </w:pPr>
                  <w:r>
                    <w:rPr>
                      <w:rFonts w:hint="eastAsia"/>
                    </w:rPr>
                    <w:t>3月</w:t>
                  </w:r>
                </w:p>
              </w:tc>
              <w:tc>
                <w:tcPr>
                  <w:tcW w:w="2605" w:type="dxa"/>
                </w:tcPr>
                <w:p w14:paraId="3AD6FB1C">
                  <w:pPr>
                    <w:spacing w:line="240" w:lineRule="auto"/>
                    <w:ind w:firstLine="0" w:firstLineChars="0"/>
                    <w:jc w:val="center"/>
                    <w:rPr>
                      <w:rFonts w:hint="eastAsia" w:ascii="宋体" w:hAnsi="宋体"/>
                    </w:rPr>
                  </w:pPr>
                  <w:r>
                    <w:rPr>
                      <w:rFonts w:hint="eastAsia"/>
                    </w:rPr>
                    <w:t>134.1</w:t>
                  </w:r>
                </w:p>
              </w:tc>
              <w:tc>
                <w:tcPr>
                  <w:tcW w:w="3085" w:type="dxa"/>
                  <w:vAlign w:val="top"/>
                </w:tcPr>
                <w:p w14:paraId="6FE2599E">
                  <w:pPr>
                    <w:spacing w:line="240" w:lineRule="auto"/>
                    <w:ind w:firstLine="0" w:firstLineChars="0"/>
                    <w:jc w:val="center"/>
                    <w:rPr>
                      <w:rFonts w:hint="eastAsia"/>
                    </w:rPr>
                  </w:pPr>
                  <w:r>
                    <w:rPr>
                      <w:rFonts w:cs="Times New Roman"/>
                    </w:rPr>
                    <w:t>138.1</w:t>
                  </w:r>
                </w:p>
              </w:tc>
            </w:tr>
            <w:tr w14:paraId="3A52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4C1F5FEB">
                  <w:pPr>
                    <w:spacing w:line="240" w:lineRule="auto"/>
                    <w:ind w:firstLine="0" w:firstLineChars="0"/>
                    <w:jc w:val="center"/>
                  </w:pPr>
                  <w:r>
                    <w:rPr>
                      <w:rFonts w:hint="eastAsia"/>
                    </w:rPr>
                    <w:t>4月</w:t>
                  </w:r>
                </w:p>
              </w:tc>
              <w:tc>
                <w:tcPr>
                  <w:tcW w:w="2605" w:type="dxa"/>
                </w:tcPr>
                <w:p w14:paraId="7DBF86BF">
                  <w:pPr>
                    <w:spacing w:line="240" w:lineRule="auto"/>
                    <w:ind w:firstLine="0" w:firstLineChars="0"/>
                    <w:jc w:val="center"/>
                    <w:rPr>
                      <w:rFonts w:hint="eastAsia" w:ascii="宋体" w:hAnsi="宋体"/>
                    </w:rPr>
                  </w:pPr>
                  <w:r>
                    <w:rPr>
                      <w:rFonts w:hint="eastAsia"/>
                    </w:rPr>
                    <w:t>148.8</w:t>
                  </w:r>
                </w:p>
              </w:tc>
              <w:tc>
                <w:tcPr>
                  <w:tcW w:w="3085" w:type="dxa"/>
                  <w:vAlign w:val="top"/>
                </w:tcPr>
                <w:p w14:paraId="3CCFE7FF">
                  <w:pPr>
                    <w:spacing w:line="240" w:lineRule="auto"/>
                    <w:ind w:firstLine="0" w:firstLineChars="0"/>
                    <w:jc w:val="center"/>
                    <w:rPr>
                      <w:rFonts w:hint="eastAsia"/>
                    </w:rPr>
                  </w:pPr>
                  <w:r>
                    <w:rPr>
                      <w:rFonts w:cs="Times New Roman"/>
                    </w:rPr>
                    <w:t>148.7</w:t>
                  </w:r>
                </w:p>
              </w:tc>
            </w:tr>
            <w:tr w14:paraId="61AC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63A7A57A">
                  <w:pPr>
                    <w:spacing w:line="240" w:lineRule="auto"/>
                    <w:ind w:firstLine="0" w:firstLineChars="0"/>
                    <w:jc w:val="center"/>
                  </w:pPr>
                  <w:r>
                    <w:rPr>
                      <w:rFonts w:hint="eastAsia"/>
                    </w:rPr>
                    <w:t>5月</w:t>
                  </w:r>
                </w:p>
              </w:tc>
              <w:tc>
                <w:tcPr>
                  <w:tcW w:w="2605" w:type="dxa"/>
                </w:tcPr>
                <w:p w14:paraId="1F460580">
                  <w:pPr>
                    <w:spacing w:line="240" w:lineRule="auto"/>
                    <w:ind w:firstLine="0" w:firstLineChars="0"/>
                    <w:jc w:val="center"/>
                    <w:rPr>
                      <w:rFonts w:hint="eastAsia" w:ascii="宋体" w:hAnsi="宋体"/>
                    </w:rPr>
                  </w:pPr>
                  <w:r>
                    <w:t>16</w:t>
                  </w:r>
                  <w:r>
                    <w:rPr>
                      <w:rFonts w:hint="eastAsia"/>
                    </w:rPr>
                    <w:t>1.1</w:t>
                  </w:r>
                </w:p>
              </w:tc>
              <w:tc>
                <w:tcPr>
                  <w:tcW w:w="3085" w:type="dxa"/>
                  <w:vAlign w:val="top"/>
                </w:tcPr>
                <w:p w14:paraId="39BEC618">
                  <w:pPr>
                    <w:spacing w:line="240" w:lineRule="auto"/>
                    <w:ind w:firstLine="0" w:firstLineChars="0"/>
                    <w:jc w:val="center"/>
                  </w:pPr>
                  <w:r>
                    <w:rPr>
                      <w:rFonts w:cs="Times New Roman"/>
                    </w:rPr>
                    <w:t>156.8</w:t>
                  </w:r>
                </w:p>
              </w:tc>
            </w:tr>
            <w:tr w14:paraId="073F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7EDC857B">
                  <w:pPr>
                    <w:spacing w:line="240" w:lineRule="auto"/>
                    <w:ind w:firstLine="0" w:firstLineChars="0"/>
                    <w:jc w:val="center"/>
                  </w:pPr>
                  <w:r>
                    <w:rPr>
                      <w:rFonts w:hint="eastAsia"/>
                    </w:rPr>
                    <w:t>6月</w:t>
                  </w:r>
                </w:p>
              </w:tc>
              <w:tc>
                <w:tcPr>
                  <w:tcW w:w="2605" w:type="dxa"/>
                </w:tcPr>
                <w:p w14:paraId="73350C9A">
                  <w:pPr>
                    <w:spacing w:line="240" w:lineRule="auto"/>
                    <w:ind w:firstLine="0" w:firstLineChars="0"/>
                    <w:jc w:val="center"/>
                    <w:rPr>
                      <w:rFonts w:hint="eastAsia" w:ascii="宋体" w:hAnsi="宋体"/>
                    </w:rPr>
                  </w:pPr>
                  <w:r>
                    <w:t>14</w:t>
                  </w:r>
                  <w:r>
                    <w:rPr>
                      <w:rFonts w:hint="eastAsia"/>
                    </w:rPr>
                    <w:t>5</w:t>
                  </w:r>
                  <w:r>
                    <w:t>.</w:t>
                  </w:r>
                  <w:r>
                    <w:rPr>
                      <w:rFonts w:hint="eastAsia"/>
                    </w:rPr>
                    <w:t>8</w:t>
                  </w:r>
                </w:p>
              </w:tc>
              <w:tc>
                <w:tcPr>
                  <w:tcW w:w="3085" w:type="dxa"/>
                  <w:vAlign w:val="top"/>
                </w:tcPr>
                <w:p w14:paraId="5D75F890">
                  <w:pPr>
                    <w:spacing w:line="240" w:lineRule="auto"/>
                    <w:ind w:firstLine="0" w:firstLineChars="0"/>
                    <w:jc w:val="center"/>
                  </w:pPr>
                  <w:r>
                    <w:rPr>
                      <w:rFonts w:cs="Times New Roman"/>
                    </w:rPr>
                    <w:t>140.4</w:t>
                  </w:r>
                </w:p>
              </w:tc>
            </w:tr>
            <w:tr w14:paraId="6B3F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5282E930">
                  <w:pPr>
                    <w:spacing w:line="240" w:lineRule="auto"/>
                    <w:ind w:firstLine="0" w:firstLineChars="0"/>
                    <w:jc w:val="center"/>
                  </w:pPr>
                  <w:r>
                    <w:rPr>
                      <w:rFonts w:hint="eastAsia"/>
                    </w:rPr>
                    <w:t>7月</w:t>
                  </w:r>
                </w:p>
              </w:tc>
              <w:tc>
                <w:tcPr>
                  <w:tcW w:w="2605" w:type="dxa"/>
                </w:tcPr>
                <w:p w14:paraId="57AE3204">
                  <w:pPr>
                    <w:spacing w:line="240" w:lineRule="auto"/>
                    <w:ind w:firstLine="0" w:firstLineChars="0"/>
                    <w:jc w:val="center"/>
                    <w:rPr>
                      <w:rFonts w:hint="eastAsia" w:ascii="宋体" w:hAnsi="宋体"/>
                    </w:rPr>
                  </w:pPr>
                  <w:r>
                    <w:t>1</w:t>
                  </w:r>
                  <w:r>
                    <w:rPr>
                      <w:rFonts w:hint="eastAsia"/>
                    </w:rPr>
                    <w:t>38.1</w:t>
                  </w:r>
                </w:p>
              </w:tc>
              <w:tc>
                <w:tcPr>
                  <w:tcW w:w="3085" w:type="dxa"/>
                  <w:vAlign w:val="top"/>
                </w:tcPr>
                <w:p w14:paraId="6A2ECAC6">
                  <w:pPr>
                    <w:spacing w:line="240" w:lineRule="auto"/>
                    <w:ind w:firstLine="0" w:firstLineChars="0"/>
                    <w:jc w:val="center"/>
                  </w:pPr>
                  <w:r>
                    <w:rPr>
                      <w:rFonts w:cs="Times New Roman"/>
                    </w:rPr>
                    <w:t>133.3</w:t>
                  </w:r>
                </w:p>
              </w:tc>
            </w:tr>
            <w:tr w14:paraId="5F3D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754C5014">
                  <w:pPr>
                    <w:spacing w:line="240" w:lineRule="auto"/>
                    <w:ind w:firstLine="0" w:firstLineChars="0"/>
                    <w:jc w:val="center"/>
                  </w:pPr>
                  <w:r>
                    <w:rPr>
                      <w:rFonts w:hint="eastAsia"/>
                    </w:rPr>
                    <w:t>8月</w:t>
                  </w:r>
                </w:p>
              </w:tc>
              <w:tc>
                <w:tcPr>
                  <w:tcW w:w="2605" w:type="dxa"/>
                </w:tcPr>
                <w:p w14:paraId="31D54ED6">
                  <w:pPr>
                    <w:spacing w:line="240" w:lineRule="auto"/>
                    <w:ind w:firstLine="0" w:firstLineChars="0"/>
                    <w:jc w:val="center"/>
                    <w:rPr>
                      <w:rFonts w:hint="eastAsia" w:ascii="宋体" w:hAnsi="宋体"/>
                    </w:rPr>
                  </w:pPr>
                  <w:r>
                    <w:rPr>
                      <w:rFonts w:hint="eastAsia"/>
                    </w:rPr>
                    <w:t>135.9</w:t>
                  </w:r>
                </w:p>
              </w:tc>
              <w:tc>
                <w:tcPr>
                  <w:tcW w:w="3085" w:type="dxa"/>
                  <w:vAlign w:val="top"/>
                </w:tcPr>
                <w:p w14:paraId="16A0330B">
                  <w:pPr>
                    <w:spacing w:line="240" w:lineRule="auto"/>
                    <w:ind w:firstLine="0" w:firstLineChars="0"/>
                    <w:jc w:val="center"/>
                    <w:rPr>
                      <w:rFonts w:hint="eastAsia"/>
                    </w:rPr>
                  </w:pPr>
                  <w:r>
                    <w:rPr>
                      <w:rFonts w:cs="Times New Roman"/>
                    </w:rPr>
                    <w:t>133.2</w:t>
                  </w:r>
                </w:p>
              </w:tc>
            </w:tr>
            <w:tr w14:paraId="0A1A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70B4B07E">
                  <w:pPr>
                    <w:spacing w:line="240" w:lineRule="auto"/>
                    <w:ind w:firstLine="0" w:firstLineChars="0"/>
                    <w:jc w:val="center"/>
                  </w:pPr>
                  <w:r>
                    <w:rPr>
                      <w:rFonts w:hint="eastAsia"/>
                    </w:rPr>
                    <w:t>9月</w:t>
                  </w:r>
                </w:p>
              </w:tc>
              <w:tc>
                <w:tcPr>
                  <w:tcW w:w="2605" w:type="dxa"/>
                </w:tcPr>
                <w:p w14:paraId="15AA8CE7">
                  <w:pPr>
                    <w:spacing w:line="240" w:lineRule="auto"/>
                    <w:ind w:firstLine="0" w:firstLineChars="0"/>
                    <w:jc w:val="center"/>
                    <w:rPr>
                      <w:rFonts w:hint="eastAsia" w:ascii="宋体" w:hAnsi="宋体"/>
                    </w:rPr>
                  </w:pPr>
                  <w:r>
                    <w:t>1</w:t>
                  </w:r>
                  <w:r>
                    <w:rPr>
                      <w:rFonts w:hint="eastAsia"/>
                    </w:rPr>
                    <w:t>26.0</w:t>
                  </w:r>
                </w:p>
              </w:tc>
              <w:tc>
                <w:tcPr>
                  <w:tcW w:w="3085" w:type="dxa"/>
                  <w:vAlign w:val="top"/>
                </w:tcPr>
                <w:p w14:paraId="7DE3AA12">
                  <w:pPr>
                    <w:spacing w:line="240" w:lineRule="auto"/>
                    <w:ind w:firstLine="0" w:firstLineChars="0"/>
                    <w:jc w:val="center"/>
                  </w:pPr>
                  <w:r>
                    <w:rPr>
                      <w:rFonts w:cs="Times New Roman"/>
                    </w:rPr>
                    <w:t>127.5</w:t>
                  </w:r>
                </w:p>
              </w:tc>
            </w:tr>
            <w:tr w14:paraId="0013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40BC14DB">
                  <w:pPr>
                    <w:spacing w:line="240" w:lineRule="auto"/>
                    <w:ind w:firstLine="0" w:firstLineChars="0"/>
                    <w:jc w:val="center"/>
                  </w:pPr>
                  <w:r>
                    <w:rPr>
                      <w:rFonts w:hint="eastAsia"/>
                    </w:rPr>
                    <w:t>10月</w:t>
                  </w:r>
                </w:p>
              </w:tc>
              <w:tc>
                <w:tcPr>
                  <w:tcW w:w="2605" w:type="dxa"/>
                </w:tcPr>
                <w:p w14:paraId="3650A24A">
                  <w:pPr>
                    <w:spacing w:line="240" w:lineRule="auto"/>
                    <w:ind w:firstLine="0" w:firstLineChars="0"/>
                    <w:jc w:val="center"/>
                    <w:rPr>
                      <w:rFonts w:hint="eastAsia" w:ascii="宋体" w:hAnsi="宋体"/>
                    </w:rPr>
                  </w:pPr>
                  <w:r>
                    <w:rPr>
                      <w:rFonts w:hint="eastAsia"/>
                    </w:rPr>
                    <w:t>113.0</w:t>
                  </w:r>
                </w:p>
              </w:tc>
              <w:tc>
                <w:tcPr>
                  <w:tcW w:w="3085" w:type="dxa"/>
                  <w:vAlign w:val="top"/>
                </w:tcPr>
                <w:p w14:paraId="6B2AE98E">
                  <w:pPr>
                    <w:spacing w:line="240" w:lineRule="auto"/>
                    <w:ind w:firstLine="0" w:firstLineChars="0"/>
                    <w:jc w:val="center"/>
                    <w:rPr>
                      <w:rFonts w:hint="eastAsia"/>
                    </w:rPr>
                  </w:pPr>
                  <w:r>
                    <w:rPr>
                      <w:rFonts w:cs="Times New Roman"/>
                    </w:rPr>
                    <w:t>118.4</w:t>
                  </w:r>
                </w:p>
              </w:tc>
            </w:tr>
            <w:tr w14:paraId="601E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4B32B350">
                  <w:pPr>
                    <w:spacing w:line="240" w:lineRule="auto"/>
                    <w:ind w:firstLine="0" w:firstLineChars="0"/>
                    <w:jc w:val="center"/>
                  </w:pPr>
                  <w:r>
                    <w:rPr>
                      <w:rFonts w:hint="eastAsia"/>
                    </w:rPr>
                    <w:t>11月</w:t>
                  </w:r>
                </w:p>
              </w:tc>
              <w:tc>
                <w:tcPr>
                  <w:tcW w:w="2605" w:type="dxa"/>
                </w:tcPr>
                <w:p w14:paraId="1E37245C">
                  <w:pPr>
                    <w:spacing w:line="240" w:lineRule="auto"/>
                    <w:ind w:firstLine="0" w:firstLineChars="0"/>
                    <w:jc w:val="center"/>
                    <w:rPr>
                      <w:rFonts w:hint="eastAsia" w:ascii="宋体" w:hAnsi="宋体"/>
                    </w:rPr>
                  </w:pPr>
                  <w:r>
                    <w:rPr>
                      <w:rFonts w:hint="eastAsia"/>
                    </w:rPr>
                    <w:t>101.4</w:t>
                  </w:r>
                </w:p>
              </w:tc>
              <w:tc>
                <w:tcPr>
                  <w:tcW w:w="3085" w:type="dxa"/>
                  <w:vAlign w:val="top"/>
                </w:tcPr>
                <w:p w14:paraId="34614B7F">
                  <w:pPr>
                    <w:spacing w:line="240" w:lineRule="auto"/>
                    <w:ind w:firstLine="0" w:firstLineChars="0"/>
                    <w:jc w:val="center"/>
                    <w:rPr>
                      <w:rFonts w:hint="eastAsia"/>
                    </w:rPr>
                  </w:pPr>
                  <w:r>
                    <w:rPr>
                      <w:rFonts w:cs="Times New Roman"/>
                    </w:rPr>
                    <w:t>111.2</w:t>
                  </w:r>
                </w:p>
              </w:tc>
            </w:tr>
            <w:tr w14:paraId="48F8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1ACC83A9">
                  <w:pPr>
                    <w:spacing w:line="240" w:lineRule="auto"/>
                    <w:ind w:firstLine="0" w:firstLineChars="0"/>
                    <w:jc w:val="center"/>
                  </w:pPr>
                  <w:r>
                    <w:rPr>
                      <w:rFonts w:hint="eastAsia"/>
                    </w:rPr>
                    <w:t>12月</w:t>
                  </w:r>
                </w:p>
              </w:tc>
              <w:tc>
                <w:tcPr>
                  <w:tcW w:w="2605" w:type="dxa"/>
                </w:tcPr>
                <w:p w14:paraId="7A2CC7AC">
                  <w:pPr>
                    <w:spacing w:line="240" w:lineRule="auto"/>
                    <w:ind w:firstLine="0" w:firstLineChars="0"/>
                    <w:jc w:val="center"/>
                    <w:rPr>
                      <w:rFonts w:hint="eastAsia" w:ascii="宋体" w:hAnsi="宋体"/>
                    </w:rPr>
                  </w:pPr>
                  <w:r>
                    <w:rPr>
                      <w:rFonts w:hint="eastAsia"/>
                    </w:rPr>
                    <w:t>99.5</w:t>
                  </w:r>
                </w:p>
              </w:tc>
              <w:tc>
                <w:tcPr>
                  <w:tcW w:w="3085" w:type="dxa"/>
                  <w:vAlign w:val="top"/>
                </w:tcPr>
                <w:p w14:paraId="7BCE044D">
                  <w:pPr>
                    <w:spacing w:line="240" w:lineRule="auto"/>
                    <w:ind w:firstLine="0" w:firstLineChars="0"/>
                    <w:jc w:val="center"/>
                    <w:rPr>
                      <w:rFonts w:hint="eastAsia"/>
                    </w:rPr>
                  </w:pPr>
                  <w:r>
                    <w:rPr>
                      <w:rFonts w:cs="Times New Roman"/>
                    </w:rPr>
                    <w:t>111.8</w:t>
                  </w:r>
                </w:p>
              </w:tc>
            </w:tr>
            <w:tr w14:paraId="6265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tcPr>
                <w:p w14:paraId="29C1A83E">
                  <w:pPr>
                    <w:spacing w:line="240" w:lineRule="auto"/>
                    <w:ind w:firstLine="0" w:firstLineChars="0"/>
                    <w:jc w:val="center"/>
                  </w:pPr>
                  <w:r>
                    <w:rPr>
                      <w:rFonts w:hint="eastAsia"/>
                    </w:rPr>
                    <w:t>年</w:t>
                  </w:r>
                </w:p>
              </w:tc>
              <w:tc>
                <w:tcPr>
                  <w:tcW w:w="2605" w:type="dxa"/>
                </w:tcPr>
                <w:p w14:paraId="00A577A0">
                  <w:pPr>
                    <w:spacing w:line="240" w:lineRule="auto"/>
                    <w:ind w:firstLine="0" w:firstLineChars="0"/>
                    <w:jc w:val="center"/>
                    <w:rPr>
                      <w:rFonts w:hint="eastAsia" w:ascii="宋体" w:hAnsi="宋体"/>
                    </w:rPr>
                  </w:pPr>
                  <w:r>
                    <w:t>15</w:t>
                  </w:r>
                  <w:r>
                    <w:rPr>
                      <w:rFonts w:hint="eastAsia"/>
                    </w:rPr>
                    <w:t>24</w:t>
                  </w:r>
                  <w:r>
                    <w:t>.</w:t>
                  </w:r>
                  <w:r>
                    <w:rPr>
                      <w:rFonts w:hint="eastAsia"/>
                    </w:rPr>
                    <w:t>5</w:t>
                  </w:r>
                </w:p>
              </w:tc>
              <w:tc>
                <w:tcPr>
                  <w:tcW w:w="3085" w:type="dxa"/>
                  <w:vAlign w:val="top"/>
                </w:tcPr>
                <w:p w14:paraId="1CF232A3">
                  <w:pPr>
                    <w:spacing w:line="240" w:lineRule="auto"/>
                    <w:ind w:firstLine="0" w:firstLineChars="0"/>
                    <w:jc w:val="center"/>
                  </w:pPr>
                  <w:r>
                    <w:t>15</w:t>
                  </w:r>
                  <w:r>
                    <w:rPr>
                      <w:rFonts w:hint="eastAsia"/>
                    </w:rPr>
                    <w:t>61</w:t>
                  </w:r>
                  <w:r>
                    <w:t>.</w:t>
                  </w:r>
                  <w:r>
                    <w:rPr>
                      <w:rFonts w:hint="eastAsia"/>
                    </w:rPr>
                    <w:t>5</w:t>
                  </w:r>
                </w:p>
              </w:tc>
            </w:tr>
          </w:tbl>
          <w:p w14:paraId="5B2297F2">
            <w:pPr>
              <w:snapToGrid w:val="0"/>
              <w:spacing w:line="360" w:lineRule="auto"/>
              <w:ind w:firstLine="480" w:firstLineChars="200"/>
              <w:rPr>
                <w:rFonts w:hint="eastAsia"/>
                <w:sz w:val="24"/>
              </w:rPr>
            </w:pPr>
            <w:r>
              <w:rPr>
                <w:rFonts w:hint="eastAsia"/>
                <w:sz w:val="24"/>
              </w:rPr>
              <w:t>由表</w:t>
            </w:r>
            <w:r>
              <w:rPr>
                <w:rFonts w:hint="eastAsia"/>
                <w:sz w:val="24"/>
                <w:lang w:val="en-US" w:eastAsia="zh-CN"/>
              </w:rPr>
              <w:t>2</w:t>
            </w:r>
            <w:r>
              <w:rPr>
                <w:rFonts w:hint="eastAsia"/>
                <w:sz w:val="24"/>
              </w:rPr>
              <w:t>-</w:t>
            </w:r>
            <w:r>
              <w:rPr>
                <w:rFonts w:hint="eastAsia"/>
                <w:sz w:val="24"/>
                <w:lang w:val="en-US" w:eastAsia="zh-CN"/>
              </w:rPr>
              <w:t>5</w:t>
            </w:r>
            <w:r>
              <w:rPr>
                <w:rFonts w:hint="eastAsia"/>
                <w:sz w:val="24"/>
              </w:rPr>
              <w:t>可知，柔性支架的光伏组件以倾角15°并考虑前后阵列遮挡布置时，组件表面接收到的辐射量为1524.5kWh/m</w:t>
            </w:r>
            <w:r>
              <w:rPr>
                <w:rFonts w:hint="eastAsia"/>
                <w:sz w:val="24"/>
                <w:vertAlign w:val="superscript"/>
              </w:rPr>
              <w:t>2</w:t>
            </w:r>
            <w:r>
              <w:rPr>
                <w:rFonts w:hint="eastAsia"/>
                <w:sz w:val="24"/>
              </w:rPr>
              <w:t>；固定支架的光伏组件以倾角26°并考虑前后阵列遮挡布置时，组件表面接收到的辐射量为1561.5kWh/m</w:t>
            </w:r>
            <w:r>
              <w:rPr>
                <w:rFonts w:hint="eastAsia"/>
                <w:sz w:val="24"/>
                <w:vertAlign w:val="superscript"/>
              </w:rPr>
              <w:t>2</w:t>
            </w:r>
            <w:r>
              <w:rPr>
                <w:rFonts w:hint="eastAsia"/>
                <w:sz w:val="24"/>
              </w:rPr>
              <w:t>。</w:t>
            </w:r>
          </w:p>
          <w:p w14:paraId="4B442993">
            <w:pPr>
              <w:snapToGrid w:val="0"/>
              <w:spacing w:line="360" w:lineRule="auto"/>
              <w:ind w:firstLine="480" w:firstLineChars="200"/>
              <w:rPr>
                <w:rFonts w:hint="eastAsia"/>
                <w:sz w:val="24"/>
              </w:rPr>
            </w:pPr>
            <w:r>
              <w:rPr>
                <w:rFonts w:hint="eastAsia"/>
                <w:sz w:val="24"/>
              </w:rPr>
              <w:t>（3）年发电小时数</w:t>
            </w:r>
          </w:p>
          <w:p w14:paraId="6749D991">
            <w:pPr>
              <w:snapToGrid w:val="0"/>
              <w:spacing w:line="360" w:lineRule="auto"/>
              <w:ind w:firstLine="480" w:firstLineChars="200"/>
              <w:rPr>
                <w:rFonts w:hint="eastAsia"/>
                <w:sz w:val="24"/>
              </w:rPr>
            </w:pPr>
            <w:r>
              <w:rPr>
                <w:rFonts w:hint="eastAsia"/>
                <w:sz w:val="24"/>
              </w:rPr>
              <w:t>根据总辐射量计算，柔性支架系统的峰值日照小时为1524.5h；固定支架系统的峰值日照小时为1561.5h。</w:t>
            </w:r>
          </w:p>
          <w:p w14:paraId="584C033D">
            <w:pPr>
              <w:snapToGrid w:val="0"/>
              <w:spacing w:line="360" w:lineRule="auto"/>
              <w:ind w:firstLine="480" w:firstLineChars="200"/>
              <w:rPr>
                <w:rFonts w:hint="eastAsia"/>
                <w:sz w:val="24"/>
              </w:rPr>
            </w:pPr>
            <w:r>
              <w:rPr>
                <w:rFonts w:hint="eastAsia"/>
                <w:sz w:val="24"/>
              </w:rPr>
              <w:t>（4）理论发电量</w:t>
            </w:r>
          </w:p>
          <w:p w14:paraId="758EEE37">
            <w:pPr>
              <w:snapToGrid w:val="0"/>
              <w:spacing w:line="360" w:lineRule="auto"/>
              <w:ind w:firstLine="480" w:firstLineChars="200"/>
              <w:rPr>
                <w:rFonts w:hint="eastAsia"/>
                <w:sz w:val="24"/>
              </w:rPr>
            </w:pPr>
            <w:r>
              <w:rPr>
                <w:rFonts w:hint="eastAsia"/>
                <w:sz w:val="24"/>
              </w:rPr>
              <w:t>光伏电站理论年发电量=实际安装容量（kWp）×年发电小时数（h）；</w:t>
            </w:r>
          </w:p>
          <w:p w14:paraId="2A00F30F">
            <w:pPr>
              <w:snapToGrid w:val="0"/>
              <w:spacing w:line="360" w:lineRule="auto"/>
              <w:ind w:firstLine="480" w:firstLineChars="200"/>
              <w:rPr>
                <w:rFonts w:hint="eastAsia"/>
                <w:sz w:val="24"/>
              </w:rPr>
            </w:pPr>
            <w:r>
              <w:rPr>
                <w:rFonts w:hint="eastAsia"/>
                <w:sz w:val="24"/>
              </w:rPr>
              <w:t>柔性支架安装：467800块；</w:t>
            </w:r>
          </w:p>
          <w:p w14:paraId="04B1E0C8">
            <w:pPr>
              <w:snapToGrid w:val="0"/>
              <w:spacing w:line="360" w:lineRule="auto"/>
              <w:ind w:firstLine="480" w:firstLineChars="200"/>
              <w:rPr>
                <w:rFonts w:hint="eastAsia"/>
                <w:sz w:val="24"/>
              </w:rPr>
            </w:pPr>
            <w:r>
              <w:rPr>
                <w:rFonts w:hint="eastAsia"/>
                <w:sz w:val="24"/>
              </w:rPr>
              <w:t>柔性光伏电站理论发电量=467800块*590Wp*1524.5h/1000000=420765.049MWh</w:t>
            </w:r>
          </w:p>
          <w:p w14:paraId="70788AC2">
            <w:pPr>
              <w:snapToGrid w:val="0"/>
              <w:spacing w:line="360" w:lineRule="auto"/>
              <w:ind w:firstLine="480" w:firstLineChars="200"/>
              <w:rPr>
                <w:rFonts w:hint="eastAsia"/>
                <w:sz w:val="24"/>
              </w:rPr>
            </w:pPr>
            <w:r>
              <w:rPr>
                <w:rFonts w:hint="eastAsia"/>
                <w:sz w:val="24"/>
              </w:rPr>
              <w:t>固定支架安装：17472块；</w:t>
            </w:r>
          </w:p>
          <w:p w14:paraId="1074E142">
            <w:pPr>
              <w:snapToGrid w:val="0"/>
              <w:spacing w:line="360" w:lineRule="auto"/>
              <w:ind w:firstLine="480" w:firstLineChars="200"/>
              <w:rPr>
                <w:rFonts w:hint="eastAsia"/>
                <w:sz w:val="24"/>
              </w:rPr>
            </w:pPr>
            <w:r>
              <w:rPr>
                <w:rFonts w:hint="eastAsia"/>
                <w:sz w:val="24"/>
              </w:rPr>
              <w:t>柔性光伏电站理论发电量=17472块*590Wp*1561.5h/1000000=16096.69152MWh</w:t>
            </w:r>
          </w:p>
          <w:p w14:paraId="6D23CE0E">
            <w:pPr>
              <w:snapToGrid w:val="0"/>
              <w:spacing w:line="360" w:lineRule="auto"/>
              <w:ind w:firstLine="480" w:firstLineChars="200"/>
              <w:rPr>
                <w:rFonts w:hint="eastAsia"/>
                <w:sz w:val="24"/>
              </w:rPr>
            </w:pPr>
            <w:r>
              <w:rPr>
                <w:rFonts w:hint="eastAsia"/>
                <w:sz w:val="24"/>
              </w:rPr>
              <w:t>2）年上网电量</w:t>
            </w:r>
          </w:p>
          <w:p w14:paraId="1067FD62">
            <w:pPr>
              <w:snapToGrid w:val="0"/>
              <w:spacing w:line="360" w:lineRule="auto"/>
              <w:ind w:firstLine="480" w:firstLineChars="200"/>
              <w:rPr>
                <w:rFonts w:hint="eastAsia"/>
                <w:sz w:val="24"/>
              </w:rPr>
            </w:pPr>
            <w:r>
              <w:rPr>
                <w:rFonts w:hint="eastAsia"/>
                <w:sz w:val="24"/>
              </w:rPr>
              <w:t>要估算项目上网电量，需在理论上网电量上进行如下折减：</w:t>
            </w:r>
          </w:p>
          <w:p w14:paraId="70B305AC">
            <w:pPr>
              <w:snapToGrid w:val="0"/>
              <w:spacing w:line="360" w:lineRule="auto"/>
              <w:ind w:firstLine="480" w:firstLineChars="200"/>
              <w:rPr>
                <w:rFonts w:hint="eastAsia"/>
                <w:sz w:val="24"/>
              </w:rPr>
            </w:pPr>
            <w:r>
              <w:rPr>
                <w:rFonts w:hint="eastAsia"/>
                <w:sz w:val="24"/>
              </w:rPr>
              <w:t>（1）阵列效率</w:t>
            </w:r>
          </w:p>
          <w:p w14:paraId="6D254026">
            <w:pPr>
              <w:snapToGrid w:val="0"/>
              <w:spacing w:line="360" w:lineRule="auto"/>
              <w:ind w:firstLine="480" w:firstLineChars="200"/>
              <w:rPr>
                <w:rFonts w:hint="eastAsia"/>
                <w:sz w:val="24"/>
              </w:rPr>
            </w:pPr>
            <w:r>
              <w:rPr>
                <w:rFonts w:hint="eastAsia"/>
                <w:sz w:val="24"/>
              </w:rPr>
              <w:t>经PVsyst模拟计算</w:t>
            </w:r>
            <w:r>
              <w:rPr>
                <w:rFonts w:hint="eastAsia"/>
                <w:sz w:val="24"/>
                <w:lang w:eastAsia="zh-CN"/>
              </w:rPr>
              <w:t>，</w:t>
            </w:r>
            <w:r>
              <w:rPr>
                <w:rFonts w:hint="eastAsia"/>
                <w:sz w:val="24"/>
              </w:rPr>
              <w:t>选取柔性和固定支架光伏系统的各项损失计算系统效率分别为83.99%和84.39%。</w:t>
            </w:r>
          </w:p>
          <w:p w14:paraId="4E5DDD2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rFonts w:hint="eastAsia"/>
                <w:sz w:val="24"/>
              </w:rPr>
              <w:t>（2）衰减效率</w:t>
            </w:r>
          </w:p>
          <w:p w14:paraId="1124029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bookmarkStart w:id="19" w:name="_Hlk38523497"/>
            <w:r>
              <w:rPr>
                <w:rFonts w:hint="eastAsia"/>
                <w:sz w:val="24"/>
              </w:rPr>
              <w:t>根据单晶硅组件的参数，拟选用组件衰减为：1年内不超过1%，25年内功率逐年衰减-0.4%。</w:t>
            </w:r>
          </w:p>
          <w:p w14:paraId="4061339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rFonts w:hint="eastAsia"/>
                <w:sz w:val="24"/>
              </w:rPr>
              <w:t>因此，可估算光伏电站首年实际上网电量为：</w:t>
            </w:r>
          </w:p>
          <w:p w14:paraId="7A73CDF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rFonts w:hint="eastAsia"/>
                <w:sz w:val="24"/>
              </w:rPr>
              <w:t>柔性：420765.049MWh×83.99%×（1-1%）=349866.559MWh；</w:t>
            </w:r>
          </w:p>
          <w:p w14:paraId="52B7A2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rFonts w:hint="eastAsia"/>
                <w:sz w:val="24"/>
              </w:rPr>
              <w:t>固定：16096.69152MWh×84.39%×（1-1%）=13448.15799MWh；</w:t>
            </w:r>
          </w:p>
          <w:p w14:paraId="1618018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sz w:val="24"/>
              </w:rPr>
            </w:pPr>
            <w:r>
              <w:rPr>
                <w:rFonts w:hint="eastAsia"/>
                <w:sz w:val="24"/>
              </w:rPr>
              <w:t>电站25年上网电量及利用小时数计算结果如表</w:t>
            </w:r>
            <w:r>
              <w:rPr>
                <w:rFonts w:hint="eastAsia"/>
                <w:sz w:val="24"/>
                <w:lang w:val="en-US" w:eastAsia="zh-CN"/>
              </w:rPr>
              <w:t>2</w:t>
            </w:r>
            <w:r>
              <w:rPr>
                <w:rFonts w:hint="eastAsia"/>
                <w:sz w:val="24"/>
              </w:rPr>
              <w:t>-</w:t>
            </w:r>
            <w:r>
              <w:rPr>
                <w:rFonts w:hint="eastAsia"/>
                <w:sz w:val="24"/>
                <w:lang w:val="en-US" w:eastAsia="zh-CN"/>
              </w:rPr>
              <w:t>6</w:t>
            </w:r>
            <w:r>
              <w:rPr>
                <w:rFonts w:hint="eastAsia"/>
                <w:sz w:val="24"/>
              </w:rPr>
              <w:t>、表</w:t>
            </w:r>
            <w:r>
              <w:rPr>
                <w:rFonts w:hint="eastAsia"/>
                <w:sz w:val="24"/>
                <w:lang w:val="en-US" w:eastAsia="zh-CN"/>
              </w:rPr>
              <w:t>2</w:t>
            </w:r>
            <w:r>
              <w:rPr>
                <w:rFonts w:hint="eastAsia"/>
                <w:sz w:val="24"/>
              </w:rPr>
              <w:t>-</w:t>
            </w:r>
            <w:r>
              <w:rPr>
                <w:rFonts w:hint="eastAsia"/>
                <w:sz w:val="24"/>
                <w:lang w:val="en-US" w:eastAsia="zh-CN"/>
              </w:rPr>
              <w:t>7</w:t>
            </w:r>
            <w:r>
              <w:rPr>
                <w:rFonts w:hint="eastAsia"/>
                <w:sz w:val="24"/>
              </w:rPr>
              <w:t>、表</w:t>
            </w:r>
            <w:r>
              <w:rPr>
                <w:rFonts w:hint="eastAsia"/>
                <w:sz w:val="24"/>
                <w:lang w:val="en-US" w:eastAsia="zh-CN"/>
              </w:rPr>
              <w:t>2</w:t>
            </w:r>
            <w:r>
              <w:rPr>
                <w:rFonts w:hint="eastAsia"/>
                <w:sz w:val="24"/>
              </w:rPr>
              <w:t>-</w:t>
            </w:r>
            <w:r>
              <w:rPr>
                <w:rFonts w:hint="eastAsia"/>
                <w:sz w:val="24"/>
                <w:lang w:val="en-US" w:eastAsia="zh-CN"/>
              </w:rPr>
              <w:t>8</w:t>
            </w:r>
            <w:r>
              <w:rPr>
                <w:rFonts w:hint="eastAsia"/>
                <w:sz w:val="24"/>
              </w:rPr>
              <w:t>。</w:t>
            </w:r>
            <w:bookmarkEnd w:id="19"/>
          </w:p>
          <w:p w14:paraId="0B9D5687">
            <w:pPr>
              <w:pStyle w:val="117"/>
              <w:keepNext w:val="0"/>
              <w:keepLines w:val="0"/>
              <w:pageBreakBefore w:val="0"/>
              <w:widowControl w:val="0"/>
              <w:kinsoku/>
              <w:wordWrap/>
              <w:overflowPunct/>
              <w:topLinePunct w:val="0"/>
              <w:autoSpaceDE/>
              <w:autoSpaceDN/>
              <w:bidi w:val="0"/>
              <w:adjustRightInd/>
              <w:spacing w:before="0" w:after="0"/>
              <w:textAlignment w:val="auto"/>
              <w:rPr>
                <w:b/>
                <w:bCs/>
              </w:rPr>
            </w:pPr>
            <w:r>
              <w:rPr>
                <w:rFonts w:hint="eastAsia"/>
                <w:b/>
                <w:bCs/>
              </w:rPr>
              <w:t>表</w:t>
            </w:r>
            <w:r>
              <w:rPr>
                <w:rFonts w:hint="eastAsia"/>
                <w:b/>
                <w:bCs/>
                <w:lang w:val="en-US" w:eastAsia="zh-CN"/>
              </w:rPr>
              <w:t>2</w:t>
            </w:r>
            <w:r>
              <w:rPr>
                <w:rFonts w:hint="eastAsia"/>
                <w:b/>
                <w:bCs/>
              </w:rPr>
              <w:t>-</w:t>
            </w:r>
            <w:r>
              <w:rPr>
                <w:rFonts w:hint="eastAsia"/>
                <w:b/>
                <w:bCs/>
                <w:lang w:val="en-US" w:eastAsia="zh-CN"/>
              </w:rPr>
              <w:t>6</w:t>
            </w:r>
            <w:r>
              <w:rPr>
                <w:rFonts w:hint="eastAsia"/>
                <w:b/>
                <w:bCs/>
              </w:rPr>
              <w:t xml:space="preserve"> </w:t>
            </w:r>
            <w:r>
              <w:rPr>
                <w:b/>
                <w:bCs/>
              </w:rPr>
              <w:t>电站</w:t>
            </w:r>
            <w:r>
              <w:rPr>
                <w:rFonts w:hint="eastAsia"/>
                <w:b/>
                <w:bCs/>
              </w:rPr>
              <w:t>柔性支架光伏系统</w:t>
            </w:r>
            <w:r>
              <w:rPr>
                <w:b/>
                <w:bCs/>
              </w:rPr>
              <w:t>2</w:t>
            </w:r>
            <w:r>
              <w:rPr>
                <w:rFonts w:hint="eastAsia"/>
                <w:b/>
                <w:bCs/>
              </w:rPr>
              <w:t>5</w:t>
            </w:r>
            <w:r>
              <w:rPr>
                <w:b/>
                <w:bCs/>
              </w:rPr>
              <w:t>年</w:t>
            </w:r>
            <w:r>
              <w:rPr>
                <w:rFonts w:hint="eastAsia"/>
                <w:b/>
                <w:bCs/>
              </w:rPr>
              <w:t>逐年发电量预测（万kWh）</w:t>
            </w:r>
          </w:p>
          <w:tbl>
            <w:tblPr>
              <w:tblStyle w:val="29"/>
              <w:tblW w:w="8706" w:type="dxa"/>
              <w:jc w:val="center"/>
              <w:tblLayout w:type="fixed"/>
              <w:tblCellMar>
                <w:top w:w="0" w:type="dxa"/>
                <w:left w:w="108" w:type="dxa"/>
                <w:bottom w:w="0" w:type="dxa"/>
                <w:right w:w="108" w:type="dxa"/>
              </w:tblCellMar>
            </w:tblPr>
            <w:tblGrid>
              <w:gridCol w:w="820"/>
              <w:gridCol w:w="1080"/>
              <w:gridCol w:w="820"/>
              <w:gridCol w:w="807"/>
              <w:gridCol w:w="880"/>
              <w:gridCol w:w="855"/>
              <w:gridCol w:w="825"/>
              <w:gridCol w:w="920"/>
              <w:gridCol w:w="840"/>
              <w:gridCol w:w="859"/>
            </w:tblGrid>
            <w:tr w14:paraId="3F45CD03">
              <w:tblPrEx>
                <w:tblCellMar>
                  <w:top w:w="0" w:type="dxa"/>
                  <w:left w:w="108" w:type="dxa"/>
                  <w:bottom w:w="0" w:type="dxa"/>
                  <w:right w:w="108" w:type="dxa"/>
                </w:tblCellMar>
              </w:tblPrEx>
              <w:trPr>
                <w:trHeight w:val="588"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71D1E8EC">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运营年份</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601CEEE0">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1</w:t>
                  </w:r>
                </w:p>
              </w:tc>
              <w:tc>
                <w:tcPr>
                  <w:tcW w:w="820" w:type="dxa"/>
                  <w:tcBorders>
                    <w:top w:val="single" w:color="auto" w:sz="4" w:space="0"/>
                    <w:left w:val="nil"/>
                    <w:bottom w:val="single" w:color="auto" w:sz="4" w:space="0"/>
                    <w:right w:val="single" w:color="auto" w:sz="4" w:space="0"/>
                  </w:tcBorders>
                  <w:shd w:val="clear" w:color="auto" w:fill="auto"/>
                  <w:noWrap/>
                  <w:vAlign w:val="center"/>
                </w:tcPr>
                <w:p w14:paraId="74061F36">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2</w:t>
                  </w:r>
                </w:p>
              </w:tc>
              <w:tc>
                <w:tcPr>
                  <w:tcW w:w="807" w:type="dxa"/>
                  <w:tcBorders>
                    <w:top w:val="single" w:color="auto" w:sz="4" w:space="0"/>
                    <w:left w:val="nil"/>
                    <w:bottom w:val="single" w:color="auto" w:sz="4" w:space="0"/>
                    <w:right w:val="single" w:color="auto" w:sz="4" w:space="0"/>
                  </w:tcBorders>
                  <w:shd w:val="clear" w:color="auto" w:fill="auto"/>
                  <w:noWrap/>
                  <w:vAlign w:val="center"/>
                </w:tcPr>
                <w:p w14:paraId="301B60A3">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3</w:t>
                  </w:r>
                </w:p>
              </w:tc>
              <w:tc>
                <w:tcPr>
                  <w:tcW w:w="880" w:type="dxa"/>
                  <w:tcBorders>
                    <w:top w:val="single" w:color="auto" w:sz="4" w:space="0"/>
                    <w:left w:val="nil"/>
                    <w:bottom w:val="single" w:color="auto" w:sz="4" w:space="0"/>
                    <w:right w:val="single" w:color="auto" w:sz="4" w:space="0"/>
                  </w:tcBorders>
                  <w:shd w:val="clear" w:color="auto" w:fill="auto"/>
                  <w:noWrap/>
                  <w:vAlign w:val="center"/>
                </w:tcPr>
                <w:p w14:paraId="0FBE11D0">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4</w:t>
                  </w:r>
                </w:p>
              </w:tc>
              <w:tc>
                <w:tcPr>
                  <w:tcW w:w="855" w:type="dxa"/>
                  <w:tcBorders>
                    <w:top w:val="single" w:color="auto" w:sz="4" w:space="0"/>
                    <w:left w:val="nil"/>
                    <w:bottom w:val="single" w:color="auto" w:sz="4" w:space="0"/>
                    <w:right w:val="single" w:color="auto" w:sz="4" w:space="0"/>
                  </w:tcBorders>
                  <w:shd w:val="clear" w:color="auto" w:fill="auto"/>
                  <w:noWrap/>
                  <w:vAlign w:val="center"/>
                </w:tcPr>
                <w:p w14:paraId="7E61D25F">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5</w:t>
                  </w:r>
                </w:p>
              </w:tc>
              <w:tc>
                <w:tcPr>
                  <w:tcW w:w="825" w:type="dxa"/>
                  <w:tcBorders>
                    <w:top w:val="single" w:color="auto" w:sz="4" w:space="0"/>
                    <w:left w:val="nil"/>
                    <w:bottom w:val="single" w:color="auto" w:sz="4" w:space="0"/>
                    <w:right w:val="single" w:color="auto" w:sz="4" w:space="0"/>
                  </w:tcBorders>
                  <w:shd w:val="clear" w:color="auto" w:fill="auto"/>
                  <w:noWrap/>
                  <w:vAlign w:val="center"/>
                </w:tcPr>
                <w:p w14:paraId="39239CF8">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6</w:t>
                  </w:r>
                </w:p>
              </w:tc>
              <w:tc>
                <w:tcPr>
                  <w:tcW w:w="920" w:type="dxa"/>
                  <w:tcBorders>
                    <w:top w:val="single" w:color="auto" w:sz="4" w:space="0"/>
                    <w:left w:val="nil"/>
                    <w:bottom w:val="single" w:color="auto" w:sz="4" w:space="0"/>
                    <w:right w:val="single" w:color="auto" w:sz="4" w:space="0"/>
                  </w:tcBorders>
                  <w:shd w:val="clear" w:color="auto" w:fill="auto"/>
                  <w:noWrap/>
                  <w:vAlign w:val="center"/>
                </w:tcPr>
                <w:p w14:paraId="125A2EFA">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7</w:t>
                  </w:r>
                </w:p>
              </w:tc>
              <w:tc>
                <w:tcPr>
                  <w:tcW w:w="840" w:type="dxa"/>
                  <w:tcBorders>
                    <w:top w:val="single" w:color="auto" w:sz="4" w:space="0"/>
                    <w:left w:val="nil"/>
                    <w:bottom w:val="single" w:color="auto" w:sz="4" w:space="0"/>
                    <w:right w:val="single" w:color="auto" w:sz="4" w:space="0"/>
                  </w:tcBorders>
                  <w:shd w:val="clear" w:color="auto" w:fill="auto"/>
                  <w:vAlign w:val="center"/>
                </w:tcPr>
                <w:p w14:paraId="420C9F87">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8</w:t>
                  </w:r>
                </w:p>
              </w:tc>
              <w:tc>
                <w:tcPr>
                  <w:tcW w:w="859" w:type="dxa"/>
                  <w:tcBorders>
                    <w:top w:val="single" w:color="auto" w:sz="4" w:space="0"/>
                    <w:left w:val="nil"/>
                    <w:bottom w:val="single" w:color="auto" w:sz="4" w:space="0"/>
                    <w:right w:val="single" w:color="auto" w:sz="4" w:space="0"/>
                  </w:tcBorders>
                  <w:shd w:val="clear" w:color="auto" w:fill="auto"/>
                  <w:vAlign w:val="center"/>
                </w:tcPr>
                <w:p w14:paraId="4956546B">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9</w:t>
                  </w:r>
                </w:p>
              </w:tc>
            </w:tr>
            <w:tr w14:paraId="734EDAA1">
              <w:tblPrEx>
                <w:tblCellMar>
                  <w:top w:w="0" w:type="dxa"/>
                  <w:left w:w="108" w:type="dxa"/>
                  <w:bottom w:w="0" w:type="dxa"/>
                  <w:right w:w="108" w:type="dxa"/>
                </w:tblCellMar>
              </w:tblPrEx>
              <w:trPr>
                <w:trHeight w:val="588"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29700078">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发电量</w:t>
                  </w:r>
                </w:p>
              </w:tc>
              <w:tc>
                <w:tcPr>
                  <w:tcW w:w="1080" w:type="dxa"/>
                  <w:tcBorders>
                    <w:top w:val="nil"/>
                    <w:left w:val="nil"/>
                    <w:bottom w:val="single" w:color="auto" w:sz="4" w:space="0"/>
                    <w:right w:val="single" w:color="auto" w:sz="4" w:space="0"/>
                  </w:tcBorders>
                  <w:shd w:val="clear" w:color="auto" w:fill="auto"/>
                  <w:noWrap/>
                  <w:vAlign w:val="center"/>
                </w:tcPr>
                <w:p w14:paraId="35E378F6">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34986.7 </w:t>
                  </w:r>
                </w:p>
              </w:tc>
              <w:tc>
                <w:tcPr>
                  <w:tcW w:w="820" w:type="dxa"/>
                  <w:tcBorders>
                    <w:top w:val="nil"/>
                    <w:left w:val="nil"/>
                    <w:bottom w:val="single" w:color="auto" w:sz="4" w:space="0"/>
                    <w:right w:val="single" w:color="auto" w:sz="4" w:space="0"/>
                  </w:tcBorders>
                  <w:shd w:val="clear" w:color="auto" w:fill="auto"/>
                  <w:noWrap/>
                  <w:vAlign w:val="center"/>
                </w:tcPr>
                <w:p w14:paraId="3FCB1B5E">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34845.3 </w:t>
                  </w:r>
                </w:p>
              </w:tc>
              <w:tc>
                <w:tcPr>
                  <w:tcW w:w="807" w:type="dxa"/>
                  <w:tcBorders>
                    <w:top w:val="nil"/>
                    <w:left w:val="nil"/>
                    <w:bottom w:val="single" w:color="auto" w:sz="4" w:space="0"/>
                    <w:right w:val="single" w:color="auto" w:sz="4" w:space="0"/>
                  </w:tcBorders>
                  <w:shd w:val="clear" w:color="auto" w:fill="auto"/>
                  <w:noWrap/>
                  <w:vAlign w:val="center"/>
                </w:tcPr>
                <w:p w14:paraId="76A49EA6">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34703.9 </w:t>
                  </w:r>
                </w:p>
              </w:tc>
              <w:tc>
                <w:tcPr>
                  <w:tcW w:w="880" w:type="dxa"/>
                  <w:tcBorders>
                    <w:top w:val="nil"/>
                    <w:left w:val="nil"/>
                    <w:bottom w:val="single" w:color="auto" w:sz="4" w:space="0"/>
                    <w:right w:val="single" w:color="auto" w:sz="4" w:space="0"/>
                  </w:tcBorders>
                  <w:shd w:val="clear" w:color="auto" w:fill="auto"/>
                  <w:noWrap/>
                  <w:vAlign w:val="center"/>
                </w:tcPr>
                <w:p w14:paraId="163C9512">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34562.6 </w:t>
                  </w:r>
                </w:p>
              </w:tc>
              <w:tc>
                <w:tcPr>
                  <w:tcW w:w="855" w:type="dxa"/>
                  <w:tcBorders>
                    <w:top w:val="nil"/>
                    <w:left w:val="nil"/>
                    <w:bottom w:val="single" w:color="auto" w:sz="4" w:space="0"/>
                    <w:right w:val="single" w:color="auto" w:sz="4" w:space="0"/>
                  </w:tcBorders>
                  <w:shd w:val="clear" w:color="auto" w:fill="auto"/>
                  <w:noWrap/>
                  <w:vAlign w:val="center"/>
                </w:tcPr>
                <w:p w14:paraId="382BF7E1">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34421.2 </w:t>
                  </w:r>
                </w:p>
              </w:tc>
              <w:tc>
                <w:tcPr>
                  <w:tcW w:w="825" w:type="dxa"/>
                  <w:tcBorders>
                    <w:top w:val="nil"/>
                    <w:left w:val="nil"/>
                    <w:bottom w:val="single" w:color="auto" w:sz="4" w:space="0"/>
                    <w:right w:val="single" w:color="auto" w:sz="4" w:space="0"/>
                  </w:tcBorders>
                  <w:shd w:val="clear" w:color="auto" w:fill="auto"/>
                  <w:noWrap/>
                  <w:vAlign w:val="center"/>
                </w:tcPr>
                <w:p w14:paraId="6B770F32">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34279.9 </w:t>
                  </w:r>
                </w:p>
              </w:tc>
              <w:tc>
                <w:tcPr>
                  <w:tcW w:w="920" w:type="dxa"/>
                  <w:tcBorders>
                    <w:top w:val="nil"/>
                    <w:left w:val="nil"/>
                    <w:bottom w:val="single" w:color="auto" w:sz="4" w:space="0"/>
                    <w:right w:val="single" w:color="auto" w:sz="4" w:space="0"/>
                  </w:tcBorders>
                  <w:shd w:val="clear" w:color="auto" w:fill="auto"/>
                  <w:noWrap/>
                  <w:vAlign w:val="center"/>
                </w:tcPr>
                <w:p w14:paraId="371B9162">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34138.5 </w:t>
                  </w:r>
                </w:p>
              </w:tc>
              <w:tc>
                <w:tcPr>
                  <w:tcW w:w="840" w:type="dxa"/>
                  <w:tcBorders>
                    <w:top w:val="nil"/>
                    <w:left w:val="nil"/>
                    <w:bottom w:val="single" w:color="auto" w:sz="4" w:space="0"/>
                    <w:right w:val="single" w:color="auto" w:sz="4" w:space="0"/>
                  </w:tcBorders>
                  <w:shd w:val="clear" w:color="auto" w:fill="auto"/>
                  <w:vAlign w:val="center"/>
                </w:tcPr>
                <w:p w14:paraId="75F24063">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33997.1 </w:t>
                  </w:r>
                </w:p>
              </w:tc>
              <w:tc>
                <w:tcPr>
                  <w:tcW w:w="859" w:type="dxa"/>
                  <w:tcBorders>
                    <w:top w:val="nil"/>
                    <w:left w:val="nil"/>
                    <w:bottom w:val="single" w:color="auto" w:sz="4" w:space="0"/>
                    <w:right w:val="single" w:color="auto" w:sz="4" w:space="0"/>
                  </w:tcBorders>
                  <w:shd w:val="clear" w:color="auto" w:fill="auto"/>
                  <w:vAlign w:val="center"/>
                </w:tcPr>
                <w:p w14:paraId="62D8764F">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33855.8 </w:t>
                  </w:r>
                </w:p>
              </w:tc>
            </w:tr>
            <w:tr w14:paraId="6F85B142">
              <w:tblPrEx>
                <w:tblCellMar>
                  <w:top w:w="0" w:type="dxa"/>
                  <w:left w:w="108" w:type="dxa"/>
                  <w:bottom w:w="0" w:type="dxa"/>
                  <w:right w:w="108" w:type="dxa"/>
                </w:tblCellMar>
              </w:tblPrEx>
              <w:trPr>
                <w:trHeight w:val="574"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657CF4C5">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利用小时</w:t>
                  </w:r>
                </w:p>
              </w:tc>
              <w:tc>
                <w:tcPr>
                  <w:tcW w:w="1080" w:type="dxa"/>
                  <w:tcBorders>
                    <w:top w:val="nil"/>
                    <w:left w:val="nil"/>
                    <w:bottom w:val="single" w:color="auto" w:sz="4" w:space="0"/>
                    <w:right w:val="single" w:color="auto" w:sz="4" w:space="0"/>
                  </w:tcBorders>
                  <w:shd w:val="clear" w:color="auto" w:fill="auto"/>
                  <w:noWrap/>
                  <w:vAlign w:val="center"/>
                </w:tcPr>
                <w:p w14:paraId="3AFDD12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1267.6 </w:t>
                  </w:r>
                </w:p>
              </w:tc>
              <w:tc>
                <w:tcPr>
                  <w:tcW w:w="820" w:type="dxa"/>
                  <w:tcBorders>
                    <w:top w:val="nil"/>
                    <w:left w:val="nil"/>
                    <w:bottom w:val="single" w:color="auto" w:sz="4" w:space="0"/>
                    <w:right w:val="single" w:color="auto" w:sz="4" w:space="0"/>
                  </w:tcBorders>
                  <w:shd w:val="clear" w:color="auto" w:fill="auto"/>
                  <w:noWrap/>
                  <w:vAlign w:val="center"/>
                </w:tcPr>
                <w:p w14:paraId="1E15AC92">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1262.5 </w:t>
                  </w:r>
                </w:p>
              </w:tc>
              <w:tc>
                <w:tcPr>
                  <w:tcW w:w="807" w:type="dxa"/>
                  <w:tcBorders>
                    <w:top w:val="nil"/>
                    <w:left w:val="nil"/>
                    <w:bottom w:val="single" w:color="auto" w:sz="4" w:space="0"/>
                    <w:right w:val="single" w:color="auto" w:sz="4" w:space="0"/>
                  </w:tcBorders>
                  <w:shd w:val="clear" w:color="auto" w:fill="auto"/>
                  <w:noWrap/>
                  <w:vAlign w:val="center"/>
                </w:tcPr>
                <w:p w14:paraId="59CB431F">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1257.4 </w:t>
                  </w:r>
                </w:p>
              </w:tc>
              <w:tc>
                <w:tcPr>
                  <w:tcW w:w="880" w:type="dxa"/>
                  <w:tcBorders>
                    <w:top w:val="nil"/>
                    <w:left w:val="nil"/>
                    <w:bottom w:val="single" w:color="auto" w:sz="4" w:space="0"/>
                    <w:right w:val="single" w:color="auto" w:sz="4" w:space="0"/>
                  </w:tcBorders>
                  <w:shd w:val="clear" w:color="auto" w:fill="auto"/>
                  <w:noWrap/>
                  <w:vAlign w:val="center"/>
                </w:tcPr>
                <w:p w14:paraId="3F3BCEA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1252.3 </w:t>
                  </w:r>
                </w:p>
              </w:tc>
              <w:tc>
                <w:tcPr>
                  <w:tcW w:w="855" w:type="dxa"/>
                  <w:tcBorders>
                    <w:top w:val="nil"/>
                    <w:left w:val="nil"/>
                    <w:bottom w:val="single" w:color="auto" w:sz="4" w:space="0"/>
                    <w:right w:val="single" w:color="auto" w:sz="4" w:space="0"/>
                  </w:tcBorders>
                  <w:shd w:val="clear" w:color="auto" w:fill="auto"/>
                  <w:noWrap/>
                  <w:vAlign w:val="center"/>
                </w:tcPr>
                <w:p w14:paraId="369A5D5A">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1247.1 </w:t>
                  </w:r>
                </w:p>
              </w:tc>
              <w:tc>
                <w:tcPr>
                  <w:tcW w:w="825" w:type="dxa"/>
                  <w:tcBorders>
                    <w:top w:val="nil"/>
                    <w:left w:val="nil"/>
                    <w:bottom w:val="single" w:color="auto" w:sz="4" w:space="0"/>
                    <w:right w:val="single" w:color="auto" w:sz="4" w:space="0"/>
                  </w:tcBorders>
                  <w:shd w:val="clear" w:color="auto" w:fill="auto"/>
                  <w:noWrap/>
                  <w:vAlign w:val="center"/>
                </w:tcPr>
                <w:p w14:paraId="35CD2AD2">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1242.0 </w:t>
                  </w:r>
                </w:p>
              </w:tc>
              <w:tc>
                <w:tcPr>
                  <w:tcW w:w="920" w:type="dxa"/>
                  <w:tcBorders>
                    <w:top w:val="nil"/>
                    <w:left w:val="nil"/>
                    <w:bottom w:val="single" w:color="auto" w:sz="4" w:space="0"/>
                    <w:right w:val="single" w:color="auto" w:sz="4" w:space="0"/>
                  </w:tcBorders>
                  <w:shd w:val="clear" w:color="auto" w:fill="auto"/>
                  <w:noWrap/>
                  <w:vAlign w:val="center"/>
                </w:tcPr>
                <w:p w14:paraId="3EA455ED">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1236.9 </w:t>
                  </w:r>
                </w:p>
              </w:tc>
              <w:tc>
                <w:tcPr>
                  <w:tcW w:w="840" w:type="dxa"/>
                  <w:tcBorders>
                    <w:top w:val="nil"/>
                    <w:left w:val="nil"/>
                    <w:bottom w:val="single" w:color="auto" w:sz="4" w:space="0"/>
                    <w:right w:val="single" w:color="auto" w:sz="4" w:space="0"/>
                  </w:tcBorders>
                  <w:shd w:val="clear" w:color="auto" w:fill="auto"/>
                  <w:vAlign w:val="center"/>
                </w:tcPr>
                <w:p w14:paraId="3DF2AA3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1231.8 </w:t>
                  </w:r>
                </w:p>
              </w:tc>
              <w:tc>
                <w:tcPr>
                  <w:tcW w:w="859" w:type="dxa"/>
                  <w:tcBorders>
                    <w:top w:val="nil"/>
                    <w:left w:val="nil"/>
                    <w:bottom w:val="single" w:color="auto" w:sz="4" w:space="0"/>
                    <w:right w:val="single" w:color="auto" w:sz="4" w:space="0"/>
                  </w:tcBorders>
                  <w:shd w:val="clear" w:color="auto" w:fill="auto"/>
                  <w:vAlign w:val="center"/>
                </w:tcPr>
                <w:p w14:paraId="28AFF993">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1226.6 </w:t>
                  </w:r>
                </w:p>
              </w:tc>
            </w:tr>
            <w:tr w14:paraId="5B4E9591">
              <w:tblPrEx>
                <w:tblCellMar>
                  <w:top w:w="0" w:type="dxa"/>
                  <w:left w:w="108" w:type="dxa"/>
                  <w:bottom w:w="0" w:type="dxa"/>
                  <w:right w:w="108" w:type="dxa"/>
                </w:tblCellMar>
              </w:tblPrEx>
              <w:trPr>
                <w:trHeight w:val="588"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78B7B022">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运营年份</w:t>
                  </w:r>
                </w:p>
              </w:tc>
              <w:tc>
                <w:tcPr>
                  <w:tcW w:w="1080" w:type="dxa"/>
                  <w:tcBorders>
                    <w:top w:val="nil"/>
                    <w:left w:val="nil"/>
                    <w:bottom w:val="single" w:color="auto" w:sz="4" w:space="0"/>
                    <w:right w:val="single" w:color="auto" w:sz="4" w:space="0"/>
                  </w:tcBorders>
                  <w:shd w:val="clear" w:color="auto" w:fill="auto"/>
                  <w:noWrap/>
                  <w:vAlign w:val="center"/>
                </w:tcPr>
                <w:p w14:paraId="791D5C03">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10 </w:t>
                  </w:r>
                </w:p>
              </w:tc>
              <w:tc>
                <w:tcPr>
                  <w:tcW w:w="820" w:type="dxa"/>
                  <w:tcBorders>
                    <w:top w:val="nil"/>
                    <w:left w:val="nil"/>
                    <w:bottom w:val="single" w:color="auto" w:sz="4" w:space="0"/>
                    <w:right w:val="single" w:color="auto" w:sz="4" w:space="0"/>
                  </w:tcBorders>
                  <w:shd w:val="clear" w:color="auto" w:fill="auto"/>
                  <w:noWrap/>
                  <w:vAlign w:val="center"/>
                </w:tcPr>
                <w:p w14:paraId="30D861E7">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11 </w:t>
                  </w:r>
                </w:p>
              </w:tc>
              <w:tc>
                <w:tcPr>
                  <w:tcW w:w="807" w:type="dxa"/>
                  <w:tcBorders>
                    <w:top w:val="nil"/>
                    <w:left w:val="nil"/>
                    <w:bottom w:val="single" w:color="auto" w:sz="4" w:space="0"/>
                    <w:right w:val="single" w:color="auto" w:sz="4" w:space="0"/>
                  </w:tcBorders>
                  <w:shd w:val="clear" w:color="auto" w:fill="auto"/>
                  <w:noWrap/>
                  <w:vAlign w:val="center"/>
                </w:tcPr>
                <w:p w14:paraId="2061362A">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12 </w:t>
                  </w:r>
                </w:p>
              </w:tc>
              <w:tc>
                <w:tcPr>
                  <w:tcW w:w="880" w:type="dxa"/>
                  <w:tcBorders>
                    <w:top w:val="nil"/>
                    <w:left w:val="nil"/>
                    <w:bottom w:val="single" w:color="auto" w:sz="4" w:space="0"/>
                    <w:right w:val="single" w:color="auto" w:sz="4" w:space="0"/>
                  </w:tcBorders>
                  <w:shd w:val="clear" w:color="auto" w:fill="auto"/>
                  <w:noWrap/>
                  <w:vAlign w:val="center"/>
                </w:tcPr>
                <w:p w14:paraId="67B97DAA">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13 </w:t>
                  </w:r>
                </w:p>
              </w:tc>
              <w:tc>
                <w:tcPr>
                  <w:tcW w:w="855" w:type="dxa"/>
                  <w:tcBorders>
                    <w:top w:val="nil"/>
                    <w:left w:val="nil"/>
                    <w:bottom w:val="single" w:color="auto" w:sz="4" w:space="0"/>
                    <w:right w:val="single" w:color="auto" w:sz="4" w:space="0"/>
                  </w:tcBorders>
                  <w:shd w:val="clear" w:color="auto" w:fill="auto"/>
                  <w:noWrap/>
                  <w:vAlign w:val="center"/>
                </w:tcPr>
                <w:p w14:paraId="1D2D65A4">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14 </w:t>
                  </w:r>
                </w:p>
              </w:tc>
              <w:tc>
                <w:tcPr>
                  <w:tcW w:w="825" w:type="dxa"/>
                  <w:tcBorders>
                    <w:top w:val="nil"/>
                    <w:left w:val="nil"/>
                    <w:bottom w:val="single" w:color="auto" w:sz="4" w:space="0"/>
                    <w:right w:val="single" w:color="auto" w:sz="4" w:space="0"/>
                  </w:tcBorders>
                  <w:shd w:val="clear" w:color="auto" w:fill="auto"/>
                  <w:noWrap/>
                  <w:vAlign w:val="center"/>
                </w:tcPr>
                <w:p w14:paraId="17C864A3">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15 </w:t>
                  </w:r>
                </w:p>
              </w:tc>
              <w:tc>
                <w:tcPr>
                  <w:tcW w:w="920" w:type="dxa"/>
                  <w:tcBorders>
                    <w:top w:val="nil"/>
                    <w:left w:val="nil"/>
                    <w:bottom w:val="single" w:color="auto" w:sz="4" w:space="0"/>
                    <w:right w:val="single" w:color="auto" w:sz="4" w:space="0"/>
                  </w:tcBorders>
                  <w:shd w:val="clear" w:color="auto" w:fill="auto"/>
                  <w:noWrap/>
                  <w:vAlign w:val="center"/>
                </w:tcPr>
                <w:p w14:paraId="23D11016">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16 </w:t>
                  </w:r>
                </w:p>
              </w:tc>
              <w:tc>
                <w:tcPr>
                  <w:tcW w:w="840" w:type="dxa"/>
                  <w:tcBorders>
                    <w:top w:val="nil"/>
                    <w:left w:val="nil"/>
                    <w:bottom w:val="single" w:color="auto" w:sz="4" w:space="0"/>
                    <w:right w:val="single" w:color="auto" w:sz="4" w:space="0"/>
                  </w:tcBorders>
                  <w:shd w:val="clear" w:color="auto" w:fill="auto"/>
                  <w:vAlign w:val="center"/>
                </w:tcPr>
                <w:p w14:paraId="729D0083">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17 </w:t>
                  </w:r>
                </w:p>
              </w:tc>
              <w:tc>
                <w:tcPr>
                  <w:tcW w:w="859" w:type="dxa"/>
                  <w:tcBorders>
                    <w:top w:val="nil"/>
                    <w:left w:val="nil"/>
                    <w:bottom w:val="single" w:color="auto" w:sz="4" w:space="0"/>
                    <w:right w:val="single" w:color="auto" w:sz="4" w:space="0"/>
                  </w:tcBorders>
                  <w:shd w:val="clear" w:color="auto" w:fill="auto"/>
                  <w:vAlign w:val="center"/>
                </w:tcPr>
                <w:p w14:paraId="5FBABCA6">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18 </w:t>
                  </w:r>
                </w:p>
              </w:tc>
            </w:tr>
            <w:tr w14:paraId="0E0FA74F">
              <w:tblPrEx>
                <w:tblCellMar>
                  <w:top w:w="0" w:type="dxa"/>
                  <w:left w:w="108" w:type="dxa"/>
                  <w:bottom w:w="0" w:type="dxa"/>
                  <w:right w:w="108" w:type="dxa"/>
                </w:tblCellMar>
              </w:tblPrEx>
              <w:trPr>
                <w:trHeight w:val="588"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120E42FF">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发电量</w:t>
                  </w:r>
                </w:p>
              </w:tc>
              <w:tc>
                <w:tcPr>
                  <w:tcW w:w="1080" w:type="dxa"/>
                  <w:tcBorders>
                    <w:top w:val="nil"/>
                    <w:left w:val="nil"/>
                    <w:bottom w:val="single" w:color="auto" w:sz="4" w:space="0"/>
                    <w:right w:val="single" w:color="auto" w:sz="4" w:space="0"/>
                  </w:tcBorders>
                  <w:shd w:val="clear" w:color="auto" w:fill="auto"/>
                  <w:noWrap/>
                  <w:vAlign w:val="center"/>
                </w:tcPr>
                <w:p w14:paraId="52E5CEA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33714.4 </w:t>
                  </w:r>
                </w:p>
              </w:tc>
              <w:tc>
                <w:tcPr>
                  <w:tcW w:w="820" w:type="dxa"/>
                  <w:tcBorders>
                    <w:top w:val="nil"/>
                    <w:left w:val="nil"/>
                    <w:bottom w:val="single" w:color="auto" w:sz="4" w:space="0"/>
                    <w:right w:val="single" w:color="auto" w:sz="4" w:space="0"/>
                  </w:tcBorders>
                  <w:shd w:val="clear" w:color="auto" w:fill="auto"/>
                  <w:noWrap/>
                  <w:vAlign w:val="center"/>
                </w:tcPr>
                <w:p w14:paraId="5892D310">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33573.1 </w:t>
                  </w:r>
                </w:p>
              </w:tc>
              <w:tc>
                <w:tcPr>
                  <w:tcW w:w="807" w:type="dxa"/>
                  <w:tcBorders>
                    <w:top w:val="nil"/>
                    <w:left w:val="nil"/>
                    <w:bottom w:val="single" w:color="auto" w:sz="4" w:space="0"/>
                    <w:right w:val="single" w:color="auto" w:sz="4" w:space="0"/>
                  </w:tcBorders>
                  <w:shd w:val="clear" w:color="auto" w:fill="auto"/>
                  <w:noWrap/>
                  <w:vAlign w:val="center"/>
                </w:tcPr>
                <w:p w14:paraId="42AD58D8">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33431.7 </w:t>
                  </w:r>
                </w:p>
              </w:tc>
              <w:tc>
                <w:tcPr>
                  <w:tcW w:w="880" w:type="dxa"/>
                  <w:tcBorders>
                    <w:top w:val="nil"/>
                    <w:left w:val="nil"/>
                    <w:bottom w:val="single" w:color="auto" w:sz="4" w:space="0"/>
                    <w:right w:val="single" w:color="auto" w:sz="4" w:space="0"/>
                  </w:tcBorders>
                  <w:shd w:val="clear" w:color="auto" w:fill="auto"/>
                  <w:noWrap/>
                  <w:vAlign w:val="center"/>
                </w:tcPr>
                <w:p w14:paraId="43037825">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33290.3 </w:t>
                  </w:r>
                </w:p>
              </w:tc>
              <w:tc>
                <w:tcPr>
                  <w:tcW w:w="855" w:type="dxa"/>
                  <w:tcBorders>
                    <w:top w:val="nil"/>
                    <w:left w:val="nil"/>
                    <w:bottom w:val="single" w:color="auto" w:sz="4" w:space="0"/>
                    <w:right w:val="single" w:color="auto" w:sz="4" w:space="0"/>
                  </w:tcBorders>
                  <w:shd w:val="clear" w:color="auto" w:fill="auto"/>
                  <w:noWrap/>
                  <w:vAlign w:val="center"/>
                </w:tcPr>
                <w:p w14:paraId="184C41F1">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33149.0 </w:t>
                  </w:r>
                </w:p>
              </w:tc>
              <w:tc>
                <w:tcPr>
                  <w:tcW w:w="825" w:type="dxa"/>
                  <w:tcBorders>
                    <w:top w:val="nil"/>
                    <w:left w:val="nil"/>
                    <w:bottom w:val="single" w:color="auto" w:sz="4" w:space="0"/>
                    <w:right w:val="single" w:color="auto" w:sz="4" w:space="0"/>
                  </w:tcBorders>
                  <w:shd w:val="clear" w:color="auto" w:fill="auto"/>
                  <w:noWrap/>
                  <w:vAlign w:val="center"/>
                </w:tcPr>
                <w:p w14:paraId="31C32F73">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33007.6 </w:t>
                  </w:r>
                </w:p>
              </w:tc>
              <w:tc>
                <w:tcPr>
                  <w:tcW w:w="920" w:type="dxa"/>
                  <w:tcBorders>
                    <w:top w:val="nil"/>
                    <w:left w:val="nil"/>
                    <w:bottom w:val="single" w:color="auto" w:sz="4" w:space="0"/>
                    <w:right w:val="single" w:color="auto" w:sz="4" w:space="0"/>
                  </w:tcBorders>
                  <w:shd w:val="clear" w:color="auto" w:fill="auto"/>
                  <w:noWrap/>
                  <w:vAlign w:val="center"/>
                </w:tcPr>
                <w:p w14:paraId="5E4EDF2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32866.3 </w:t>
                  </w:r>
                </w:p>
              </w:tc>
              <w:tc>
                <w:tcPr>
                  <w:tcW w:w="840" w:type="dxa"/>
                  <w:tcBorders>
                    <w:top w:val="nil"/>
                    <w:left w:val="nil"/>
                    <w:bottom w:val="single" w:color="auto" w:sz="4" w:space="0"/>
                    <w:right w:val="single" w:color="auto" w:sz="4" w:space="0"/>
                  </w:tcBorders>
                  <w:shd w:val="clear" w:color="auto" w:fill="auto"/>
                  <w:vAlign w:val="center"/>
                </w:tcPr>
                <w:p w14:paraId="3BBED2F0">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32724.9 </w:t>
                  </w:r>
                </w:p>
              </w:tc>
              <w:tc>
                <w:tcPr>
                  <w:tcW w:w="859" w:type="dxa"/>
                  <w:tcBorders>
                    <w:top w:val="nil"/>
                    <w:left w:val="nil"/>
                    <w:bottom w:val="single" w:color="auto" w:sz="4" w:space="0"/>
                    <w:right w:val="single" w:color="auto" w:sz="4" w:space="0"/>
                  </w:tcBorders>
                  <w:shd w:val="clear" w:color="auto" w:fill="auto"/>
                  <w:vAlign w:val="center"/>
                </w:tcPr>
                <w:p w14:paraId="6A37FE6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32583.5 </w:t>
                  </w:r>
                </w:p>
              </w:tc>
            </w:tr>
            <w:tr w14:paraId="64D8E675">
              <w:tblPrEx>
                <w:tblCellMar>
                  <w:top w:w="0" w:type="dxa"/>
                  <w:left w:w="108" w:type="dxa"/>
                  <w:bottom w:w="0" w:type="dxa"/>
                  <w:right w:w="108" w:type="dxa"/>
                </w:tblCellMar>
              </w:tblPrEx>
              <w:trPr>
                <w:trHeight w:val="588"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03DDDCF5">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利用小时</w:t>
                  </w:r>
                </w:p>
              </w:tc>
              <w:tc>
                <w:tcPr>
                  <w:tcW w:w="1080" w:type="dxa"/>
                  <w:tcBorders>
                    <w:top w:val="nil"/>
                    <w:left w:val="nil"/>
                    <w:bottom w:val="single" w:color="auto" w:sz="4" w:space="0"/>
                    <w:right w:val="single" w:color="auto" w:sz="4" w:space="0"/>
                  </w:tcBorders>
                  <w:shd w:val="clear" w:color="auto" w:fill="auto"/>
                  <w:noWrap/>
                  <w:vAlign w:val="center"/>
                </w:tcPr>
                <w:p w14:paraId="150C57B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1221.5 </w:t>
                  </w:r>
                </w:p>
              </w:tc>
              <w:tc>
                <w:tcPr>
                  <w:tcW w:w="820" w:type="dxa"/>
                  <w:tcBorders>
                    <w:top w:val="nil"/>
                    <w:left w:val="nil"/>
                    <w:bottom w:val="single" w:color="auto" w:sz="4" w:space="0"/>
                    <w:right w:val="single" w:color="auto" w:sz="4" w:space="0"/>
                  </w:tcBorders>
                  <w:shd w:val="clear" w:color="auto" w:fill="auto"/>
                  <w:noWrap/>
                  <w:vAlign w:val="center"/>
                </w:tcPr>
                <w:p w14:paraId="1AACACF3">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1216.4 </w:t>
                  </w:r>
                </w:p>
              </w:tc>
              <w:tc>
                <w:tcPr>
                  <w:tcW w:w="807" w:type="dxa"/>
                  <w:tcBorders>
                    <w:top w:val="nil"/>
                    <w:left w:val="nil"/>
                    <w:bottom w:val="single" w:color="auto" w:sz="4" w:space="0"/>
                    <w:right w:val="single" w:color="auto" w:sz="4" w:space="0"/>
                  </w:tcBorders>
                  <w:shd w:val="clear" w:color="auto" w:fill="auto"/>
                  <w:noWrap/>
                  <w:vAlign w:val="center"/>
                </w:tcPr>
                <w:p w14:paraId="23118A58">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1211.3 </w:t>
                  </w:r>
                </w:p>
              </w:tc>
              <w:tc>
                <w:tcPr>
                  <w:tcW w:w="880" w:type="dxa"/>
                  <w:tcBorders>
                    <w:top w:val="nil"/>
                    <w:left w:val="nil"/>
                    <w:bottom w:val="single" w:color="auto" w:sz="4" w:space="0"/>
                    <w:right w:val="single" w:color="auto" w:sz="4" w:space="0"/>
                  </w:tcBorders>
                  <w:shd w:val="clear" w:color="auto" w:fill="auto"/>
                  <w:noWrap/>
                  <w:vAlign w:val="center"/>
                </w:tcPr>
                <w:p w14:paraId="2C32595F">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1206.2 </w:t>
                  </w:r>
                </w:p>
              </w:tc>
              <w:tc>
                <w:tcPr>
                  <w:tcW w:w="855" w:type="dxa"/>
                  <w:tcBorders>
                    <w:top w:val="nil"/>
                    <w:left w:val="nil"/>
                    <w:bottom w:val="single" w:color="auto" w:sz="4" w:space="0"/>
                    <w:right w:val="single" w:color="auto" w:sz="4" w:space="0"/>
                  </w:tcBorders>
                  <w:shd w:val="clear" w:color="auto" w:fill="auto"/>
                  <w:noWrap/>
                  <w:vAlign w:val="center"/>
                </w:tcPr>
                <w:p w14:paraId="358FED35">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1201.0 </w:t>
                  </w:r>
                </w:p>
              </w:tc>
              <w:tc>
                <w:tcPr>
                  <w:tcW w:w="825" w:type="dxa"/>
                  <w:tcBorders>
                    <w:top w:val="nil"/>
                    <w:left w:val="nil"/>
                    <w:bottom w:val="single" w:color="auto" w:sz="4" w:space="0"/>
                    <w:right w:val="single" w:color="auto" w:sz="4" w:space="0"/>
                  </w:tcBorders>
                  <w:shd w:val="clear" w:color="auto" w:fill="auto"/>
                  <w:noWrap/>
                  <w:vAlign w:val="center"/>
                </w:tcPr>
                <w:p w14:paraId="72046137">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1195.9 </w:t>
                  </w:r>
                </w:p>
              </w:tc>
              <w:tc>
                <w:tcPr>
                  <w:tcW w:w="920" w:type="dxa"/>
                  <w:tcBorders>
                    <w:top w:val="nil"/>
                    <w:left w:val="nil"/>
                    <w:bottom w:val="single" w:color="auto" w:sz="4" w:space="0"/>
                    <w:right w:val="single" w:color="auto" w:sz="4" w:space="0"/>
                  </w:tcBorders>
                  <w:shd w:val="clear" w:color="auto" w:fill="auto"/>
                  <w:noWrap/>
                  <w:vAlign w:val="center"/>
                </w:tcPr>
                <w:p w14:paraId="21B64D3A">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1190.8 </w:t>
                  </w:r>
                </w:p>
              </w:tc>
              <w:tc>
                <w:tcPr>
                  <w:tcW w:w="840" w:type="dxa"/>
                  <w:tcBorders>
                    <w:top w:val="nil"/>
                    <w:left w:val="nil"/>
                    <w:bottom w:val="single" w:color="auto" w:sz="4" w:space="0"/>
                    <w:right w:val="single" w:color="auto" w:sz="4" w:space="0"/>
                  </w:tcBorders>
                  <w:shd w:val="clear" w:color="auto" w:fill="auto"/>
                  <w:vAlign w:val="center"/>
                </w:tcPr>
                <w:p w14:paraId="605E6661">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1185.7 </w:t>
                  </w:r>
                </w:p>
              </w:tc>
              <w:tc>
                <w:tcPr>
                  <w:tcW w:w="859" w:type="dxa"/>
                  <w:tcBorders>
                    <w:top w:val="nil"/>
                    <w:left w:val="nil"/>
                    <w:bottom w:val="single" w:color="auto" w:sz="4" w:space="0"/>
                    <w:right w:val="single" w:color="auto" w:sz="4" w:space="0"/>
                  </w:tcBorders>
                  <w:shd w:val="clear" w:color="auto" w:fill="auto"/>
                  <w:vAlign w:val="center"/>
                </w:tcPr>
                <w:p w14:paraId="02DA3787">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1180.6 </w:t>
                  </w:r>
                </w:p>
              </w:tc>
            </w:tr>
            <w:tr w14:paraId="6E2D1F7E">
              <w:tblPrEx>
                <w:tblCellMar>
                  <w:top w:w="0" w:type="dxa"/>
                  <w:left w:w="108" w:type="dxa"/>
                  <w:bottom w:w="0" w:type="dxa"/>
                  <w:right w:w="108" w:type="dxa"/>
                </w:tblCellMar>
              </w:tblPrEx>
              <w:trPr>
                <w:trHeight w:val="588"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44338F7F">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运营年份</w:t>
                  </w:r>
                </w:p>
              </w:tc>
              <w:tc>
                <w:tcPr>
                  <w:tcW w:w="1080" w:type="dxa"/>
                  <w:tcBorders>
                    <w:top w:val="nil"/>
                    <w:left w:val="nil"/>
                    <w:bottom w:val="single" w:color="auto" w:sz="4" w:space="0"/>
                    <w:right w:val="single" w:color="auto" w:sz="4" w:space="0"/>
                  </w:tcBorders>
                  <w:shd w:val="clear" w:color="auto" w:fill="auto"/>
                  <w:noWrap/>
                  <w:vAlign w:val="center"/>
                </w:tcPr>
                <w:p w14:paraId="4EF8A212">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19 </w:t>
                  </w:r>
                </w:p>
              </w:tc>
              <w:tc>
                <w:tcPr>
                  <w:tcW w:w="820" w:type="dxa"/>
                  <w:tcBorders>
                    <w:top w:val="nil"/>
                    <w:left w:val="nil"/>
                    <w:bottom w:val="single" w:color="auto" w:sz="4" w:space="0"/>
                    <w:right w:val="single" w:color="auto" w:sz="4" w:space="0"/>
                  </w:tcBorders>
                  <w:shd w:val="clear" w:color="auto" w:fill="auto"/>
                  <w:noWrap/>
                  <w:vAlign w:val="center"/>
                </w:tcPr>
                <w:p w14:paraId="63A9D49F">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20 </w:t>
                  </w:r>
                </w:p>
              </w:tc>
              <w:tc>
                <w:tcPr>
                  <w:tcW w:w="807" w:type="dxa"/>
                  <w:tcBorders>
                    <w:top w:val="nil"/>
                    <w:left w:val="nil"/>
                    <w:bottom w:val="single" w:color="auto" w:sz="4" w:space="0"/>
                    <w:right w:val="single" w:color="auto" w:sz="4" w:space="0"/>
                  </w:tcBorders>
                  <w:shd w:val="clear" w:color="auto" w:fill="auto"/>
                  <w:noWrap/>
                  <w:vAlign w:val="center"/>
                </w:tcPr>
                <w:p w14:paraId="60961252">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21 </w:t>
                  </w:r>
                </w:p>
              </w:tc>
              <w:tc>
                <w:tcPr>
                  <w:tcW w:w="880" w:type="dxa"/>
                  <w:tcBorders>
                    <w:top w:val="nil"/>
                    <w:left w:val="nil"/>
                    <w:bottom w:val="single" w:color="auto" w:sz="4" w:space="0"/>
                    <w:right w:val="single" w:color="auto" w:sz="4" w:space="0"/>
                  </w:tcBorders>
                  <w:shd w:val="clear" w:color="auto" w:fill="auto"/>
                  <w:noWrap/>
                  <w:vAlign w:val="center"/>
                </w:tcPr>
                <w:p w14:paraId="52BE2EC5">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22 </w:t>
                  </w:r>
                </w:p>
              </w:tc>
              <w:tc>
                <w:tcPr>
                  <w:tcW w:w="855" w:type="dxa"/>
                  <w:tcBorders>
                    <w:top w:val="nil"/>
                    <w:left w:val="nil"/>
                    <w:bottom w:val="single" w:color="auto" w:sz="4" w:space="0"/>
                    <w:right w:val="single" w:color="auto" w:sz="4" w:space="0"/>
                  </w:tcBorders>
                  <w:shd w:val="clear" w:color="auto" w:fill="auto"/>
                  <w:noWrap/>
                  <w:vAlign w:val="center"/>
                </w:tcPr>
                <w:p w14:paraId="2B4C3D3B">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23 </w:t>
                  </w:r>
                </w:p>
              </w:tc>
              <w:tc>
                <w:tcPr>
                  <w:tcW w:w="825" w:type="dxa"/>
                  <w:tcBorders>
                    <w:top w:val="nil"/>
                    <w:left w:val="nil"/>
                    <w:bottom w:val="single" w:color="auto" w:sz="4" w:space="0"/>
                    <w:right w:val="single" w:color="auto" w:sz="4" w:space="0"/>
                  </w:tcBorders>
                  <w:shd w:val="clear" w:color="auto" w:fill="auto"/>
                  <w:noWrap/>
                  <w:vAlign w:val="center"/>
                </w:tcPr>
                <w:p w14:paraId="4FBD47ED">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24 </w:t>
                  </w:r>
                </w:p>
              </w:tc>
              <w:tc>
                <w:tcPr>
                  <w:tcW w:w="920" w:type="dxa"/>
                  <w:tcBorders>
                    <w:top w:val="nil"/>
                    <w:left w:val="nil"/>
                    <w:bottom w:val="single" w:color="auto" w:sz="4" w:space="0"/>
                    <w:right w:val="single" w:color="auto" w:sz="4" w:space="0"/>
                  </w:tcBorders>
                  <w:shd w:val="clear" w:color="auto" w:fill="auto"/>
                  <w:noWrap/>
                  <w:vAlign w:val="center"/>
                </w:tcPr>
                <w:p w14:paraId="28D6A91F">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25 </w:t>
                  </w:r>
                </w:p>
              </w:tc>
              <w:tc>
                <w:tcPr>
                  <w:tcW w:w="840" w:type="dxa"/>
                  <w:tcBorders>
                    <w:top w:val="nil"/>
                    <w:left w:val="nil"/>
                    <w:bottom w:val="single" w:color="auto" w:sz="4" w:space="0"/>
                    <w:right w:val="single" w:color="auto" w:sz="4" w:space="0"/>
                  </w:tcBorders>
                  <w:shd w:val="clear" w:color="auto" w:fill="auto"/>
                  <w:vAlign w:val="center"/>
                </w:tcPr>
                <w:p w14:paraId="3B2DE42A">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25年合计</w:t>
                  </w:r>
                </w:p>
              </w:tc>
              <w:tc>
                <w:tcPr>
                  <w:tcW w:w="859" w:type="dxa"/>
                  <w:tcBorders>
                    <w:top w:val="nil"/>
                    <w:left w:val="nil"/>
                    <w:bottom w:val="single" w:color="auto" w:sz="4" w:space="0"/>
                    <w:right w:val="single" w:color="auto" w:sz="4" w:space="0"/>
                  </w:tcBorders>
                  <w:shd w:val="clear" w:color="auto" w:fill="auto"/>
                  <w:vAlign w:val="center"/>
                </w:tcPr>
                <w:p w14:paraId="2FF37B41">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年平均</w:t>
                  </w:r>
                </w:p>
              </w:tc>
            </w:tr>
            <w:tr w14:paraId="7CC7945E">
              <w:tblPrEx>
                <w:tblCellMar>
                  <w:top w:w="0" w:type="dxa"/>
                  <w:left w:w="108" w:type="dxa"/>
                  <w:bottom w:w="0" w:type="dxa"/>
                  <w:right w:w="108" w:type="dxa"/>
                </w:tblCellMar>
              </w:tblPrEx>
              <w:trPr>
                <w:trHeight w:val="588"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47EB1740">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发电量</w:t>
                  </w:r>
                </w:p>
              </w:tc>
              <w:tc>
                <w:tcPr>
                  <w:tcW w:w="1080" w:type="dxa"/>
                  <w:tcBorders>
                    <w:top w:val="nil"/>
                    <w:left w:val="nil"/>
                    <w:bottom w:val="single" w:color="auto" w:sz="4" w:space="0"/>
                    <w:right w:val="single" w:color="auto" w:sz="4" w:space="0"/>
                  </w:tcBorders>
                  <w:shd w:val="clear" w:color="auto" w:fill="auto"/>
                  <w:noWrap/>
                  <w:vAlign w:val="center"/>
                </w:tcPr>
                <w:p w14:paraId="6F34FAC5">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32442.2 </w:t>
                  </w:r>
                </w:p>
              </w:tc>
              <w:tc>
                <w:tcPr>
                  <w:tcW w:w="820" w:type="dxa"/>
                  <w:tcBorders>
                    <w:top w:val="nil"/>
                    <w:left w:val="nil"/>
                    <w:bottom w:val="single" w:color="auto" w:sz="4" w:space="0"/>
                    <w:right w:val="single" w:color="auto" w:sz="4" w:space="0"/>
                  </w:tcBorders>
                  <w:shd w:val="clear" w:color="auto" w:fill="auto"/>
                  <w:noWrap/>
                  <w:vAlign w:val="center"/>
                </w:tcPr>
                <w:p w14:paraId="34C2CAD6">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32300.8 </w:t>
                  </w:r>
                </w:p>
              </w:tc>
              <w:tc>
                <w:tcPr>
                  <w:tcW w:w="807" w:type="dxa"/>
                  <w:tcBorders>
                    <w:top w:val="nil"/>
                    <w:left w:val="nil"/>
                    <w:bottom w:val="single" w:color="auto" w:sz="4" w:space="0"/>
                    <w:right w:val="single" w:color="auto" w:sz="4" w:space="0"/>
                  </w:tcBorders>
                  <w:shd w:val="clear" w:color="auto" w:fill="auto"/>
                  <w:noWrap/>
                  <w:vAlign w:val="center"/>
                </w:tcPr>
                <w:p w14:paraId="384E4EED">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32159.5 </w:t>
                  </w:r>
                </w:p>
              </w:tc>
              <w:tc>
                <w:tcPr>
                  <w:tcW w:w="880" w:type="dxa"/>
                  <w:tcBorders>
                    <w:top w:val="nil"/>
                    <w:left w:val="nil"/>
                    <w:bottom w:val="single" w:color="auto" w:sz="4" w:space="0"/>
                    <w:right w:val="single" w:color="auto" w:sz="4" w:space="0"/>
                  </w:tcBorders>
                  <w:shd w:val="clear" w:color="auto" w:fill="auto"/>
                  <w:noWrap/>
                  <w:vAlign w:val="center"/>
                </w:tcPr>
                <w:p w14:paraId="51C9559E">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32018.1 </w:t>
                  </w:r>
                </w:p>
              </w:tc>
              <w:tc>
                <w:tcPr>
                  <w:tcW w:w="855" w:type="dxa"/>
                  <w:tcBorders>
                    <w:top w:val="nil"/>
                    <w:left w:val="nil"/>
                    <w:bottom w:val="single" w:color="auto" w:sz="4" w:space="0"/>
                    <w:right w:val="single" w:color="auto" w:sz="4" w:space="0"/>
                  </w:tcBorders>
                  <w:shd w:val="clear" w:color="auto" w:fill="auto"/>
                  <w:noWrap/>
                  <w:vAlign w:val="center"/>
                </w:tcPr>
                <w:p w14:paraId="3FB2F84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31876.7 </w:t>
                  </w:r>
                </w:p>
              </w:tc>
              <w:tc>
                <w:tcPr>
                  <w:tcW w:w="825" w:type="dxa"/>
                  <w:tcBorders>
                    <w:top w:val="nil"/>
                    <w:left w:val="nil"/>
                    <w:bottom w:val="single" w:color="auto" w:sz="4" w:space="0"/>
                    <w:right w:val="single" w:color="auto" w:sz="4" w:space="0"/>
                  </w:tcBorders>
                  <w:shd w:val="clear" w:color="auto" w:fill="auto"/>
                  <w:noWrap/>
                  <w:vAlign w:val="center"/>
                </w:tcPr>
                <w:p w14:paraId="535A46B0">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31735.4 </w:t>
                  </w:r>
                </w:p>
              </w:tc>
              <w:tc>
                <w:tcPr>
                  <w:tcW w:w="920" w:type="dxa"/>
                  <w:tcBorders>
                    <w:top w:val="nil"/>
                    <w:left w:val="nil"/>
                    <w:bottom w:val="single" w:color="auto" w:sz="4" w:space="0"/>
                    <w:right w:val="single" w:color="auto" w:sz="4" w:space="0"/>
                  </w:tcBorders>
                  <w:shd w:val="clear" w:color="auto" w:fill="auto"/>
                  <w:noWrap/>
                  <w:vAlign w:val="center"/>
                </w:tcPr>
                <w:p w14:paraId="4CBD7D9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31594.0 </w:t>
                  </w:r>
                </w:p>
              </w:tc>
              <w:tc>
                <w:tcPr>
                  <w:tcW w:w="840" w:type="dxa"/>
                  <w:tcBorders>
                    <w:top w:val="nil"/>
                    <w:left w:val="nil"/>
                    <w:bottom w:val="single" w:color="auto" w:sz="4" w:space="0"/>
                    <w:right w:val="single" w:color="auto" w:sz="4" w:space="0"/>
                  </w:tcBorders>
                  <w:shd w:val="clear" w:color="auto" w:fill="auto"/>
                  <w:vAlign w:val="center"/>
                </w:tcPr>
                <w:p w14:paraId="0DC392CB">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 xml:space="preserve">832258.33 </w:t>
                  </w:r>
                </w:p>
              </w:tc>
              <w:tc>
                <w:tcPr>
                  <w:tcW w:w="859" w:type="dxa"/>
                  <w:tcBorders>
                    <w:top w:val="nil"/>
                    <w:left w:val="nil"/>
                    <w:bottom w:val="single" w:color="auto" w:sz="4" w:space="0"/>
                    <w:right w:val="single" w:color="auto" w:sz="4" w:space="0"/>
                  </w:tcBorders>
                  <w:shd w:val="clear" w:color="auto" w:fill="auto"/>
                  <w:vAlign w:val="center"/>
                </w:tcPr>
                <w:p w14:paraId="79018234">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 xml:space="preserve">33290.33 </w:t>
                  </w:r>
                </w:p>
              </w:tc>
            </w:tr>
            <w:tr w14:paraId="34B2CD40">
              <w:tblPrEx>
                <w:tblCellMar>
                  <w:top w:w="0" w:type="dxa"/>
                  <w:left w:w="108" w:type="dxa"/>
                  <w:bottom w:w="0" w:type="dxa"/>
                  <w:right w:w="108" w:type="dxa"/>
                </w:tblCellMar>
              </w:tblPrEx>
              <w:trPr>
                <w:trHeight w:val="588"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14:paraId="27C3FEB1">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利用小时</w:t>
                  </w:r>
                </w:p>
              </w:tc>
              <w:tc>
                <w:tcPr>
                  <w:tcW w:w="1080" w:type="dxa"/>
                  <w:tcBorders>
                    <w:top w:val="nil"/>
                    <w:left w:val="nil"/>
                    <w:bottom w:val="single" w:color="auto" w:sz="4" w:space="0"/>
                    <w:right w:val="single" w:color="auto" w:sz="4" w:space="0"/>
                  </w:tcBorders>
                  <w:shd w:val="clear" w:color="auto" w:fill="auto"/>
                  <w:noWrap/>
                  <w:vAlign w:val="center"/>
                </w:tcPr>
                <w:p w14:paraId="6C88B856">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1175.4 </w:t>
                  </w:r>
                </w:p>
              </w:tc>
              <w:tc>
                <w:tcPr>
                  <w:tcW w:w="820" w:type="dxa"/>
                  <w:tcBorders>
                    <w:top w:val="nil"/>
                    <w:left w:val="nil"/>
                    <w:bottom w:val="single" w:color="auto" w:sz="4" w:space="0"/>
                    <w:right w:val="single" w:color="auto" w:sz="4" w:space="0"/>
                  </w:tcBorders>
                  <w:shd w:val="clear" w:color="auto" w:fill="auto"/>
                  <w:noWrap/>
                  <w:vAlign w:val="center"/>
                </w:tcPr>
                <w:p w14:paraId="16D12D4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1170.3 </w:t>
                  </w:r>
                </w:p>
              </w:tc>
              <w:tc>
                <w:tcPr>
                  <w:tcW w:w="807" w:type="dxa"/>
                  <w:tcBorders>
                    <w:top w:val="nil"/>
                    <w:left w:val="nil"/>
                    <w:bottom w:val="single" w:color="auto" w:sz="4" w:space="0"/>
                    <w:right w:val="single" w:color="auto" w:sz="4" w:space="0"/>
                  </w:tcBorders>
                  <w:shd w:val="clear" w:color="auto" w:fill="auto"/>
                  <w:noWrap/>
                  <w:vAlign w:val="center"/>
                </w:tcPr>
                <w:p w14:paraId="629D22AC">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1165.2 </w:t>
                  </w:r>
                </w:p>
              </w:tc>
              <w:tc>
                <w:tcPr>
                  <w:tcW w:w="880" w:type="dxa"/>
                  <w:tcBorders>
                    <w:top w:val="nil"/>
                    <w:left w:val="nil"/>
                    <w:bottom w:val="single" w:color="auto" w:sz="4" w:space="0"/>
                    <w:right w:val="single" w:color="auto" w:sz="4" w:space="0"/>
                  </w:tcBorders>
                  <w:shd w:val="clear" w:color="auto" w:fill="auto"/>
                  <w:noWrap/>
                  <w:vAlign w:val="center"/>
                </w:tcPr>
                <w:p w14:paraId="4F4DDA7A">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1160.1 </w:t>
                  </w:r>
                </w:p>
              </w:tc>
              <w:tc>
                <w:tcPr>
                  <w:tcW w:w="855" w:type="dxa"/>
                  <w:tcBorders>
                    <w:top w:val="nil"/>
                    <w:left w:val="nil"/>
                    <w:bottom w:val="single" w:color="auto" w:sz="4" w:space="0"/>
                    <w:right w:val="single" w:color="auto" w:sz="4" w:space="0"/>
                  </w:tcBorders>
                  <w:shd w:val="clear" w:color="auto" w:fill="auto"/>
                  <w:noWrap/>
                  <w:vAlign w:val="center"/>
                </w:tcPr>
                <w:p w14:paraId="1CFB7ABD">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1154.9 </w:t>
                  </w:r>
                </w:p>
              </w:tc>
              <w:tc>
                <w:tcPr>
                  <w:tcW w:w="825" w:type="dxa"/>
                  <w:tcBorders>
                    <w:top w:val="nil"/>
                    <w:left w:val="nil"/>
                    <w:bottom w:val="single" w:color="auto" w:sz="4" w:space="0"/>
                    <w:right w:val="single" w:color="auto" w:sz="4" w:space="0"/>
                  </w:tcBorders>
                  <w:shd w:val="clear" w:color="auto" w:fill="auto"/>
                  <w:noWrap/>
                  <w:vAlign w:val="center"/>
                </w:tcPr>
                <w:p w14:paraId="5F6E020D">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1149.8 </w:t>
                  </w:r>
                </w:p>
              </w:tc>
              <w:tc>
                <w:tcPr>
                  <w:tcW w:w="920" w:type="dxa"/>
                  <w:tcBorders>
                    <w:top w:val="nil"/>
                    <w:left w:val="nil"/>
                    <w:bottom w:val="single" w:color="auto" w:sz="4" w:space="0"/>
                    <w:right w:val="single" w:color="auto" w:sz="4" w:space="0"/>
                  </w:tcBorders>
                  <w:shd w:val="clear" w:color="auto" w:fill="auto"/>
                  <w:noWrap/>
                  <w:vAlign w:val="center"/>
                </w:tcPr>
                <w:p w14:paraId="1C5D980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1144.7 </w:t>
                  </w:r>
                </w:p>
              </w:tc>
              <w:tc>
                <w:tcPr>
                  <w:tcW w:w="840" w:type="dxa"/>
                  <w:tcBorders>
                    <w:top w:val="nil"/>
                    <w:left w:val="nil"/>
                    <w:bottom w:val="single" w:color="auto" w:sz="4" w:space="0"/>
                    <w:right w:val="single" w:color="auto" w:sz="4" w:space="0"/>
                  </w:tcBorders>
                  <w:shd w:val="clear" w:color="auto" w:fill="auto"/>
                  <w:vAlign w:val="center"/>
                </w:tcPr>
                <w:p w14:paraId="6C58B040">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30154.07 </w:t>
                  </w:r>
                </w:p>
              </w:tc>
              <w:tc>
                <w:tcPr>
                  <w:tcW w:w="859" w:type="dxa"/>
                  <w:tcBorders>
                    <w:top w:val="nil"/>
                    <w:left w:val="nil"/>
                    <w:bottom w:val="single" w:color="auto" w:sz="4" w:space="0"/>
                    <w:right w:val="single" w:color="auto" w:sz="4" w:space="0"/>
                  </w:tcBorders>
                  <w:shd w:val="clear" w:color="auto" w:fill="auto"/>
                  <w:vAlign w:val="center"/>
                </w:tcPr>
                <w:p w14:paraId="4DF7BD5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1206.16 </w:t>
                  </w:r>
                </w:p>
              </w:tc>
            </w:tr>
          </w:tbl>
          <w:p w14:paraId="00951A6A">
            <w:pPr>
              <w:pStyle w:val="117"/>
              <w:keepNext w:val="0"/>
              <w:keepLines w:val="0"/>
              <w:pageBreakBefore w:val="0"/>
              <w:widowControl w:val="0"/>
              <w:kinsoku/>
              <w:wordWrap/>
              <w:overflowPunct/>
              <w:topLinePunct w:val="0"/>
              <w:autoSpaceDE/>
              <w:autoSpaceDN/>
              <w:bidi w:val="0"/>
              <w:adjustRightInd/>
              <w:snapToGrid/>
              <w:spacing w:before="0" w:after="0"/>
              <w:ind w:left="0" w:leftChars="0" w:firstLine="1446" w:firstLineChars="600"/>
              <w:jc w:val="both"/>
              <w:textAlignment w:val="auto"/>
              <w:rPr>
                <w:b/>
                <w:bCs/>
              </w:rPr>
            </w:pPr>
            <w:r>
              <w:rPr>
                <w:rFonts w:hint="eastAsia"/>
                <w:b/>
                <w:bCs/>
              </w:rPr>
              <w:t>表</w:t>
            </w:r>
            <w:r>
              <w:rPr>
                <w:rFonts w:hint="eastAsia"/>
                <w:b/>
                <w:bCs/>
                <w:lang w:val="en-US" w:eastAsia="zh-CN"/>
              </w:rPr>
              <w:t>2</w:t>
            </w:r>
            <w:r>
              <w:rPr>
                <w:rFonts w:hint="eastAsia"/>
                <w:b/>
                <w:bCs/>
              </w:rPr>
              <w:t>-</w:t>
            </w:r>
            <w:r>
              <w:rPr>
                <w:rFonts w:hint="eastAsia"/>
                <w:b/>
                <w:bCs/>
                <w:lang w:val="en-US" w:eastAsia="zh-CN"/>
              </w:rPr>
              <w:t>7</w:t>
            </w:r>
            <w:r>
              <w:rPr>
                <w:b/>
                <w:bCs/>
              </w:rPr>
              <w:t>电站</w:t>
            </w:r>
            <w:r>
              <w:rPr>
                <w:rFonts w:hint="eastAsia"/>
                <w:b/>
                <w:bCs/>
              </w:rPr>
              <w:t>固定支架光伏系统</w:t>
            </w:r>
            <w:r>
              <w:rPr>
                <w:b/>
                <w:bCs/>
              </w:rPr>
              <w:t>2</w:t>
            </w:r>
            <w:r>
              <w:rPr>
                <w:rFonts w:hint="eastAsia"/>
                <w:b/>
                <w:bCs/>
              </w:rPr>
              <w:t>5</w:t>
            </w:r>
            <w:r>
              <w:rPr>
                <w:b/>
                <w:bCs/>
              </w:rPr>
              <w:t>年</w:t>
            </w:r>
            <w:r>
              <w:rPr>
                <w:rFonts w:hint="eastAsia"/>
                <w:b/>
                <w:bCs/>
              </w:rPr>
              <w:t>逐年发电量预测（万kWh）</w:t>
            </w:r>
          </w:p>
          <w:tbl>
            <w:tblPr>
              <w:tblStyle w:val="29"/>
              <w:tblW w:w="8694" w:type="dxa"/>
              <w:jc w:val="center"/>
              <w:tblLayout w:type="fixed"/>
              <w:tblCellMar>
                <w:top w:w="0" w:type="dxa"/>
                <w:left w:w="108" w:type="dxa"/>
                <w:bottom w:w="0" w:type="dxa"/>
                <w:right w:w="108" w:type="dxa"/>
              </w:tblCellMar>
            </w:tblPr>
            <w:tblGrid>
              <w:gridCol w:w="838"/>
              <w:gridCol w:w="862"/>
              <w:gridCol w:w="820"/>
              <w:gridCol w:w="824"/>
              <w:gridCol w:w="838"/>
              <w:gridCol w:w="822"/>
              <w:gridCol w:w="924"/>
              <w:gridCol w:w="920"/>
              <w:gridCol w:w="906"/>
              <w:gridCol w:w="940"/>
            </w:tblGrid>
            <w:tr w14:paraId="59EED2CB">
              <w:trPr>
                <w:trHeight w:val="588" w:hRule="atLeast"/>
                <w:jc w:val="center"/>
              </w:trPr>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0D56E10F">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运营年份</w:t>
                  </w:r>
                </w:p>
              </w:tc>
              <w:tc>
                <w:tcPr>
                  <w:tcW w:w="862" w:type="dxa"/>
                  <w:tcBorders>
                    <w:top w:val="single" w:color="auto" w:sz="4" w:space="0"/>
                    <w:left w:val="nil"/>
                    <w:bottom w:val="single" w:color="auto" w:sz="4" w:space="0"/>
                    <w:right w:val="single" w:color="auto" w:sz="4" w:space="0"/>
                  </w:tcBorders>
                  <w:shd w:val="clear" w:color="auto" w:fill="auto"/>
                  <w:noWrap/>
                  <w:vAlign w:val="center"/>
                </w:tcPr>
                <w:p w14:paraId="0E9EE6FF">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1</w:t>
                  </w:r>
                </w:p>
              </w:tc>
              <w:tc>
                <w:tcPr>
                  <w:tcW w:w="820" w:type="dxa"/>
                  <w:tcBorders>
                    <w:top w:val="single" w:color="auto" w:sz="4" w:space="0"/>
                    <w:left w:val="nil"/>
                    <w:bottom w:val="single" w:color="auto" w:sz="4" w:space="0"/>
                    <w:right w:val="single" w:color="auto" w:sz="4" w:space="0"/>
                  </w:tcBorders>
                  <w:shd w:val="clear" w:color="auto" w:fill="auto"/>
                  <w:noWrap/>
                  <w:vAlign w:val="center"/>
                </w:tcPr>
                <w:p w14:paraId="052E137E">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2</w:t>
                  </w:r>
                </w:p>
              </w:tc>
              <w:tc>
                <w:tcPr>
                  <w:tcW w:w="824" w:type="dxa"/>
                  <w:tcBorders>
                    <w:top w:val="single" w:color="auto" w:sz="4" w:space="0"/>
                    <w:left w:val="nil"/>
                    <w:bottom w:val="single" w:color="auto" w:sz="4" w:space="0"/>
                    <w:right w:val="single" w:color="auto" w:sz="4" w:space="0"/>
                  </w:tcBorders>
                  <w:shd w:val="clear" w:color="auto" w:fill="auto"/>
                  <w:noWrap/>
                  <w:vAlign w:val="center"/>
                </w:tcPr>
                <w:p w14:paraId="2C08BAB4">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3</w:t>
                  </w:r>
                </w:p>
              </w:tc>
              <w:tc>
                <w:tcPr>
                  <w:tcW w:w="838" w:type="dxa"/>
                  <w:tcBorders>
                    <w:top w:val="single" w:color="auto" w:sz="4" w:space="0"/>
                    <w:left w:val="nil"/>
                    <w:bottom w:val="single" w:color="auto" w:sz="4" w:space="0"/>
                    <w:right w:val="single" w:color="auto" w:sz="4" w:space="0"/>
                  </w:tcBorders>
                  <w:shd w:val="clear" w:color="auto" w:fill="auto"/>
                  <w:noWrap/>
                  <w:vAlign w:val="center"/>
                </w:tcPr>
                <w:p w14:paraId="2AEC3342">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4</w:t>
                  </w:r>
                </w:p>
              </w:tc>
              <w:tc>
                <w:tcPr>
                  <w:tcW w:w="822" w:type="dxa"/>
                  <w:tcBorders>
                    <w:top w:val="single" w:color="auto" w:sz="4" w:space="0"/>
                    <w:left w:val="nil"/>
                    <w:bottom w:val="single" w:color="auto" w:sz="4" w:space="0"/>
                    <w:right w:val="single" w:color="auto" w:sz="4" w:space="0"/>
                  </w:tcBorders>
                  <w:shd w:val="clear" w:color="auto" w:fill="auto"/>
                  <w:noWrap/>
                  <w:vAlign w:val="center"/>
                </w:tcPr>
                <w:p w14:paraId="31F1CBC3">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5</w:t>
                  </w:r>
                </w:p>
              </w:tc>
              <w:tc>
                <w:tcPr>
                  <w:tcW w:w="924" w:type="dxa"/>
                  <w:tcBorders>
                    <w:top w:val="single" w:color="auto" w:sz="4" w:space="0"/>
                    <w:left w:val="nil"/>
                    <w:bottom w:val="single" w:color="auto" w:sz="4" w:space="0"/>
                    <w:right w:val="single" w:color="auto" w:sz="4" w:space="0"/>
                  </w:tcBorders>
                  <w:shd w:val="clear" w:color="auto" w:fill="auto"/>
                  <w:noWrap/>
                  <w:vAlign w:val="center"/>
                </w:tcPr>
                <w:p w14:paraId="488A816E">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6</w:t>
                  </w:r>
                </w:p>
              </w:tc>
              <w:tc>
                <w:tcPr>
                  <w:tcW w:w="920" w:type="dxa"/>
                  <w:tcBorders>
                    <w:top w:val="single" w:color="auto" w:sz="4" w:space="0"/>
                    <w:left w:val="nil"/>
                    <w:bottom w:val="single" w:color="auto" w:sz="4" w:space="0"/>
                    <w:right w:val="single" w:color="auto" w:sz="4" w:space="0"/>
                  </w:tcBorders>
                  <w:shd w:val="clear" w:color="auto" w:fill="auto"/>
                  <w:noWrap/>
                  <w:vAlign w:val="center"/>
                </w:tcPr>
                <w:p w14:paraId="7DD2328F">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7</w:t>
                  </w:r>
                </w:p>
              </w:tc>
              <w:tc>
                <w:tcPr>
                  <w:tcW w:w="906" w:type="dxa"/>
                  <w:tcBorders>
                    <w:top w:val="single" w:color="auto" w:sz="4" w:space="0"/>
                    <w:left w:val="nil"/>
                    <w:bottom w:val="single" w:color="auto" w:sz="4" w:space="0"/>
                    <w:right w:val="single" w:color="auto" w:sz="4" w:space="0"/>
                  </w:tcBorders>
                  <w:shd w:val="clear" w:color="auto" w:fill="auto"/>
                  <w:vAlign w:val="center"/>
                </w:tcPr>
                <w:p w14:paraId="42B8368D">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8</w:t>
                  </w:r>
                </w:p>
              </w:tc>
              <w:tc>
                <w:tcPr>
                  <w:tcW w:w="940" w:type="dxa"/>
                  <w:tcBorders>
                    <w:top w:val="single" w:color="auto" w:sz="4" w:space="0"/>
                    <w:left w:val="nil"/>
                    <w:bottom w:val="single" w:color="auto" w:sz="4" w:space="0"/>
                    <w:right w:val="single" w:color="auto" w:sz="4" w:space="0"/>
                  </w:tcBorders>
                  <w:shd w:val="clear" w:color="auto" w:fill="auto"/>
                  <w:vAlign w:val="center"/>
                </w:tcPr>
                <w:p w14:paraId="3B420038">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9</w:t>
                  </w:r>
                </w:p>
              </w:tc>
            </w:tr>
            <w:tr w14:paraId="2470EB1E">
              <w:tblPrEx>
                <w:tblCellMar>
                  <w:top w:w="0" w:type="dxa"/>
                  <w:left w:w="108" w:type="dxa"/>
                  <w:bottom w:w="0" w:type="dxa"/>
                  <w:right w:w="108" w:type="dxa"/>
                </w:tblCellMar>
              </w:tblPrEx>
              <w:trPr>
                <w:trHeight w:val="58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50E65F50">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发电量</w:t>
                  </w:r>
                </w:p>
              </w:tc>
              <w:tc>
                <w:tcPr>
                  <w:tcW w:w="862" w:type="dxa"/>
                  <w:tcBorders>
                    <w:top w:val="nil"/>
                    <w:left w:val="nil"/>
                    <w:bottom w:val="single" w:color="auto" w:sz="4" w:space="0"/>
                    <w:right w:val="single" w:color="auto" w:sz="4" w:space="0"/>
                  </w:tcBorders>
                  <w:shd w:val="clear" w:color="auto" w:fill="auto"/>
                  <w:noWrap/>
                  <w:vAlign w:val="center"/>
                </w:tcPr>
                <w:p w14:paraId="03826CBE">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1344.8 </w:t>
                  </w:r>
                </w:p>
              </w:tc>
              <w:tc>
                <w:tcPr>
                  <w:tcW w:w="820" w:type="dxa"/>
                  <w:tcBorders>
                    <w:top w:val="nil"/>
                    <w:left w:val="nil"/>
                    <w:bottom w:val="single" w:color="auto" w:sz="4" w:space="0"/>
                    <w:right w:val="single" w:color="auto" w:sz="4" w:space="0"/>
                  </w:tcBorders>
                  <w:shd w:val="clear" w:color="auto" w:fill="auto"/>
                  <w:noWrap/>
                  <w:vAlign w:val="center"/>
                </w:tcPr>
                <w:p w14:paraId="31F84276">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1339.4 </w:t>
                  </w:r>
                </w:p>
              </w:tc>
              <w:tc>
                <w:tcPr>
                  <w:tcW w:w="824" w:type="dxa"/>
                  <w:tcBorders>
                    <w:top w:val="nil"/>
                    <w:left w:val="nil"/>
                    <w:bottom w:val="single" w:color="auto" w:sz="4" w:space="0"/>
                    <w:right w:val="single" w:color="auto" w:sz="4" w:space="0"/>
                  </w:tcBorders>
                  <w:shd w:val="clear" w:color="auto" w:fill="auto"/>
                  <w:noWrap/>
                  <w:vAlign w:val="center"/>
                </w:tcPr>
                <w:p w14:paraId="44C11EE1">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1333.9 </w:t>
                  </w:r>
                </w:p>
              </w:tc>
              <w:tc>
                <w:tcPr>
                  <w:tcW w:w="838" w:type="dxa"/>
                  <w:tcBorders>
                    <w:top w:val="nil"/>
                    <w:left w:val="nil"/>
                    <w:bottom w:val="single" w:color="auto" w:sz="4" w:space="0"/>
                    <w:right w:val="single" w:color="auto" w:sz="4" w:space="0"/>
                  </w:tcBorders>
                  <w:shd w:val="clear" w:color="auto" w:fill="auto"/>
                  <w:noWrap/>
                  <w:vAlign w:val="center"/>
                </w:tcPr>
                <w:p w14:paraId="2EA708D8">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1328.5 </w:t>
                  </w:r>
                </w:p>
              </w:tc>
              <w:tc>
                <w:tcPr>
                  <w:tcW w:w="822" w:type="dxa"/>
                  <w:tcBorders>
                    <w:top w:val="nil"/>
                    <w:left w:val="nil"/>
                    <w:bottom w:val="single" w:color="auto" w:sz="4" w:space="0"/>
                    <w:right w:val="single" w:color="auto" w:sz="4" w:space="0"/>
                  </w:tcBorders>
                  <w:shd w:val="clear" w:color="auto" w:fill="auto"/>
                  <w:noWrap/>
                  <w:vAlign w:val="center"/>
                </w:tcPr>
                <w:p w14:paraId="6B3C6A72">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1323.1 </w:t>
                  </w:r>
                </w:p>
              </w:tc>
              <w:tc>
                <w:tcPr>
                  <w:tcW w:w="924" w:type="dxa"/>
                  <w:tcBorders>
                    <w:top w:val="nil"/>
                    <w:left w:val="nil"/>
                    <w:bottom w:val="single" w:color="auto" w:sz="4" w:space="0"/>
                    <w:right w:val="single" w:color="auto" w:sz="4" w:space="0"/>
                  </w:tcBorders>
                  <w:shd w:val="clear" w:color="auto" w:fill="auto"/>
                  <w:noWrap/>
                  <w:vAlign w:val="center"/>
                </w:tcPr>
                <w:p w14:paraId="23D3E351">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1317.6 </w:t>
                  </w:r>
                </w:p>
              </w:tc>
              <w:tc>
                <w:tcPr>
                  <w:tcW w:w="920" w:type="dxa"/>
                  <w:tcBorders>
                    <w:top w:val="nil"/>
                    <w:left w:val="nil"/>
                    <w:bottom w:val="single" w:color="auto" w:sz="4" w:space="0"/>
                    <w:right w:val="single" w:color="auto" w:sz="4" w:space="0"/>
                  </w:tcBorders>
                  <w:shd w:val="clear" w:color="auto" w:fill="auto"/>
                  <w:noWrap/>
                  <w:vAlign w:val="center"/>
                </w:tcPr>
                <w:p w14:paraId="3354104C">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1312.2 </w:t>
                  </w:r>
                </w:p>
              </w:tc>
              <w:tc>
                <w:tcPr>
                  <w:tcW w:w="906" w:type="dxa"/>
                  <w:tcBorders>
                    <w:top w:val="nil"/>
                    <w:left w:val="nil"/>
                    <w:bottom w:val="single" w:color="auto" w:sz="4" w:space="0"/>
                    <w:right w:val="single" w:color="auto" w:sz="4" w:space="0"/>
                  </w:tcBorders>
                  <w:shd w:val="clear" w:color="auto" w:fill="auto"/>
                  <w:vAlign w:val="center"/>
                </w:tcPr>
                <w:p w14:paraId="4FB1FE7C">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1306.8 </w:t>
                  </w:r>
                </w:p>
              </w:tc>
              <w:tc>
                <w:tcPr>
                  <w:tcW w:w="940" w:type="dxa"/>
                  <w:tcBorders>
                    <w:top w:val="nil"/>
                    <w:left w:val="nil"/>
                    <w:bottom w:val="single" w:color="auto" w:sz="4" w:space="0"/>
                    <w:right w:val="single" w:color="auto" w:sz="4" w:space="0"/>
                  </w:tcBorders>
                  <w:shd w:val="clear" w:color="auto" w:fill="auto"/>
                  <w:vAlign w:val="center"/>
                </w:tcPr>
                <w:p w14:paraId="50ECFBB1">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1301.3 </w:t>
                  </w:r>
                </w:p>
              </w:tc>
            </w:tr>
            <w:tr w14:paraId="78A7351D">
              <w:tblPrEx>
                <w:tblCellMar>
                  <w:top w:w="0" w:type="dxa"/>
                  <w:left w:w="108" w:type="dxa"/>
                  <w:bottom w:w="0" w:type="dxa"/>
                  <w:right w:w="108" w:type="dxa"/>
                </w:tblCellMar>
              </w:tblPrEx>
              <w:trPr>
                <w:trHeight w:val="574"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28ED5CCE">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利用小时</w:t>
                  </w:r>
                </w:p>
              </w:tc>
              <w:tc>
                <w:tcPr>
                  <w:tcW w:w="862" w:type="dxa"/>
                  <w:tcBorders>
                    <w:top w:val="nil"/>
                    <w:left w:val="nil"/>
                    <w:bottom w:val="single" w:color="auto" w:sz="4" w:space="0"/>
                    <w:right w:val="single" w:color="auto" w:sz="4" w:space="0"/>
                  </w:tcBorders>
                  <w:shd w:val="clear" w:color="auto" w:fill="auto"/>
                  <w:noWrap/>
                  <w:vAlign w:val="center"/>
                </w:tcPr>
                <w:p w14:paraId="50813AA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1304.6 </w:t>
                  </w:r>
                </w:p>
              </w:tc>
              <w:tc>
                <w:tcPr>
                  <w:tcW w:w="820" w:type="dxa"/>
                  <w:tcBorders>
                    <w:top w:val="nil"/>
                    <w:left w:val="nil"/>
                    <w:bottom w:val="single" w:color="auto" w:sz="4" w:space="0"/>
                    <w:right w:val="single" w:color="auto" w:sz="4" w:space="0"/>
                  </w:tcBorders>
                  <w:shd w:val="clear" w:color="auto" w:fill="auto"/>
                  <w:noWrap/>
                  <w:vAlign w:val="center"/>
                </w:tcPr>
                <w:p w14:paraId="205070F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1299.3 </w:t>
                  </w:r>
                </w:p>
              </w:tc>
              <w:tc>
                <w:tcPr>
                  <w:tcW w:w="824" w:type="dxa"/>
                  <w:tcBorders>
                    <w:top w:val="nil"/>
                    <w:left w:val="nil"/>
                    <w:bottom w:val="single" w:color="auto" w:sz="4" w:space="0"/>
                    <w:right w:val="single" w:color="auto" w:sz="4" w:space="0"/>
                  </w:tcBorders>
                  <w:shd w:val="clear" w:color="auto" w:fill="auto"/>
                  <w:noWrap/>
                  <w:vAlign w:val="center"/>
                </w:tcPr>
                <w:p w14:paraId="0F3EF11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1294.0 </w:t>
                  </w:r>
                </w:p>
              </w:tc>
              <w:tc>
                <w:tcPr>
                  <w:tcW w:w="838" w:type="dxa"/>
                  <w:tcBorders>
                    <w:top w:val="nil"/>
                    <w:left w:val="nil"/>
                    <w:bottom w:val="single" w:color="auto" w:sz="4" w:space="0"/>
                    <w:right w:val="single" w:color="auto" w:sz="4" w:space="0"/>
                  </w:tcBorders>
                  <w:shd w:val="clear" w:color="auto" w:fill="auto"/>
                  <w:noWrap/>
                  <w:vAlign w:val="center"/>
                </w:tcPr>
                <w:p w14:paraId="21FBDF9F">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1288.8 </w:t>
                  </w:r>
                </w:p>
              </w:tc>
              <w:tc>
                <w:tcPr>
                  <w:tcW w:w="822" w:type="dxa"/>
                  <w:tcBorders>
                    <w:top w:val="nil"/>
                    <w:left w:val="nil"/>
                    <w:bottom w:val="single" w:color="auto" w:sz="4" w:space="0"/>
                    <w:right w:val="single" w:color="auto" w:sz="4" w:space="0"/>
                  </w:tcBorders>
                  <w:shd w:val="clear" w:color="auto" w:fill="auto"/>
                  <w:noWrap/>
                  <w:vAlign w:val="center"/>
                </w:tcPr>
                <w:p w14:paraId="550A1787">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1283.5 </w:t>
                  </w:r>
                </w:p>
              </w:tc>
              <w:tc>
                <w:tcPr>
                  <w:tcW w:w="924" w:type="dxa"/>
                  <w:tcBorders>
                    <w:top w:val="nil"/>
                    <w:left w:val="nil"/>
                    <w:bottom w:val="single" w:color="auto" w:sz="4" w:space="0"/>
                    <w:right w:val="single" w:color="auto" w:sz="4" w:space="0"/>
                  </w:tcBorders>
                  <w:shd w:val="clear" w:color="auto" w:fill="auto"/>
                  <w:noWrap/>
                  <w:vAlign w:val="center"/>
                </w:tcPr>
                <w:p w14:paraId="0DDFA44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1278.2 </w:t>
                  </w:r>
                </w:p>
              </w:tc>
              <w:tc>
                <w:tcPr>
                  <w:tcW w:w="920" w:type="dxa"/>
                  <w:tcBorders>
                    <w:top w:val="nil"/>
                    <w:left w:val="nil"/>
                    <w:bottom w:val="single" w:color="auto" w:sz="4" w:space="0"/>
                    <w:right w:val="single" w:color="auto" w:sz="4" w:space="0"/>
                  </w:tcBorders>
                  <w:shd w:val="clear" w:color="auto" w:fill="auto"/>
                  <w:noWrap/>
                  <w:vAlign w:val="center"/>
                </w:tcPr>
                <w:p w14:paraId="526B6DAC">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1272.9 </w:t>
                  </w:r>
                </w:p>
              </w:tc>
              <w:tc>
                <w:tcPr>
                  <w:tcW w:w="906" w:type="dxa"/>
                  <w:tcBorders>
                    <w:top w:val="nil"/>
                    <w:left w:val="nil"/>
                    <w:bottom w:val="single" w:color="auto" w:sz="4" w:space="0"/>
                    <w:right w:val="single" w:color="auto" w:sz="4" w:space="0"/>
                  </w:tcBorders>
                  <w:shd w:val="clear" w:color="auto" w:fill="auto"/>
                  <w:vAlign w:val="center"/>
                </w:tcPr>
                <w:p w14:paraId="7A11325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1267.7 </w:t>
                  </w:r>
                </w:p>
              </w:tc>
              <w:tc>
                <w:tcPr>
                  <w:tcW w:w="940" w:type="dxa"/>
                  <w:tcBorders>
                    <w:top w:val="nil"/>
                    <w:left w:val="nil"/>
                    <w:bottom w:val="single" w:color="auto" w:sz="4" w:space="0"/>
                    <w:right w:val="single" w:color="auto" w:sz="4" w:space="0"/>
                  </w:tcBorders>
                  <w:shd w:val="clear" w:color="auto" w:fill="auto"/>
                  <w:vAlign w:val="center"/>
                </w:tcPr>
                <w:p w14:paraId="7198211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1262.4 </w:t>
                  </w:r>
                </w:p>
              </w:tc>
            </w:tr>
            <w:tr w14:paraId="40E649E3">
              <w:tblPrEx>
                <w:tblCellMar>
                  <w:top w:w="0" w:type="dxa"/>
                  <w:left w:w="108" w:type="dxa"/>
                  <w:bottom w:w="0" w:type="dxa"/>
                  <w:right w:w="108" w:type="dxa"/>
                </w:tblCellMar>
              </w:tblPrEx>
              <w:trPr>
                <w:trHeight w:val="58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74C60D08">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运营年份</w:t>
                  </w:r>
                </w:p>
              </w:tc>
              <w:tc>
                <w:tcPr>
                  <w:tcW w:w="862" w:type="dxa"/>
                  <w:tcBorders>
                    <w:top w:val="nil"/>
                    <w:left w:val="nil"/>
                    <w:bottom w:val="single" w:color="auto" w:sz="4" w:space="0"/>
                    <w:right w:val="single" w:color="auto" w:sz="4" w:space="0"/>
                  </w:tcBorders>
                  <w:shd w:val="clear" w:color="auto" w:fill="auto"/>
                  <w:noWrap/>
                  <w:vAlign w:val="center"/>
                </w:tcPr>
                <w:p w14:paraId="3BA93482">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10 </w:t>
                  </w:r>
                </w:p>
              </w:tc>
              <w:tc>
                <w:tcPr>
                  <w:tcW w:w="820" w:type="dxa"/>
                  <w:tcBorders>
                    <w:top w:val="nil"/>
                    <w:left w:val="nil"/>
                    <w:bottom w:val="single" w:color="auto" w:sz="4" w:space="0"/>
                    <w:right w:val="single" w:color="auto" w:sz="4" w:space="0"/>
                  </w:tcBorders>
                  <w:shd w:val="clear" w:color="auto" w:fill="auto"/>
                  <w:noWrap/>
                  <w:vAlign w:val="center"/>
                </w:tcPr>
                <w:p w14:paraId="200F4095">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11 </w:t>
                  </w:r>
                </w:p>
              </w:tc>
              <w:tc>
                <w:tcPr>
                  <w:tcW w:w="824" w:type="dxa"/>
                  <w:tcBorders>
                    <w:top w:val="nil"/>
                    <w:left w:val="nil"/>
                    <w:bottom w:val="single" w:color="auto" w:sz="4" w:space="0"/>
                    <w:right w:val="single" w:color="auto" w:sz="4" w:space="0"/>
                  </w:tcBorders>
                  <w:shd w:val="clear" w:color="auto" w:fill="auto"/>
                  <w:noWrap/>
                  <w:vAlign w:val="center"/>
                </w:tcPr>
                <w:p w14:paraId="3D322797">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12 </w:t>
                  </w:r>
                </w:p>
              </w:tc>
              <w:tc>
                <w:tcPr>
                  <w:tcW w:w="838" w:type="dxa"/>
                  <w:tcBorders>
                    <w:top w:val="nil"/>
                    <w:left w:val="nil"/>
                    <w:bottom w:val="single" w:color="auto" w:sz="4" w:space="0"/>
                    <w:right w:val="single" w:color="auto" w:sz="4" w:space="0"/>
                  </w:tcBorders>
                  <w:shd w:val="clear" w:color="auto" w:fill="auto"/>
                  <w:noWrap/>
                  <w:vAlign w:val="center"/>
                </w:tcPr>
                <w:p w14:paraId="27743A7E">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13 </w:t>
                  </w:r>
                </w:p>
              </w:tc>
              <w:tc>
                <w:tcPr>
                  <w:tcW w:w="822" w:type="dxa"/>
                  <w:tcBorders>
                    <w:top w:val="nil"/>
                    <w:left w:val="nil"/>
                    <w:bottom w:val="single" w:color="auto" w:sz="4" w:space="0"/>
                    <w:right w:val="single" w:color="auto" w:sz="4" w:space="0"/>
                  </w:tcBorders>
                  <w:shd w:val="clear" w:color="auto" w:fill="auto"/>
                  <w:noWrap/>
                  <w:vAlign w:val="center"/>
                </w:tcPr>
                <w:p w14:paraId="35D8B329">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14 </w:t>
                  </w:r>
                </w:p>
              </w:tc>
              <w:tc>
                <w:tcPr>
                  <w:tcW w:w="924" w:type="dxa"/>
                  <w:tcBorders>
                    <w:top w:val="nil"/>
                    <w:left w:val="nil"/>
                    <w:bottom w:val="single" w:color="auto" w:sz="4" w:space="0"/>
                    <w:right w:val="single" w:color="auto" w:sz="4" w:space="0"/>
                  </w:tcBorders>
                  <w:shd w:val="clear" w:color="auto" w:fill="auto"/>
                  <w:noWrap/>
                  <w:vAlign w:val="center"/>
                </w:tcPr>
                <w:p w14:paraId="06356B4B">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15 </w:t>
                  </w:r>
                </w:p>
              </w:tc>
              <w:tc>
                <w:tcPr>
                  <w:tcW w:w="920" w:type="dxa"/>
                  <w:tcBorders>
                    <w:top w:val="nil"/>
                    <w:left w:val="nil"/>
                    <w:bottom w:val="single" w:color="auto" w:sz="4" w:space="0"/>
                    <w:right w:val="single" w:color="auto" w:sz="4" w:space="0"/>
                  </w:tcBorders>
                  <w:shd w:val="clear" w:color="auto" w:fill="auto"/>
                  <w:noWrap/>
                  <w:vAlign w:val="center"/>
                </w:tcPr>
                <w:p w14:paraId="6154265A">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16 </w:t>
                  </w:r>
                </w:p>
              </w:tc>
              <w:tc>
                <w:tcPr>
                  <w:tcW w:w="906" w:type="dxa"/>
                  <w:tcBorders>
                    <w:top w:val="nil"/>
                    <w:left w:val="nil"/>
                    <w:bottom w:val="single" w:color="auto" w:sz="4" w:space="0"/>
                    <w:right w:val="single" w:color="auto" w:sz="4" w:space="0"/>
                  </w:tcBorders>
                  <w:shd w:val="clear" w:color="auto" w:fill="auto"/>
                  <w:vAlign w:val="center"/>
                </w:tcPr>
                <w:p w14:paraId="18B38E77">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17 </w:t>
                  </w:r>
                </w:p>
              </w:tc>
              <w:tc>
                <w:tcPr>
                  <w:tcW w:w="940" w:type="dxa"/>
                  <w:tcBorders>
                    <w:top w:val="nil"/>
                    <w:left w:val="nil"/>
                    <w:bottom w:val="single" w:color="auto" w:sz="4" w:space="0"/>
                    <w:right w:val="single" w:color="auto" w:sz="4" w:space="0"/>
                  </w:tcBorders>
                  <w:shd w:val="clear" w:color="auto" w:fill="auto"/>
                  <w:vAlign w:val="center"/>
                </w:tcPr>
                <w:p w14:paraId="3633934A">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18 </w:t>
                  </w:r>
                </w:p>
              </w:tc>
            </w:tr>
            <w:tr w14:paraId="50AD2F6A">
              <w:tblPrEx>
                <w:tblCellMar>
                  <w:top w:w="0" w:type="dxa"/>
                  <w:left w:w="108" w:type="dxa"/>
                  <w:bottom w:w="0" w:type="dxa"/>
                  <w:right w:w="108" w:type="dxa"/>
                </w:tblCellMar>
              </w:tblPrEx>
              <w:trPr>
                <w:trHeight w:val="58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66E2F465">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发电量</w:t>
                  </w:r>
                </w:p>
              </w:tc>
              <w:tc>
                <w:tcPr>
                  <w:tcW w:w="862" w:type="dxa"/>
                  <w:tcBorders>
                    <w:top w:val="nil"/>
                    <w:left w:val="nil"/>
                    <w:bottom w:val="single" w:color="auto" w:sz="4" w:space="0"/>
                    <w:right w:val="single" w:color="auto" w:sz="4" w:space="0"/>
                  </w:tcBorders>
                  <w:shd w:val="clear" w:color="auto" w:fill="auto"/>
                  <w:noWrap/>
                  <w:vAlign w:val="center"/>
                </w:tcPr>
                <w:p w14:paraId="5A4D5F73">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1295.9 </w:t>
                  </w:r>
                </w:p>
              </w:tc>
              <w:tc>
                <w:tcPr>
                  <w:tcW w:w="820" w:type="dxa"/>
                  <w:tcBorders>
                    <w:top w:val="nil"/>
                    <w:left w:val="nil"/>
                    <w:bottom w:val="single" w:color="auto" w:sz="4" w:space="0"/>
                    <w:right w:val="single" w:color="auto" w:sz="4" w:space="0"/>
                  </w:tcBorders>
                  <w:shd w:val="clear" w:color="auto" w:fill="auto"/>
                  <w:noWrap/>
                  <w:vAlign w:val="center"/>
                </w:tcPr>
                <w:p w14:paraId="5A632810">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1290.5 </w:t>
                  </w:r>
                </w:p>
              </w:tc>
              <w:tc>
                <w:tcPr>
                  <w:tcW w:w="824" w:type="dxa"/>
                  <w:tcBorders>
                    <w:top w:val="nil"/>
                    <w:left w:val="nil"/>
                    <w:bottom w:val="single" w:color="auto" w:sz="4" w:space="0"/>
                    <w:right w:val="single" w:color="auto" w:sz="4" w:space="0"/>
                  </w:tcBorders>
                  <w:shd w:val="clear" w:color="auto" w:fill="auto"/>
                  <w:noWrap/>
                  <w:vAlign w:val="center"/>
                </w:tcPr>
                <w:p w14:paraId="736C003A">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1285.0 </w:t>
                  </w:r>
                </w:p>
              </w:tc>
              <w:tc>
                <w:tcPr>
                  <w:tcW w:w="838" w:type="dxa"/>
                  <w:tcBorders>
                    <w:top w:val="nil"/>
                    <w:left w:val="nil"/>
                    <w:bottom w:val="single" w:color="auto" w:sz="4" w:space="0"/>
                    <w:right w:val="single" w:color="auto" w:sz="4" w:space="0"/>
                  </w:tcBorders>
                  <w:shd w:val="clear" w:color="auto" w:fill="auto"/>
                  <w:noWrap/>
                  <w:vAlign w:val="center"/>
                </w:tcPr>
                <w:p w14:paraId="0A1CEF56">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1279.6 </w:t>
                  </w:r>
                </w:p>
              </w:tc>
              <w:tc>
                <w:tcPr>
                  <w:tcW w:w="822" w:type="dxa"/>
                  <w:tcBorders>
                    <w:top w:val="nil"/>
                    <w:left w:val="nil"/>
                    <w:bottom w:val="single" w:color="auto" w:sz="4" w:space="0"/>
                    <w:right w:val="single" w:color="auto" w:sz="4" w:space="0"/>
                  </w:tcBorders>
                  <w:shd w:val="clear" w:color="auto" w:fill="auto"/>
                  <w:noWrap/>
                  <w:vAlign w:val="center"/>
                </w:tcPr>
                <w:p w14:paraId="4CE1E5CF">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1274.2 </w:t>
                  </w:r>
                </w:p>
              </w:tc>
              <w:tc>
                <w:tcPr>
                  <w:tcW w:w="924" w:type="dxa"/>
                  <w:tcBorders>
                    <w:top w:val="nil"/>
                    <w:left w:val="nil"/>
                    <w:bottom w:val="single" w:color="auto" w:sz="4" w:space="0"/>
                    <w:right w:val="single" w:color="auto" w:sz="4" w:space="0"/>
                  </w:tcBorders>
                  <w:shd w:val="clear" w:color="auto" w:fill="auto"/>
                  <w:noWrap/>
                  <w:vAlign w:val="center"/>
                </w:tcPr>
                <w:p w14:paraId="517A4F83">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1268.7 </w:t>
                  </w:r>
                </w:p>
              </w:tc>
              <w:tc>
                <w:tcPr>
                  <w:tcW w:w="920" w:type="dxa"/>
                  <w:tcBorders>
                    <w:top w:val="nil"/>
                    <w:left w:val="nil"/>
                    <w:bottom w:val="single" w:color="auto" w:sz="4" w:space="0"/>
                    <w:right w:val="single" w:color="auto" w:sz="4" w:space="0"/>
                  </w:tcBorders>
                  <w:shd w:val="clear" w:color="auto" w:fill="auto"/>
                  <w:noWrap/>
                  <w:vAlign w:val="center"/>
                </w:tcPr>
                <w:p w14:paraId="0F071EF5">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1263.3 </w:t>
                  </w:r>
                </w:p>
              </w:tc>
              <w:tc>
                <w:tcPr>
                  <w:tcW w:w="906" w:type="dxa"/>
                  <w:tcBorders>
                    <w:top w:val="nil"/>
                    <w:left w:val="nil"/>
                    <w:bottom w:val="single" w:color="auto" w:sz="4" w:space="0"/>
                    <w:right w:val="single" w:color="auto" w:sz="4" w:space="0"/>
                  </w:tcBorders>
                  <w:shd w:val="clear" w:color="auto" w:fill="auto"/>
                  <w:vAlign w:val="center"/>
                </w:tcPr>
                <w:p w14:paraId="575FB89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1257.9 </w:t>
                  </w:r>
                </w:p>
              </w:tc>
              <w:tc>
                <w:tcPr>
                  <w:tcW w:w="940" w:type="dxa"/>
                  <w:tcBorders>
                    <w:top w:val="nil"/>
                    <w:left w:val="nil"/>
                    <w:bottom w:val="single" w:color="auto" w:sz="4" w:space="0"/>
                    <w:right w:val="single" w:color="auto" w:sz="4" w:space="0"/>
                  </w:tcBorders>
                  <w:shd w:val="clear" w:color="auto" w:fill="auto"/>
                  <w:vAlign w:val="center"/>
                </w:tcPr>
                <w:p w14:paraId="4266545D">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1252.4 </w:t>
                  </w:r>
                </w:p>
              </w:tc>
            </w:tr>
            <w:tr w14:paraId="39DCF278">
              <w:tblPrEx>
                <w:tblCellMar>
                  <w:top w:w="0" w:type="dxa"/>
                  <w:left w:w="108" w:type="dxa"/>
                  <w:bottom w:w="0" w:type="dxa"/>
                  <w:right w:w="108" w:type="dxa"/>
                </w:tblCellMar>
              </w:tblPrEx>
              <w:trPr>
                <w:trHeight w:val="58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283A161D">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利用小时</w:t>
                  </w:r>
                </w:p>
              </w:tc>
              <w:tc>
                <w:tcPr>
                  <w:tcW w:w="862" w:type="dxa"/>
                  <w:tcBorders>
                    <w:top w:val="nil"/>
                    <w:left w:val="nil"/>
                    <w:bottom w:val="single" w:color="auto" w:sz="4" w:space="0"/>
                    <w:right w:val="single" w:color="auto" w:sz="4" w:space="0"/>
                  </w:tcBorders>
                  <w:shd w:val="clear" w:color="auto" w:fill="auto"/>
                  <w:noWrap/>
                  <w:vAlign w:val="center"/>
                </w:tcPr>
                <w:p w14:paraId="461607C3">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1257.1 </w:t>
                  </w:r>
                </w:p>
              </w:tc>
              <w:tc>
                <w:tcPr>
                  <w:tcW w:w="820" w:type="dxa"/>
                  <w:tcBorders>
                    <w:top w:val="nil"/>
                    <w:left w:val="nil"/>
                    <w:bottom w:val="single" w:color="auto" w:sz="4" w:space="0"/>
                    <w:right w:val="single" w:color="auto" w:sz="4" w:space="0"/>
                  </w:tcBorders>
                  <w:shd w:val="clear" w:color="auto" w:fill="auto"/>
                  <w:noWrap/>
                  <w:vAlign w:val="center"/>
                </w:tcPr>
                <w:p w14:paraId="7A95514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1251.9 </w:t>
                  </w:r>
                </w:p>
              </w:tc>
              <w:tc>
                <w:tcPr>
                  <w:tcW w:w="824" w:type="dxa"/>
                  <w:tcBorders>
                    <w:top w:val="nil"/>
                    <w:left w:val="nil"/>
                    <w:bottom w:val="single" w:color="auto" w:sz="4" w:space="0"/>
                    <w:right w:val="single" w:color="auto" w:sz="4" w:space="0"/>
                  </w:tcBorders>
                  <w:shd w:val="clear" w:color="auto" w:fill="auto"/>
                  <w:noWrap/>
                  <w:vAlign w:val="center"/>
                </w:tcPr>
                <w:p w14:paraId="6BEE9EB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1246.6 </w:t>
                  </w:r>
                </w:p>
              </w:tc>
              <w:tc>
                <w:tcPr>
                  <w:tcW w:w="838" w:type="dxa"/>
                  <w:tcBorders>
                    <w:top w:val="nil"/>
                    <w:left w:val="nil"/>
                    <w:bottom w:val="single" w:color="auto" w:sz="4" w:space="0"/>
                    <w:right w:val="single" w:color="auto" w:sz="4" w:space="0"/>
                  </w:tcBorders>
                  <w:shd w:val="clear" w:color="auto" w:fill="auto"/>
                  <w:noWrap/>
                  <w:vAlign w:val="center"/>
                </w:tcPr>
                <w:p w14:paraId="0635D0EC">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1241.3 </w:t>
                  </w:r>
                </w:p>
              </w:tc>
              <w:tc>
                <w:tcPr>
                  <w:tcW w:w="822" w:type="dxa"/>
                  <w:tcBorders>
                    <w:top w:val="nil"/>
                    <w:left w:val="nil"/>
                    <w:bottom w:val="single" w:color="auto" w:sz="4" w:space="0"/>
                    <w:right w:val="single" w:color="auto" w:sz="4" w:space="0"/>
                  </w:tcBorders>
                  <w:shd w:val="clear" w:color="auto" w:fill="auto"/>
                  <w:noWrap/>
                  <w:vAlign w:val="center"/>
                </w:tcPr>
                <w:p w14:paraId="0D766962">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1236.0 </w:t>
                  </w:r>
                </w:p>
              </w:tc>
              <w:tc>
                <w:tcPr>
                  <w:tcW w:w="924" w:type="dxa"/>
                  <w:tcBorders>
                    <w:top w:val="nil"/>
                    <w:left w:val="nil"/>
                    <w:bottom w:val="single" w:color="auto" w:sz="4" w:space="0"/>
                    <w:right w:val="single" w:color="auto" w:sz="4" w:space="0"/>
                  </w:tcBorders>
                  <w:shd w:val="clear" w:color="auto" w:fill="auto"/>
                  <w:noWrap/>
                  <w:vAlign w:val="center"/>
                </w:tcPr>
                <w:p w14:paraId="095F0A27">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1230.8 </w:t>
                  </w:r>
                </w:p>
              </w:tc>
              <w:tc>
                <w:tcPr>
                  <w:tcW w:w="920" w:type="dxa"/>
                  <w:tcBorders>
                    <w:top w:val="nil"/>
                    <w:left w:val="nil"/>
                    <w:bottom w:val="single" w:color="auto" w:sz="4" w:space="0"/>
                    <w:right w:val="single" w:color="auto" w:sz="4" w:space="0"/>
                  </w:tcBorders>
                  <w:shd w:val="clear" w:color="auto" w:fill="auto"/>
                  <w:noWrap/>
                  <w:vAlign w:val="center"/>
                </w:tcPr>
                <w:p w14:paraId="0F943677">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1225.5 </w:t>
                  </w:r>
                </w:p>
              </w:tc>
              <w:tc>
                <w:tcPr>
                  <w:tcW w:w="906" w:type="dxa"/>
                  <w:tcBorders>
                    <w:top w:val="nil"/>
                    <w:left w:val="nil"/>
                    <w:bottom w:val="single" w:color="auto" w:sz="4" w:space="0"/>
                    <w:right w:val="single" w:color="auto" w:sz="4" w:space="0"/>
                  </w:tcBorders>
                  <w:shd w:val="clear" w:color="auto" w:fill="auto"/>
                  <w:vAlign w:val="center"/>
                </w:tcPr>
                <w:p w14:paraId="3F4380BA">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1220.2 </w:t>
                  </w:r>
                </w:p>
              </w:tc>
              <w:tc>
                <w:tcPr>
                  <w:tcW w:w="940" w:type="dxa"/>
                  <w:tcBorders>
                    <w:top w:val="nil"/>
                    <w:left w:val="nil"/>
                    <w:bottom w:val="single" w:color="auto" w:sz="4" w:space="0"/>
                    <w:right w:val="single" w:color="auto" w:sz="4" w:space="0"/>
                  </w:tcBorders>
                  <w:shd w:val="clear" w:color="auto" w:fill="auto"/>
                  <w:vAlign w:val="center"/>
                </w:tcPr>
                <w:p w14:paraId="0C00EE10">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1215.0 </w:t>
                  </w:r>
                </w:p>
              </w:tc>
            </w:tr>
            <w:tr w14:paraId="66E61182">
              <w:tblPrEx>
                <w:tblCellMar>
                  <w:top w:w="0" w:type="dxa"/>
                  <w:left w:w="108" w:type="dxa"/>
                  <w:bottom w:w="0" w:type="dxa"/>
                  <w:right w:w="108" w:type="dxa"/>
                </w:tblCellMar>
              </w:tblPrEx>
              <w:trPr>
                <w:trHeight w:val="58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6A116F20">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运营年份</w:t>
                  </w:r>
                </w:p>
              </w:tc>
              <w:tc>
                <w:tcPr>
                  <w:tcW w:w="862" w:type="dxa"/>
                  <w:tcBorders>
                    <w:top w:val="nil"/>
                    <w:left w:val="nil"/>
                    <w:bottom w:val="single" w:color="auto" w:sz="4" w:space="0"/>
                    <w:right w:val="single" w:color="auto" w:sz="4" w:space="0"/>
                  </w:tcBorders>
                  <w:shd w:val="clear" w:color="auto" w:fill="auto"/>
                  <w:noWrap/>
                  <w:vAlign w:val="center"/>
                </w:tcPr>
                <w:p w14:paraId="11CBFF23">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19 </w:t>
                  </w:r>
                </w:p>
              </w:tc>
              <w:tc>
                <w:tcPr>
                  <w:tcW w:w="820" w:type="dxa"/>
                  <w:tcBorders>
                    <w:top w:val="nil"/>
                    <w:left w:val="nil"/>
                    <w:bottom w:val="single" w:color="auto" w:sz="4" w:space="0"/>
                    <w:right w:val="single" w:color="auto" w:sz="4" w:space="0"/>
                  </w:tcBorders>
                  <w:shd w:val="clear" w:color="auto" w:fill="auto"/>
                  <w:noWrap/>
                  <w:vAlign w:val="center"/>
                </w:tcPr>
                <w:p w14:paraId="00D81FC0">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20 </w:t>
                  </w:r>
                </w:p>
              </w:tc>
              <w:tc>
                <w:tcPr>
                  <w:tcW w:w="824" w:type="dxa"/>
                  <w:tcBorders>
                    <w:top w:val="nil"/>
                    <w:left w:val="nil"/>
                    <w:bottom w:val="single" w:color="auto" w:sz="4" w:space="0"/>
                    <w:right w:val="single" w:color="auto" w:sz="4" w:space="0"/>
                  </w:tcBorders>
                  <w:shd w:val="clear" w:color="auto" w:fill="auto"/>
                  <w:noWrap/>
                  <w:vAlign w:val="center"/>
                </w:tcPr>
                <w:p w14:paraId="7928A827">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21 </w:t>
                  </w:r>
                </w:p>
              </w:tc>
              <w:tc>
                <w:tcPr>
                  <w:tcW w:w="838" w:type="dxa"/>
                  <w:tcBorders>
                    <w:top w:val="nil"/>
                    <w:left w:val="nil"/>
                    <w:bottom w:val="single" w:color="auto" w:sz="4" w:space="0"/>
                    <w:right w:val="single" w:color="auto" w:sz="4" w:space="0"/>
                  </w:tcBorders>
                  <w:shd w:val="clear" w:color="auto" w:fill="auto"/>
                  <w:noWrap/>
                  <w:vAlign w:val="center"/>
                </w:tcPr>
                <w:p w14:paraId="41AC71BB">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22 </w:t>
                  </w:r>
                </w:p>
              </w:tc>
              <w:tc>
                <w:tcPr>
                  <w:tcW w:w="822" w:type="dxa"/>
                  <w:tcBorders>
                    <w:top w:val="nil"/>
                    <w:left w:val="nil"/>
                    <w:bottom w:val="single" w:color="auto" w:sz="4" w:space="0"/>
                    <w:right w:val="single" w:color="auto" w:sz="4" w:space="0"/>
                  </w:tcBorders>
                  <w:shd w:val="clear" w:color="auto" w:fill="auto"/>
                  <w:noWrap/>
                  <w:vAlign w:val="center"/>
                </w:tcPr>
                <w:p w14:paraId="3F3B0AB5">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23 </w:t>
                  </w:r>
                </w:p>
              </w:tc>
              <w:tc>
                <w:tcPr>
                  <w:tcW w:w="924" w:type="dxa"/>
                  <w:tcBorders>
                    <w:top w:val="nil"/>
                    <w:left w:val="nil"/>
                    <w:bottom w:val="single" w:color="auto" w:sz="4" w:space="0"/>
                    <w:right w:val="single" w:color="auto" w:sz="4" w:space="0"/>
                  </w:tcBorders>
                  <w:shd w:val="clear" w:color="auto" w:fill="auto"/>
                  <w:noWrap/>
                  <w:vAlign w:val="center"/>
                </w:tcPr>
                <w:p w14:paraId="7C83F728">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24 </w:t>
                  </w:r>
                </w:p>
              </w:tc>
              <w:tc>
                <w:tcPr>
                  <w:tcW w:w="920" w:type="dxa"/>
                  <w:tcBorders>
                    <w:top w:val="nil"/>
                    <w:left w:val="nil"/>
                    <w:bottom w:val="single" w:color="auto" w:sz="4" w:space="0"/>
                    <w:right w:val="single" w:color="auto" w:sz="4" w:space="0"/>
                  </w:tcBorders>
                  <w:shd w:val="clear" w:color="auto" w:fill="auto"/>
                  <w:noWrap/>
                  <w:vAlign w:val="center"/>
                </w:tcPr>
                <w:p w14:paraId="4111C34A">
                  <w:pPr>
                    <w:widowControl/>
                    <w:spacing w:line="240" w:lineRule="auto"/>
                    <w:ind w:firstLine="0" w:firstLineChars="0"/>
                    <w:jc w:val="center"/>
                    <w:textAlignment w:val="center"/>
                    <w:rPr>
                      <w:rFonts w:cs="Times New Roman"/>
                      <w:color w:val="000000"/>
                      <w:kern w:val="0"/>
                      <w:sz w:val="22"/>
                      <w:szCs w:val="22"/>
                    </w:rPr>
                  </w:pPr>
                  <w:r>
                    <w:rPr>
                      <w:rFonts w:cs="Times New Roman"/>
                      <w:b/>
                      <w:bCs/>
                      <w:color w:val="000000"/>
                      <w:kern w:val="0"/>
                      <w:sz w:val="22"/>
                      <w:szCs w:val="22"/>
                      <w:lang w:bidi="ar"/>
                    </w:rPr>
                    <w:t xml:space="preserve">25 </w:t>
                  </w:r>
                </w:p>
              </w:tc>
              <w:tc>
                <w:tcPr>
                  <w:tcW w:w="906" w:type="dxa"/>
                  <w:tcBorders>
                    <w:top w:val="nil"/>
                    <w:left w:val="nil"/>
                    <w:bottom w:val="single" w:color="auto" w:sz="4" w:space="0"/>
                    <w:right w:val="single" w:color="auto" w:sz="4" w:space="0"/>
                  </w:tcBorders>
                  <w:shd w:val="clear" w:color="auto" w:fill="auto"/>
                  <w:vAlign w:val="center"/>
                </w:tcPr>
                <w:p w14:paraId="02AADC2F">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25年合计</w:t>
                  </w:r>
                </w:p>
              </w:tc>
              <w:tc>
                <w:tcPr>
                  <w:tcW w:w="940" w:type="dxa"/>
                  <w:tcBorders>
                    <w:top w:val="nil"/>
                    <w:left w:val="nil"/>
                    <w:bottom w:val="single" w:color="auto" w:sz="4" w:space="0"/>
                    <w:right w:val="single" w:color="auto" w:sz="4" w:space="0"/>
                  </w:tcBorders>
                  <w:shd w:val="clear" w:color="auto" w:fill="auto"/>
                  <w:vAlign w:val="center"/>
                </w:tcPr>
                <w:p w14:paraId="0AB3899E">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年平均</w:t>
                  </w:r>
                </w:p>
              </w:tc>
            </w:tr>
            <w:tr w14:paraId="2D658244">
              <w:tblPrEx>
                <w:tblCellMar>
                  <w:top w:w="0" w:type="dxa"/>
                  <w:left w:w="108" w:type="dxa"/>
                  <w:bottom w:w="0" w:type="dxa"/>
                  <w:right w:w="108" w:type="dxa"/>
                </w:tblCellMar>
              </w:tblPrEx>
              <w:trPr>
                <w:trHeight w:val="58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1321650F">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发电量</w:t>
                  </w:r>
                </w:p>
              </w:tc>
              <w:tc>
                <w:tcPr>
                  <w:tcW w:w="862" w:type="dxa"/>
                  <w:tcBorders>
                    <w:top w:val="nil"/>
                    <w:left w:val="nil"/>
                    <w:bottom w:val="single" w:color="auto" w:sz="4" w:space="0"/>
                    <w:right w:val="single" w:color="auto" w:sz="4" w:space="0"/>
                  </w:tcBorders>
                  <w:shd w:val="clear" w:color="auto" w:fill="auto"/>
                  <w:noWrap/>
                  <w:vAlign w:val="center"/>
                </w:tcPr>
                <w:p w14:paraId="40CF685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1247.0 </w:t>
                  </w:r>
                </w:p>
              </w:tc>
              <w:tc>
                <w:tcPr>
                  <w:tcW w:w="820" w:type="dxa"/>
                  <w:tcBorders>
                    <w:top w:val="nil"/>
                    <w:left w:val="nil"/>
                    <w:bottom w:val="single" w:color="auto" w:sz="4" w:space="0"/>
                    <w:right w:val="single" w:color="auto" w:sz="4" w:space="0"/>
                  </w:tcBorders>
                  <w:shd w:val="clear" w:color="auto" w:fill="auto"/>
                  <w:noWrap/>
                  <w:vAlign w:val="center"/>
                </w:tcPr>
                <w:p w14:paraId="25435B40">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1241.6 </w:t>
                  </w:r>
                </w:p>
              </w:tc>
              <w:tc>
                <w:tcPr>
                  <w:tcW w:w="824" w:type="dxa"/>
                  <w:tcBorders>
                    <w:top w:val="nil"/>
                    <w:left w:val="nil"/>
                    <w:bottom w:val="single" w:color="auto" w:sz="4" w:space="0"/>
                    <w:right w:val="single" w:color="auto" w:sz="4" w:space="0"/>
                  </w:tcBorders>
                  <w:shd w:val="clear" w:color="auto" w:fill="auto"/>
                  <w:noWrap/>
                  <w:vAlign w:val="center"/>
                </w:tcPr>
                <w:p w14:paraId="4AFC3416">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1236.1 </w:t>
                  </w:r>
                </w:p>
              </w:tc>
              <w:tc>
                <w:tcPr>
                  <w:tcW w:w="838" w:type="dxa"/>
                  <w:tcBorders>
                    <w:top w:val="nil"/>
                    <w:left w:val="nil"/>
                    <w:bottom w:val="single" w:color="auto" w:sz="4" w:space="0"/>
                    <w:right w:val="single" w:color="auto" w:sz="4" w:space="0"/>
                  </w:tcBorders>
                  <w:shd w:val="clear" w:color="auto" w:fill="auto"/>
                  <w:noWrap/>
                  <w:vAlign w:val="center"/>
                </w:tcPr>
                <w:p w14:paraId="500B77AF">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1230.7 </w:t>
                  </w:r>
                </w:p>
              </w:tc>
              <w:tc>
                <w:tcPr>
                  <w:tcW w:w="822" w:type="dxa"/>
                  <w:tcBorders>
                    <w:top w:val="nil"/>
                    <w:left w:val="nil"/>
                    <w:bottom w:val="single" w:color="auto" w:sz="4" w:space="0"/>
                    <w:right w:val="single" w:color="auto" w:sz="4" w:space="0"/>
                  </w:tcBorders>
                  <w:shd w:val="clear" w:color="auto" w:fill="auto"/>
                  <w:noWrap/>
                  <w:vAlign w:val="center"/>
                </w:tcPr>
                <w:p w14:paraId="2D7DF425">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1225.3 </w:t>
                  </w:r>
                </w:p>
              </w:tc>
              <w:tc>
                <w:tcPr>
                  <w:tcW w:w="924" w:type="dxa"/>
                  <w:tcBorders>
                    <w:top w:val="nil"/>
                    <w:left w:val="nil"/>
                    <w:bottom w:val="single" w:color="auto" w:sz="4" w:space="0"/>
                    <w:right w:val="single" w:color="auto" w:sz="4" w:space="0"/>
                  </w:tcBorders>
                  <w:shd w:val="clear" w:color="auto" w:fill="auto"/>
                  <w:noWrap/>
                  <w:vAlign w:val="center"/>
                </w:tcPr>
                <w:p w14:paraId="3871EF3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1219.8 </w:t>
                  </w:r>
                </w:p>
              </w:tc>
              <w:tc>
                <w:tcPr>
                  <w:tcW w:w="920" w:type="dxa"/>
                  <w:tcBorders>
                    <w:top w:val="nil"/>
                    <w:left w:val="nil"/>
                    <w:bottom w:val="single" w:color="auto" w:sz="4" w:space="0"/>
                    <w:right w:val="single" w:color="auto" w:sz="4" w:space="0"/>
                  </w:tcBorders>
                  <w:shd w:val="clear" w:color="auto" w:fill="auto"/>
                  <w:noWrap/>
                  <w:vAlign w:val="center"/>
                </w:tcPr>
                <w:p w14:paraId="6A88B2C7">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1214.4 </w:t>
                  </w:r>
                </w:p>
              </w:tc>
              <w:tc>
                <w:tcPr>
                  <w:tcW w:w="906" w:type="dxa"/>
                  <w:tcBorders>
                    <w:top w:val="nil"/>
                    <w:left w:val="nil"/>
                    <w:bottom w:val="single" w:color="auto" w:sz="4" w:space="0"/>
                    <w:right w:val="single" w:color="auto" w:sz="4" w:space="0"/>
                  </w:tcBorders>
                  <w:shd w:val="clear" w:color="auto" w:fill="auto"/>
                  <w:vAlign w:val="center"/>
                </w:tcPr>
                <w:p w14:paraId="1EBB5935">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 xml:space="preserve">31990.32 </w:t>
                  </w:r>
                </w:p>
              </w:tc>
              <w:tc>
                <w:tcPr>
                  <w:tcW w:w="940" w:type="dxa"/>
                  <w:tcBorders>
                    <w:top w:val="nil"/>
                    <w:left w:val="nil"/>
                    <w:bottom w:val="single" w:color="auto" w:sz="4" w:space="0"/>
                    <w:right w:val="single" w:color="auto" w:sz="4" w:space="0"/>
                  </w:tcBorders>
                  <w:shd w:val="clear" w:color="auto" w:fill="auto"/>
                  <w:vAlign w:val="center"/>
                </w:tcPr>
                <w:p w14:paraId="2A0FDC6B">
                  <w:pPr>
                    <w:widowControl/>
                    <w:spacing w:line="240" w:lineRule="auto"/>
                    <w:ind w:firstLine="0" w:firstLineChars="0"/>
                    <w:jc w:val="center"/>
                    <w:textAlignment w:val="center"/>
                    <w:rPr>
                      <w:rFonts w:cs="Times New Roman"/>
                      <w:b/>
                      <w:bCs/>
                      <w:color w:val="000000"/>
                      <w:kern w:val="0"/>
                      <w:sz w:val="22"/>
                      <w:szCs w:val="22"/>
                    </w:rPr>
                  </w:pPr>
                  <w:r>
                    <w:rPr>
                      <w:rFonts w:cs="Times New Roman"/>
                      <w:b/>
                      <w:bCs/>
                      <w:color w:val="000000"/>
                      <w:kern w:val="0"/>
                      <w:sz w:val="22"/>
                      <w:szCs w:val="22"/>
                      <w:lang w:bidi="ar"/>
                    </w:rPr>
                    <w:t xml:space="preserve">1279.61 </w:t>
                  </w:r>
                </w:p>
              </w:tc>
            </w:tr>
            <w:tr w14:paraId="2EBCEC4B">
              <w:tblPrEx>
                <w:tblCellMar>
                  <w:top w:w="0" w:type="dxa"/>
                  <w:left w:w="108" w:type="dxa"/>
                  <w:bottom w:w="0" w:type="dxa"/>
                  <w:right w:w="108" w:type="dxa"/>
                </w:tblCellMar>
              </w:tblPrEx>
              <w:trPr>
                <w:trHeight w:val="58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14:paraId="4FA1AC03">
                  <w:pPr>
                    <w:widowControl/>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利用小时</w:t>
                  </w:r>
                </w:p>
              </w:tc>
              <w:tc>
                <w:tcPr>
                  <w:tcW w:w="862" w:type="dxa"/>
                  <w:tcBorders>
                    <w:top w:val="nil"/>
                    <w:left w:val="nil"/>
                    <w:bottom w:val="single" w:color="auto" w:sz="4" w:space="0"/>
                    <w:right w:val="single" w:color="auto" w:sz="4" w:space="0"/>
                  </w:tcBorders>
                  <w:shd w:val="clear" w:color="auto" w:fill="auto"/>
                  <w:noWrap/>
                  <w:vAlign w:val="center"/>
                </w:tcPr>
                <w:p w14:paraId="3B8D8E8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1209.7 </w:t>
                  </w:r>
                </w:p>
              </w:tc>
              <w:tc>
                <w:tcPr>
                  <w:tcW w:w="820" w:type="dxa"/>
                  <w:tcBorders>
                    <w:top w:val="nil"/>
                    <w:left w:val="nil"/>
                    <w:bottom w:val="single" w:color="auto" w:sz="4" w:space="0"/>
                    <w:right w:val="single" w:color="auto" w:sz="4" w:space="0"/>
                  </w:tcBorders>
                  <w:shd w:val="clear" w:color="auto" w:fill="auto"/>
                  <w:noWrap/>
                  <w:vAlign w:val="center"/>
                </w:tcPr>
                <w:p w14:paraId="6D01A44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1204.4 </w:t>
                  </w:r>
                </w:p>
              </w:tc>
              <w:tc>
                <w:tcPr>
                  <w:tcW w:w="824" w:type="dxa"/>
                  <w:tcBorders>
                    <w:top w:val="nil"/>
                    <w:left w:val="nil"/>
                    <w:bottom w:val="single" w:color="auto" w:sz="4" w:space="0"/>
                    <w:right w:val="single" w:color="auto" w:sz="4" w:space="0"/>
                  </w:tcBorders>
                  <w:shd w:val="clear" w:color="auto" w:fill="auto"/>
                  <w:noWrap/>
                  <w:vAlign w:val="center"/>
                </w:tcPr>
                <w:p w14:paraId="6429758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1199.2 </w:t>
                  </w:r>
                </w:p>
              </w:tc>
              <w:tc>
                <w:tcPr>
                  <w:tcW w:w="838" w:type="dxa"/>
                  <w:tcBorders>
                    <w:top w:val="nil"/>
                    <w:left w:val="nil"/>
                    <w:bottom w:val="single" w:color="auto" w:sz="4" w:space="0"/>
                    <w:right w:val="single" w:color="auto" w:sz="4" w:space="0"/>
                  </w:tcBorders>
                  <w:shd w:val="clear" w:color="auto" w:fill="auto"/>
                  <w:noWrap/>
                  <w:vAlign w:val="center"/>
                </w:tcPr>
                <w:p w14:paraId="31BBA0A4">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1193.9 </w:t>
                  </w:r>
                </w:p>
              </w:tc>
              <w:tc>
                <w:tcPr>
                  <w:tcW w:w="822" w:type="dxa"/>
                  <w:tcBorders>
                    <w:top w:val="nil"/>
                    <w:left w:val="nil"/>
                    <w:bottom w:val="single" w:color="auto" w:sz="4" w:space="0"/>
                    <w:right w:val="single" w:color="auto" w:sz="4" w:space="0"/>
                  </w:tcBorders>
                  <w:shd w:val="clear" w:color="auto" w:fill="auto"/>
                  <w:noWrap/>
                  <w:vAlign w:val="center"/>
                </w:tcPr>
                <w:p w14:paraId="37ADA9A9">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1188.6 </w:t>
                  </w:r>
                </w:p>
              </w:tc>
              <w:tc>
                <w:tcPr>
                  <w:tcW w:w="924" w:type="dxa"/>
                  <w:tcBorders>
                    <w:top w:val="nil"/>
                    <w:left w:val="nil"/>
                    <w:bottom w:val="single" w:color="auto" w:sz="4" w:space="0"/>
                    <w:right w:val="single" w:color="auto" w:sz="4" w:space="0"/>
                  </w:tcBorders>
                  <w:shd w:val="clear" w:color="auto" w:fill="auto"/>
                  <w:noWrap/>
                  <w:vAlign w:val="center"/>
                </w:tcPr>
                <w:p w14:paraId="0703E46B">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1183.3 </w:t>
                  </w:r>
                </w:p>
              </w:tc>
              <w:tc>
                <w:tcPr>
                  <w:tcW w:w="920" w:type="dxa"/>
                  <w:tcBorders>
                    <w:top w:val="nil"/>
                    <w:left w:val="nil"/>
                    <w:bottom w:val="single" w:color="auto" w:sz="4" w:space="0"/>
                    <w:right w:val="single" w:color="auto" w:sz="4" w:space="0"/>
                  </w:tcBorders>
                  <w:shd w:val="clear" w:color="auto" w:fill="auto"/>
                  <w:noWrap/>
                  <w:vAlign w:val="center"/>
                </w:tcPr>
                <w:p w14:paraId="049BDB2D">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1178.1 </w:t>
                  </w:r>
                </w:p>
              </w:tc>
              <w:tc>
                <w:tcPr>
                  <w:tcW w:w="906" w:type="dxa"/>
                  <w:tcBorders>
                    <w:top w:val="nil"/>
                    <w:left w:val="nil"/>
                    <w:bottom w:val="single" w:color="auto" w:sz="4" w:space="0"/>
                    <w:right w:val="single" w:color="auto" w:sz="4" w:space="0"/>
                  </w:tcBorders>
                  <w:shd w:val="clear" w:color="auto" w:fill="auto"/>
                  <w:vAlign w:val="center"/>
                </w:tcPr>
                <w:p w14:paraId="2FB2E3C1">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31033.01 </w:t>
                  </w:r>
                </w:p>
              </w:tc>
              <w:tc>
                <w:tcPr>
                  <w:tcW w:w="940" w:type="dxa"/>
                  <w:tcBorders>
                    <w:top w:val="nil"/>
                    <w:left w:val="nil"/>
                    <w:bottom w:val="single" w:color="auto" w:sz="4" w:space="0"/>
                    <w:right w:val="single" w:color="auto" w:sz="4" w:space="0"/>
                  </w:tcBorders>
                  <w:shd w:val="clear" w:color="auto" w:fill="auto"/>
                  <w:vAlign w:val="center"/>
                </w:tcPr>
                <w:p w14:paraId="05C3F9C8">
                  <w:pPr>
                    <w:widowControl/>
                    <w:spacing w:line="240" w:lineRule="auto"/>
                    <w:ind w:firstLine="0" w:firstLineChars="0"/>
                    <w:jc w:val="center"/>
                    <w:textAlignment w:val="center"/>
                    <w:rPr>
                      <w:rFonts w:cs="Times New Roman"/>
                      <w:color w:val="000000"/>
                      <w:kern w:val="0"/>
                      <w:sz w:val="22"/>
                      <w:szCs w:val="22"/>
                    </w:rPr>
                  </w:pPr>
                  <w:r>
                    <w:rPr>
                      <w:rFonts w:cs="Times New Roman"/>
                      <w:color w:val="000000"/>
                      <w:kern w:val="0"/>
                      <w:sz w:val="22"/>
                      <w:szCs w:val="22"/>
                      <w:lang w:bidi="ar"/>
                    </w:rPr>
                    <w:t xml:space="preserve">1241.32 </w:t>
                  </w:r>
                </w:p>
              </w:tc>
            </w:tr>
          </w:tbl>
          <w:p w14:paraId="3FEED991">
            <w:pPr>
              <w:pStyle w:val="117"/>
              <w:keepNext w:val="0"/>
              <w:keepLines w:val="0"/>
              <w:pageBreakBefore w:val="0"/>
              <w:widowControl w:val="0"/>
              <w:kinsoku/>
              <w:wordWrap/>
              <w:overflowPunct/>
              <w:topLinePunct w:val="0"/>
              <w:autoSpaceDE/>
              <w:autoSpaceDN/>
              <w:bidi w:val="0"/>
              <w:adjustRightInd/>
              <w:snapToGrid/>
              <w:spacing w:before="0" w:after="0"/>
              <w:ind w:left="0" w:leftChars="0" w:firstLine="1928" w:firstLineChars="800"/>
              <w:jc w:val="both"/>
              <w:textAlignment w:val="auto"/>
              <w:rPr>
                <w:b/>
                <w:bCs/>
              </w:rPr>
            </w:pPr>
            <w:r>
              <w:rPr>
                <w:rFonts w:hint="eastAsia"/>
                <w:b/>
                <w:bCs/>
              </w:rPr>
              <w:t>表</w:t>
            </w:r>
            <w:r>
              <w:rPr>
                <w:rFonts w:hint="eastAsia"/>
                <w:b/>
                <w:bCs/>
                <w:lang w:val="en-US" w:eastAsia="zh-CN"/>
              </w:rPr>
              <w:t>2</w:t>
            </w:r>
            <w:r>
              <w:rPr>
                <w:rFonts w:hint="eastAsia"/>
                <w:b/>
                <w:bCs/>
              </w:rPr>
              <w:t>-</w:t>
            </w:r>
            <w:r>
              <w:rPr>
                <w:rFonts w:hint="eastAsia"/>
                <w:b/>
                <w:bCs/>
                <w:lang w:val="en-US" w:eastAsia="zh-CN"/>
              </w:rPr>
              <w:t xml:space="preserve">8 </w:t>
            </w:r>
            <w:r>
              <w:rPr>
                <w:b/>
                <w:bCs/>
              </w:rPr>
              <w:t>电站</w:t>
            </w:r>
            <w:r>
              <w:rPr>
                <w:rFonts w:hint="eastAsia"/>
                <w:b/>
                <w:bCs/>
              </w:rPr>
              <w:t>综合</w:t>
            </w:r>
            <w:r>
              <w:rPr>
                <w:b/>
                <w:bCs/>
              </w:rPr>
              <w:t>2</w:t>
            </w:r>
            <w:r>
              <w:rPr>
                <w:rFonts w:hint="eastAsia"/>
                <w:b/>
                <w:bCs/>
              </w:rPr>
              <w:t>5</w:t>
            </w:r>
            <w:r>
              <w:rPr>
                <w:b/>
                <w:bCs/>
              </w:rPr>
              <w:t>年</w:t>
            </w:r>
            <w:r>
              <w:rPr>
                <w:rFonts w:hint="eastAsia"/>
                <w:b/>
                <w:bCs/>
              </w:rPr>
              <w:t>逐年发电量预测（万kWh）</w:t>
            </w:r>
          </w:p>
          <w:tbl>
            <w:tblPr>
              <w:tblStyle w:val="29"/>
              <w:tblW w:w="8691" w:type="dxa"/>
              <w:jc w:val="center"/>
              <w:tblLayout w:type="fixed"/>
              <w:tblCellMar>
                <w:top w:w="0" w:type="dxa"/>
                <w:left w:w="108" w:type="dxa"/>
                <w:bottom w:w="0" w:type="dxa"/>
                <w:right w:w="108" w:type="dxa"/>
              </w:tblCellMar>
            </w:tblPr>
            <w:tblGrid>
              <w:gridCol w:w="830"/>
              <w:gridCol w:w="860"/>
              <w:gridCol w:w="810"/>
              <w:gridCol w:w="830"/>
              <w:gridCol w:w="830"/>
              <w:gridCol w:w="820"/>
              <w:gridCol w:w="950"/>
              <w:gridCol w:w="910"/>
              <w:gridCol w:w="910"/>
              <w:gridCol w:w="941"/>
            </w:tblGrid>
            <w:tr w14:paraId="6254764F">
              <w:tblPrEx>
                <w:tblCellMar>
                  <w:top w:w="0" w:type="dxa"/>
                  <w:left w:w="108" w:type="dxa"/>
                  <w:bottom w:w="0" w:type="dxa"/>
                  <w:right w:w="108" w:type="dxa"/>
                </w:tblCellMar>
              </w:tblPrEx>
              <w:trPr>
                <w:trHeight w:val="588" w:hRule="atLeast"/>
                <w:jc w:val="center"/>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14:paraId="5E50B349">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运营年份</w:t>
                  </w:r>
                </w:p>
              </w:tc>
              <w:tc>
                <w:tcPr>
                  <w:tcW w:w="860" w:type="dxa"/>
                  <w:tcBorders>
                    <w:top w:val="single" w:color="auto" w:sz="4" w:space="0"/>
                    <w:left w:val="nil"/>
                    <w:bottom w:val="single" w:color="auto" w:sz="4" w:space="0"/>
                    <w:right w:val="single" w:color="auto" w:sz="4" w:space="0"/>
                  </w:tcBorders>
                  <w:shd w:val="clear" w:color="auto" w:fill="auto"/>
                  <w:noWrap/>
                  <w:vAlign w:val="center"/>
                </w:tcPr>
                <w:p w14:paraId="3002C7CF">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1</w:t>
                  </w:r>
                </w:p>
              </w:tc>
              <w:tc>
                <w:tcPr>
                  <w:tcW w:w="810" w:type="dxa"/>
                  <w:tcBorders>
                    <w:top w:val="single" w:color="auto" w:sz="4" w:space="0"/>
                    <w:left w:val="nil"/>
                    <w:bottom w:val="single" w:color="auto" w:sz="4" w:space="0"/>
                    <w:right w:val="single" w:color="auto" w:sz="4" w:space="0"/>
                  </w:tcBorders>
                  <w:shd w:val="clear" w:color="auto" w:fill="auto"/>
                  <w:noWrap/>
                  <w:vAlign w:val="center"/>
                </w:tcPr>
                <w:p w14:paraId="732256CC">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2</w:t>
                  </w:r>
                </w:p>
              </w:tc>
              <w:tc>
                <w:tcPr>
                  <w:tcW w:w="830" w:type="dxa"/>
                  <w:tcBorders>
                    <w:top w:val="single" w:color="auto" w:sz="4" w:space="0"/>
                    <w:left w:val="nil"/>
                    <w:bottom w:val="single" w:color="auto" w:sz="4" w:space="0"/>
                    <w:right w:val="single" w:color="auto" w:sz="4" w:space="0"/>
                  </w:tcBorders>
                  <w:shd w:val="clear" w:color="auto" w:fill="auto"/>
                  <w:noWrap/>
                  <w:vAlign w:val="center"/>
                </w:tcPr>
                <w:p w14:paraId="74526C0E">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3</w:t>
                  </w:r>
                </w:p>
              </w:tc>
              <w:tc>
                <w:tcPr>
                  <w:tcW w:w="830" w:type="dxa"/>
                  <w:tcBorders>
                    <w:top w:val="single" w:color="auto" w:sz="4" w:space="0"/>
                    <w:left w:val="nil"/>
                    <w:bottom w:val="single" w:color="auto" w:sz="4" w:space="0"/>
                    <w:right w:val="single" w:color="auto" w:sz="4" w:space="0"/>
                  </w:tcBorders>
                  <w:shd w:val="clear" w:color="auto" w:fill="auto"/>
                  <w:noWrap/>
                  <w:vAlign w:val="center"/>
                </w:tcPr>
                <w:p w14:paraId="5AB57D7F">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4</w:t>
                  </w:r>
                </w:p>
              </w:tc>
              <w:tc>
                <w:tcPr>
                  <w:tcW w:w="820" w:type="dxa"/>
                  <w:tcBorders>
                    <w:top w:val="single" w:color="auto" w:sz="4" w:space="0"/>
                    <w:left w:val="nil"/>
                    <w:bottom w:val="single" w:color="auto" w:sz="4" w:space="0"/>
                    <w:right w:val="single" w:color="auto" w:sz="4" w:space="0"/>
                  </w:tcBorders>
                  <w:shd w:val="clear" w:color="auto" w:fill="auto"/>
                  <w:noWrap/>
                  <w:vAlign w:val="center"/>
                </w:tcPr>
                <w:p w14:paraId="04425BB4">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5</w:t>
                  </w:r>
                </w:p>
              </w:tc>
              <w:tc>
                <w:tcPr>
                  <w:tcW w:w="950" w:type="dxa"/>
                  <w:tcBorders>
                    <w:top w:val="single" w:color="auto" w:sz="4" w:space="0"/>
                    <w:left w:val="nil"/>
                    <w:bottom w:val="single" w:color="auto" w:sz="4" w:space="0"/>
                    <w:right w:val="single" w:color="auto" w:sz="4" w:space="0"/>
                  </w:tcBorders>
                  <w:shd w:val="clear" w:color="auto" w:fill="auto"/>
                  <w:noWrap/>
                  <w:vAlign w:val="center"/>
                </w:tcPr>
                <w:p w14:paraId="75B6E7DD">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6</w:t>
                  </w:r>
                </w:p>
              </w:tc>
              <w:tc>
                <w:tcPr>
                  <w:tcW w:w="910" w:type="dxa"/>
                  <w:tcBorders>
                    <w:top w:val="single" w:color="auto" w:sz="4" w:space="0"/>
                    <w:left w:val="nil"/>
                    <w:bottom w:val="single" w:color="auto" w:sz="4" w:space="0"/>
                    <w:right w:val="single" w:color="auto" w:sz="4" w:space="0"/>
                  </w:tcBorders>
                  <w:shd w:val="clear" w:color="auto" w:fill="auto"/>
                  <w:noWrap/>
                  <w:vAlign w:val="center"/>
                </w:tcPr>
                <w:p w14:paraId="6F309A57">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7</w:t>
                  </w:r>
                </w:p>
              </w:tc>
              <w:tc>
                <w:tcPr>
                  <w:tcW w:w="910" w:type="dxa"/>
                  <w:tcBorders>
                    <w:top w:val="single" w:color="auto" w:sz="4" w:space="0"/>
                    <w:left w:val="nil"/>
                    <w:bottom w:val="single" w:color="auto" w:sz="4" w:space="0"/>
                    <w:right w:val="single" w:color="auto" w:sz="4" w:space="0"/>
                  </w:tcBorders>
                  <w:shd w:val="clear" w:color="auto" w:fill="auto"/>
                  <w:vAlign w:val="center"/>
                </w:tcPr>
                <w:p w14:paraId="4C01513B">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8</w:t>
                  </w:r>
                </w:p>
              </w:tc>
              <w:tc>
                <w:tcPr>
                  <w:tcW w:w="941" w:type="dxa"/>
                  <w:tcBorders>
                    <w:top w:val="single" w:color="auto" w:sz="4" w:space="0"/>
                    <w:left w:val="nil"/>
                    <w:bottom w:val="single" w:color="auto" w:sz="4" w:space="0"/>
                    <w:right w:val="single" w:color="auto" w:sz="4" w:space="0"/>
                  </w:tcBorders>
                  <w:shd w:val="clear" w:color="auto" w:fill="auto"/>
                  <w:vAlign w:val="center"/>
                </w:tcPr>
                <w:p w14:paraId="50E01801">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9</w:t>
                  </w:r>
                </w:p>
              </w:tc>
            </w:tr>
            <w:tr w14:paraId="2B1BC26F">
              <w:tblPrEx>
                <w:tblCellMar>
                  <w:top w:w="0" w:type="dxa"/>
                  <w:left w:w="108" w:type="dxa"/>
                  <w:bottom w:w="0" w:type="dxa"/>
                  <w:right w:w="108" w:type="dxa"/>
                </w:tblCellMar>
              </w:tblPrEx>
              <w:trPr>
                <w:trHeight w:val="588"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428C40CE">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发电量</w:t>
                  </w:r>
                </w:p>
              </w:tc>
              <w:tc>
                <w:tcPr>
                  <w:tcW w:w="860" w:type="dxa"/>
                  <w:tcBorders>
                    <w:top w:val="nil"/>
                    <w:left w:val="nil"/>
                    <w:bottom w:val="single" w:color="auto" w:sz="4" w:space="0"/>
                    <w:right w:val="single" w:color="auto" w:sz="4" w:space="0"/>
                  </w:tcBorders>
                  <w:shd w:val="clear" w:color="auto" w:fill="auto"/>
                  <w:noWrap/>
                  <w:vAlign w:val="center"/>
                </w:tcPr>
                <w:p w14:paraId="531FC6FE">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36331.5 </w:t>
                  </w:r>
                </w:p>
              </w:tc>
              <w:tc>
                <w:tcPr>
                  <w:tcW w:w="810" w:type="dxa"/>
                  <w:tcBorders>
                    <w:top w:val="nil"/>
                    <w:left w:val="nil"/>
                    <w:bottom w:val="single" w:color="auto" w:sz="4" w:space="0"/>
                    <w:right w:val="single" w:color="auto" w:sz="4" w:space="0"/>
                  </w:tcBorders>
                  <w:shd w:val="clear" w:color="auto" w:fill="auto"/>
                  <w:noWrap/>
                  <w:vAlign w:val="center"/>
                </w:tcPr>
                <w:p w14:paraId="3DA7F323">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36184.7 </w:t>
                  </w:r>
                </w:p>
              </w:tc>
              <w:tc>
                <w:tcPr>
                  <w:tcW w:w="830" w:type="dxa"/>
                  <w:tcBorders>
                    <w:top w:val="nil"/>
                    <w:left w:val="nil"/>
                    <w:bottom w:val="single" w:color="auto" w:sz="4" w:space="0"/>
                    <w:right w:val="single" w:color="auto" w:sz="4" w:space="0"/>
                  </w:tcBorders>
                  <w:shd w:val="clear" w:color="auto" w:fill="auto"/>
                  <w:noWrap/>
                  <w:vAlign w:val="center"/>
                </w:tcPr>
                <w:p w14:paraId="079EFC01">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36037.9 </w:t>
                  </w:r>
                </w:p>
              </w:tc>
              <w:tc>
                <w:tcPr>
                  <w:tcW w:w="830" w:type="dxa"/>
                  <w:tcBorders>
                    <w:top w:val="nil"/>
                    <w:left w:val="nil"/>
                    <w:bottom w:val="single" w:color="auto" w:sz="4" w:space="0"/>
                    <w:right w:val="single" w:color="auto" w:sz="4" w:space="0"/>
                  </w:tcBorders>
                  <w:shd w:val="clear" w:color="auto" w:fill="auto"/>
                  <w:noWrap/>
                  <w:vAlign w:val="center"/>
                </w:tcPr>
                <w:p w14:paraId="2011AC5B">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35891.1 </w:t>
                  </w:r>
                </w:p>
              </w:tc>
              <w:tc>
                <w:tcPr>
                  <w:tcW w:w="820" w:type="dxa"/>
                  <w:tcBorders>
                    <w:top w:val="nil"/>
                    <w:left w:val="nil"/>
                    <w:bottom w:val="single" w:color="auto" w:sz="4" w:space="0"/>
                    <w:right w:val="single" w:color="auto" w:sz="4" w:space="0"/>
                  </w:tcBorders>
                  <w:shd w:val="clear" w:color="auto" w:fill="auto"/>
                  <w:noWrap/>
                  <w:vAlign w:val="center"/>
                </w:tcPr>
                <w:p w14:paraId="64800E6F">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35744.3 </w:t>
                  </w:r>
                </w:p>
              </w:tc>
              <w:tc>
                <w:tcPr>
                  <w:tcW w:w="950" w:type="dxa"/>
                  <w:tcBorders>
                    <w:top w:val="nil"/>
                    <w:left w:val="nil"/>
                    <w:bottom w:val="single" w:color="auto" w:sz="4" w:space="0"/>
                    <w:right w:val="single" w:color="auto" w:sz="4" w:space="0"/>
                  </w:tcBorders>
                  <w:shd w:val="clear" w:color="auto" w:fill="auto"/>
                  <w:noWrap/>
                  <w:vAlign w:val="center"/>
                </w:tcPr>
                <w:p w14:paraId="33836F4F">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35597.5 </w:t>
                  </w:r>
                </w:p>
              </w:tc>
              <w:tc>
                <w:tcPr>
                  <w:tcW w:w="910" w:type="dxa"/>
                  <w:tcBorders>
                    <w:top w:val="nil"/>
                    <w:left w:val="nil"/>
                    <w:bottom w:val="single" w:color="auto" w:sz="4" w:space="0"/>
                    <w:right w:val="single" w:color="auto" w:sz="4" w:space="0"/>
                  </w:tcBorders>
                  <w:shd w:val="clear" w:color="auto" w:fill="auto"/>
                  <w:noWrap/>
                  <w:vAlign w:val="center"/>
                </w:tcPr>
                <w:p w14:paraId="111317E0">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35450.7 </w:t>
                  </w:r>
                </w:p>
              </w:tc>
              <w:tc>
                <w:tcPr>
                  <w:tcW w:w="910" w:type="dxa"/>
                  <w:tcBorders>
                    <w:top w:val="nil"/>
                    <w:left w:val="nil"/>
                    <w:bottom w:val="single" w:color="auto" w:sz="4" w:space="0"/>
                    <w:right w:val="single" w:color="auto" w:sz="4" w:space="0"/>
                  </w:tcBorders>
                  <w:shd w:val="clear" w:color="auto" w:fill="auto"/>
                  <w:vAlign w:val="center"/>
                </w:tcPr>
                <w:p w14:paraId="79F987CB">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35303.9 </w:t>
                  </w:r>
                </w:p>
              </w:tc>
              <w:tc>
                <w:tcPr>
                  <w:tcW w:w="941" w:type="dxa"/>
                  <w:tcBorders>
                    <w:top w:val="nil"/>
                    <w:left w:val="nil"/>
                    <w:bottom w:val="single" w:color="auto" w:sz="4" w:space="0"/>
                    <w:right w:val="single" w:color="auto" w:sz="4" w:space="0"/>
                  </w:tcBorders>
                  <w:shd w:val="clear" w:color="auto" w:fill="auto"/>
                  <w:vAlign w:val="center"/>
                </w:tcPr>
                <w:p w14:paraId="0D4476D4">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35157.1 </w:t>
                  </w:r>
                </w:p>
              </w:tc>
            </w:tr>
            <w:tr w14:paraId="757145FD">
              <w:tblPrEx>
                <w:tblCellMar>
                  <w:top w:w="0" w:type="dxa"/>
                  <w:left w:w="108" w:type="dxa"/>
                  <w:bottom w:w="0" w:type="dxa"/>
                  <w:right w:w="108" w:type="dxa"/>
                </w:tblCellMar>
              </w:tblPrEx>
              <w:trPr>
                <w:trHeight w:val="574"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570FE1F0">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利用小时</w:t>
                  </w:r>
                </w:p>
              </w:tc>
              <w:tc>
                <w:tcPr>
                  <w:tcW w:w="860" w:type="dxa"/>
                  <w:tcBorders>
                    <w:top w:val="nil"/>
                    <w:left w:val="nil"/>
                    <w:bottom w:val="single" w:color="auto" w:sz="4" w:space="0"/>
                    <w:right w:val="single" w:color="auto" w:sz="4" w:space="0"/>
                  </w:tcBorders>
                  <w:shd w:val="clear" w:color="auto" w:fill="auto"/>
                  <w:noWrap/>
                  <w:vAlign w:val="center"/>
                </w:tcPr>
                <w:p w14:paraId="19A40B67">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1269.0 </w:t>
                  </w:r>
                </w:p>
              </w:tc>
              <w:tc>
                <w:tcPr>
                  <w:tcW w:w="810" w:type="dxa"/>
                  <w:tcBorders>
                    <w:top w:val="nil"/>
                    <w:left w:val="nil"/>
                    <w:bottom w:val="single" w:color="auto" w:sz="4" w:space="0"/>
                    <w:right w:val="single" w:color="auto" w:sz="4" w:space="0"/>
                  </w:tcBorders>
                  <w:shd w:val="clear" w:color="auto" w:fill="auto"/>
                  <w:noWrap/>
                  <w:vAlign w:val="center"/>
                </w:tcPr>
                <w:p w14:paraId="047457E7">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1263.8 </w:t>
                  </w:r>
                </w:p>
              </w:tc>
              <w:tc>
                <w:tcPr>
                  <w:tcW w:w="830" w:type="dxa"/>
                  <w:tcBorders>
                    <w:top w:val="nil"/>
                    <w:left w:val="nil"/>
                    <w:bottom w:val="single" w:color="auto" w:sz="4" w:space="0"/>
                    <w:right w:val="single" w:color="auto" w:sz="4" w:space="0"/>
                  </w:tcBorders>
                  <w:shd w:val="clear" w:color="auto" w:fill="auto"/>
                  <w:noWrap/>
                  <w:vAlign w:val="center"/>
                </w:tcPr>
                <w:p w14:paraId="49A155BE">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1258.7 </w:t>
                  </w:r>
                </w:p>
              </w:tc>
              <w:tc>
                <w:tcPr>
                  <w:tcW w:w="830" w:type="dxa"/>
                  <w:tcBorders>
                    <w:top w:val="nil"/>
                    <w:left w:val="nil"/>
                    <w:bottom w:val="single" w:color="auto" w:sz="4" w:space="0"/>
                    <w:right w:val="single" w:color="auto" w:sz="4" w:space="0"/>
                  </w:tcBorders>
                  <w:shd w:val="clear" w:color="auto" w:fill="auto"/>
                  <w:noWrap/>
                  <w:vAlign w:val="center"/>
                </w:tcPr>
                <w:p w14:paraId="4C389D13">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1253.6 </w:t>
                  </w:r>
                </w:p>
              </w:tc>
              <w:tc>
                <w:tcPr>
                  <w:tcW w:w="820" w:type="dxa"/>
                  <w:tcBorders>
                    <w:top w:val="nil"/>
                    <w:left w:val="nil"/>
                    <w:bottom w:val="single" w:color="auto" w:sz="4" w:space="0"/>
                    <w:right w:val="single" w:color="auto" w:sz="4" w:space="0"/>
                  </w:tcBorders>
                  <w:shd w:val="clear" w:color="auto" w:fill="auto"/>
                  <w:noWrap/>
                  <w:vAlign w:val="center"/>
                </w:tcPr>
                <w:p w14:paraId="049D371C">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1248.4 </w:t>
                  </w:r>
                </w:p>
              </w:tc>
              <w:tc>
                <w:tcPr>
                  <w:tcW w:w="950" w:type="dxa"/>
                  <w:tcBorders>
                    <w:top w:val="nil"/>
                    <w:left w:val="nil"/>
                    <w:bottom w:val="single" w:color="auto" w:sz="4" w:space="0"/>
                    <w:right w:val="single" w:color="auto" w:sz="4" w:space="0"/>
                  </w:tcBorders>
                  <w:shd w:val="clear" w:color="auto" w:fill="auto"/>
                  <w:noWrap/>
                  <w:vAlign w:val="center"/>
                </w:tcPr>
                <w:p w14:paraId="34BF43E4">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1243.3 </w:t>
                  </w:r>
                </w:p>
              </w:tc>
              <w:tc>
                <w:tcPr>
                  <w:tcW w:w="910" w:type="dxa"/>
                  <w:tcBorders>
                    <w:top w:val="nil"/>
                    <w:left w:val="nil"/>
                    <w:bottom w:val="single" w:color="auto" w:sz="4" w:space="0"/>
                    <w:right w:val="single" w:color="auto" w:sz="4" w:space="0"/>
                  </w:tcBorders>
                  <w:shd w:val="clear" w:color="auto" w:fill="auto"/>
                  <w:noWrap/>
                  <w:vAlign w:val="center"/>
                </w:tcPr>
                <w:p w14:paraId="3569FE0D">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1238.2 </w:t>
                  </w:r>
                </w:p>
              </w:tc>
              <w:tc>
                <w:tcPr>
                  <w:tcW w:w="910" w:type="dxa"/>
                  <w:tcBorders>
                    <w:top w:val="nil"/>
                    <w:left w:val="nil"/>
                    <w:bottom w:val="single" w:color="auto" w:sz="4" w:space="0"/>
                    <w:right w:val="single" w:color="auto" w:sz="4" w:space="0"/>
                  </w:tcBorders>
                  <w:shd w:val="clear" w:color="auto" w:fill="auto"/>
                  <w:vAlign w:val="center"/>
                </w:tcPr>
                <w:p w14:paraId="4782EEA3">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1233.1 </w:t>
                  </w:r>
                </w:p>
              </w:tc>
              <w:tc>
                <w:tcPr>
                  <w:tcW w:w="941" w:type="dxa"/>
                  <w:tcBorders>
                    <w:top w:val="nil"/>
                    <w:left w:val="nil"/>
                    <w:bottom w:val="single" w:color="auto" w:sz="4" w:space="0"/>
                    <w:right w:val="single" w:color="auto" w:sz="4" w:space="0"/>
                  </w:tcBorders>
                  <w:shd w:val="clear" w:color="auto" w:fill="auto"/>
                  <w:vAlign w:val="center"/>
                </w:tcPr>
                <w:p w14:paraId="49829AA5">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1227.9 </w:t>
                  </w:r>
                </w:p>
              </w:tc>
            </w:tr>
            <w:tr w14:paraId="1BF6F7E5">
              <w:tblPrEx>
                <w:tblCellMar>
                  <w:top w:w="0" w:type="dxa"/>
                  <w:left w:w="108" w:type="dxa"/>
                  <w:bottom w:w="0" w:type="dxa"/>
                  <w:right w:w="108" w:type="dxa"/>
                </w:tblCellMar>
              </w:tblPrEx>
              <w:trPr>
                <w:trHeight w:val="588"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23AB0B25">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运营年份</w:t>
                  </w:r>
                </w:p>
              </w:tc>
              <w:tc>
                <w:tcPr>
                  <w:tcW w:w="860" w:type="dxa"/>
                  <w:tcBorders>
                    <w:top w:val="nil"/>
                    <w:left w:val="nil"/>
                    <w:bottom w:val="single" w:color="auto" w:sz="4" w:space="0"/>
                    <w:right w:val="single" w:color="auto" w:sz="4" w:space="0"/>
                  </w:tcBorders>
                  <w:shd w:val="clear" w:color="auto" w:fill="auto"/>
                  <w:noWrap/>
                  <w:vAlign w:val="center"/>
                </w:tcPr>
                <w:p w14:paraId="47787D76">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10 </w:t>
                  </w:r>
                </w:p>
              </w:tc>
              <w:tc>
                <w:tcPr>
                  <w:tcW w:w="810" w:type="dxa"/>
                  <w:tcBorders>
                    <w:top w:val="nil"/>
                    <w:left w:val="nil"/>
                    <w:bottom w:val="single" w:color="auto" w:sz="4" w:space="0"/>
                    <w:right w:val="single" w:color="auto" w:sz="4" w:space="0"/>
                  </w:tcBorders>
                  <w:shd w:val="clear" w:color="auto" w:fill="auto"/>
                  <w:noWrap/>
                  <w:vAlign w:val="center"/>
                </w:tcPr>
                <w:p w14:paraId="3667ACFA">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11 </w:t>
                  </w:r>
                </w:p>
              </w:tc>
              <w:tc>
                <w:tcPr>
                  <w:tcW w:w="830" w:type="dxa"/>
                  <w:tcBorders>
                    <w:top w:val="nil"/>
                    <w:left w:val="nil"/>
                    <w:bottom w:val="single" w:color="auto" w:sz="4" w:space="0"/>
                    <w:right w:val="single" w:color="auto" w:sz="4" w:space="0"/>
                  </w:tcBorders>
                  <w:shd w:val="clear" w:color="auto" w:fill="auto"/>
                  <w:noWrap/>
                  <w:vAlign w:val="center"/>
                </w:tcPr>
                <w:p w14:paraId="75C1A0BE">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12 </w:t>
                  </w:r>
                </w:p>
              </w:tc>
              <w:tc>
                <w:tcPr>
                  <w:tcW w:w="830" w:type="dxa"/>
                  <w:tcBorders>
                    <w:top w:val="nil"/>
                    <w:left w:val="nil"/>
                    <w:bottom w:val="single" w:color="auto" w:sz="4" w:space="0"/>
                    <w:right w:val="single" w:color="auto" w:sz="4" w:space="0"/>
                  </w:tcBorders>
                  <w:shd w:val="clear" w:color="auto" w:fill="auto"/>
                  <w:noWrap/>
                  <w:vAlign w:val="center"/>
                </w:tcPr>
                <w:p w14:paraId="0FFC5132">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13 </w:t>
                  </w:r>
                </w:p>
              </w:tc>
              <w:tc>
                <w:tcPr>
                  <w:tcW w:w="820" w:type="dxa"/>
                  <w:tcBorders>
                    <w:top w:val="nil"/>
                    <w:left w:val="nil"/>
                    <w:bottom w:val="single" w:color="auto" w:sz="4" w:space="0"/>
                    <w:right w:val="single" w:color="auto" w:sz="4" w:space="0"/>
                  </w:tcBorders>
                  <w:shd w:val="clear" w:color="auto" w:fill="auto"/>
                  <w:noWrap/>
                  <w:vAlign w:val="center"/>
                </w:tcPr>
                <w:p w14:paraId="2A44E77F">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14 </w:t>
                  </w:r>
                </w:p>
              </w:tc>
              <w:tc>
                <w:tcPr>
                  <w:tcW w:w="950" w:type="dxa"/>
                  <w:tcBorders>
                    <w:top w:val="nil"/>
                    <w:left w:val="nil"/>
                    <w:bottom w:val="single" w:color="auto" w:sz="4" w:space="0"/>
                    <w:right w:val="single" w:color="auto" w:sz="4" w:space="0"/>
                  </w:tcBorders>
                  <w:shd w:val="clear" w:color="auto" w:fill="auto"/>
                  <w:noWrap/>
                  <w:vAlign w:val="center"/>
                </w:tcPr>
                <w:p w14:paraId="48545000">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15 </w:t>
                  </w:r>
                </w:p>
              </w:tc>
              <w:tc>
                <w:tcPr>
                  <w:tcW w:w="910" w:type="dxa"/>
                  <w:tcBorders>
                    <w:top w:val="nil"/>
                    <w:left w:val="nil"/>
                    <w:bottom w:val="single" w:color="auto" w:sz="4" w:space="0"/>
                    <w:right w:val="single" w:color="auto" w:sz="4" w:space="0"/>
                  </w:tcBorders>
                  <w:shd w:val="clear" w:color="auto" w:fill="auto"/>
                  <w:noWrap/>
                  <w:vAlign w:val="center"/>
                </w:tcPr>
                <w:p w14:paraId="2253F0D5">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16 </w:t>
                  </w:r>
                </w:p>
              </w:tc>
              <w:tc>
                <w:tcPr>
                  <w:tcW w:w="910" w:type="dxa"/>
                  <w:tcBorders>
                    <w:top w:val="nil"/>
                    <w:left w:val="nil"/>
                    <w:bottom w:val="single" w:color="auto" w:sz="4" w:space="0"/>
                    <w:right w:val="single" w:color="auto" w:sz="4" w:space="0"/>
                  </w:tcBorders>
                  <w:shd w:val="clear" w:color="auto" w:fill="auto"/>
                  <w:vAlign w:val="center"/>
                </w:tcPr>
                <w:p w14:paraId="491766E2">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17 </w:t>
                  </w:r>
                </w:p>
              </w:tc>
              <w:tc>
                <w:tcPr>
                  <w:tcW w:w="941" w:type="dxa"/>
                  <w:tcBorders>
                    <w:top w:val="nil"/>
                    <w:left w:val="nil"/>
                    <w:bottom w:val="single" w:color="auto" w:sz="4" w:space="0"/>
                    <w:right w:val="single" w:color="auto" w:sz="4" w:space="0"/>
                  </w:tcBorders>
                  <w:shd w:val="clear" w:color="auto" w:fill="auto"/>
                  <w:vAlign w:val="center"/>
                </w:tcPr>
                <w:p w14:paraId="012516A1">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18 </w:t>
                  </w:r>
                </w:p>
              </w:tc>
            </w:tr>
            <w:tr w14:paraId="116042D7">
              <w:tblPrEx>
                <w:tblCellMar>
                  <w:top w:w="0" w:type="dxa"/>
                  <w:left w:w="108" w:type="dxa"/>
                  <w:bottom w:w="0" w:type="dxa"/>
                  <w:right w:w="108" w:type="dxa"/>
                </w:tblCellMar>
              </w:tblPrEx>
              <w:trPr>
                <w:trHeight w:val="588"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7207429A">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发电量</w:t>
                  </w:r>
                </w:p>
              </w:tc>
              <w:tc>
                <w:tcPr>
                  <w:tcW w:w="860" w:type="dxa"/>
                  <w:tcBorders>
                    <w:top w:val="nil"/>
                    <w:left w:val="nil"/>
                    <w:bottom w:val="single" w:color="auto" w:sz="4" w:space="0"/>
                    <w:right w:val="single" w:color="auto" w:sz="4" w:space="0"/>
                  </w:tcBorders>
                  <w:shd w:val="clear" w:color="auto" w:fill="auto"/>
                  <w:noWrap/>
                  <w:vAlign w:val="center"/>
                </w:tcPr>
                <w:p w14:paraId="6F3764A5">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35010.3 </w:t>
                  </w:r>
                </w:p>
              </w:tc>
              <w:tc>
                <w:tcPr>
                  <w:tcW w:w="810" w:type="dxa"/>
                  <w:tcBorders>
                    <w:top w:val="nil"/>
                    <w:left w:val="nil"/>
                    <w:bottom w:val="single" w:color="auto" w:sz="4" w:space="0"/>
                    <w:right w:val="single" w:color="auto" w:sz="4" w:space="0"/>
                  </w:tcBorders>
                  <w:shd w:val="clear" w:color="auto" w:fill="auto"/>
                  <w:noWrap/>
                  <w:vAlign w:val="center"/>
                </w:tcPr>
                <w:p w14:paraId="5D0CAE08">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34863.5 </w:t>
                  </w:r>
                </w:p>
              </w:tc>
              <w:tc>
                <w:tcPr>
                  <w:tcW w:w="830" w:type="dxa"/>
                  <w:tcBorders>
                    <w:top w:val="nil"/>
                    <w:left w:val="nil"/>
                    <w:bottom w:val="single" w:color="auto" w:sz="4" w:space="0"/>
                    <w:right w:val="single" w:color="auto" w:sz="4" w:space="0"/>
                  </w:tcBorders>
                  <w:shd w:val="clear" w:color="auto" w:fill="auto"/>
                  <w:noWrap/>
                  <w:vAlign w:val="center"/>
                </w:tcPr>
                <w:p w14:paraId="31CA9F49">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34716.7 </w:t>
                  </w:r>
                </w:p>
              </w:tc>
              <w:tc>
                <w:tcPr>
                  <w:tcW w:w="830" w:type="dxa"/>
                  <w:tcBorders>
                    <w:top w:val="nil"/>
                    <w:left w:val="nil"/>
                    <w:bottom w:val="single" w:color="auto" w:sz="4" w:space="0"/>
                    <w:right w:val="single" w:color="auto" w:sz="4" w:space="0"/>
                  </w:tcBorders>
                  <w:shd w:val="clear" w:color="auto" w:fill="auto"/>
                  <w:noWrap/>
                  <w:vAlign w:val="center"/>
                </w:tcPr>
                <w:p w14:paraId="11AA7C97">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34569.9 </w:t>
                  </w:r>
                </w:p>
              </w:tc>
              <w:tc>
                <w:tcPr>
                  <w:tcW w:w="820" w:type="dxa"/>
                  <w:tcBorders>
                    <w:top w:val="nil"/>
                    <w:left w:val="nil"/>
                    <w:bottom w:val="single" w:color="auto" w:sz="4" w:space="0"/>
                    <w:right w:val="single" w:color="auto" w:sz="4" w:space="0"/>
                  </w:tcBorders>
                  <w:shd w:val="clear" w:color="auto" w:fill="auto"/>
                  <w:noWrap/>
                  <w:vAlign w:val="center"/>
                </w:tcPr>
                <w:p w14:paraId="0732F63C">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34423.2 </w:t>
                  </w:r>
                </w:p>
              </w:tc>
              <w:tc>
                <w:tcPr>
                  <w:tcW w:w="950" w:type="dxa"/>
                  <w:tcBorders>
                    <w:top w:val="nil"/>
                    <w:left w:val="nil"/>
                    <w:bottom w:val="single" w:color="auto" w:sz="4" w:space="0"/>
                    <w:right w:val="single" w:color="auto" w:sz="4" w:space="0"/>
                  </w:tcBorders>
                  <w:shd w:val="clear" w:color="auto" w:fill="auto"/>
                  <w:noWrap/>
                  <w:vAlign w:val="center"/>
                </w:tcPr>
                <w:p w14:paraId="77961A6E">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34276.4 </w:t>
                  </w:r>
                </w:p>
              </w:tc>
              <w:tc>
                <w:tcPr>
                  <w:tcW w:w="910" w:type="dxa"/>
                  <w:tcBorders>
                    <w:top w:val="nil"/>
                    <w:left w:val="nil"/>
                    <w:bottom w:val="single" w:color="auto" w:sz="4" w:space="0"/>
                    <w:right w:val="single" w:color="auto" w:sz="4" w:space="0"/>
                  </w:tcBorders>
                  <w:shd w:val="clear" w:color="auto" w:fill="auto"/>
                  <w:noWrap/>
                  <w:vAlign w:val="center"/>
                </w:tcPr>
                <w:p w14:paraId="1DF76E2A">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34129.6 </w:t>
                  </w:r>
                </w:p>
              </w:tc>
              <w:tc>
                <w:tcPr>
                  <w:tcW w:w="910" w:type="dxa"/>
                  <w:tcBorders>
                    <w:top w:val="nil"/>
                    <w:left w:val="nil"/>
                    <w:bottom w:val="single" w:color="auto" w:sz="4" w:space="0"/>
                    <w:right w:val="single" w:color="auto" w:sz="4" w:space="0"/>
                  </w:tcBorders>
                  <w:shd w:val="clear" w:color="auto" w:fill="auto"/>
                  <w:vAlign w:val="center"/>
                </w:tcPr>
                <w:p w14:paraId="2636EADC">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33982.8 </w:t>
                  </w:r>
                </w:p>
              </w:tc>
              <w:tc>
                <w:tcPr>
                  <w:tcW w:w="941" w:type="dxa"/>
                  <w:tcBorders>
                    <w:top w:val="nil"/>
                    <w:left w:val="nil"/>
                    <w:bottom w:val="single" w:color="auto" w:sz="4" w:space="0"/>
                    <w:right w:val="single" w:color="auto" w:sz="4" w:space="0"/>
                  </w:tcBorders>
                  <w:shd w:val="clear" w:color="auto" w:fill="auto"/>
                  <w:vAlign w:val="center"/>
                </w:tcPr>
                <w:p w14:paraId="1D01A75F">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33836.0 </w:t>
                  </w:r>
                </w:p>
              </w:tc>
            </w:tr>
            <w:tr w14:paraId="5F5B6DA1">
              <w:tblPrEx>
                <w:tblCellMar>
                  <w:top w:w="0" w:type="dxa"/>
                  <w:left w:w="108" w:type="dxa"/>
                  <w:bottom w:w="0" w:type="dxa"/>
                  <w:right w:w="108" w:type="dxa"/>
                </w:tblCellMar>
              </w:tblPrEx>
              <w:trPr>
                <w:trHeight w:val="588"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277A048B">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利用小时</w:t>
                  </w:r>
                </w:p>
              </w:tc>
              <w:tc>
                <w:tcPr>
                  <w:tcW w:w="860" w:type="dxa"/>
                  <w:tcBorders>
                    <w:top w:val="nil"/>
                    <w:left w:val="nil"/>
                    <w:bottom w:val="single" w:color="auto" w:sz="4" w:space="0"/>
                    <w:right w:val="single" w:color="auto" w:sz="4" w:space="0"/>
                  </w:tcBorders>
                  <w:shd w:val="clear" w:color="auto" w:fill="auto"/>
                  <w:noWrap/>
                  <w:vAlign w:val="center"/>
                </w:tcPr>
                <w:p w14:paraId="3A723EB9">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1222.8 </w:t>
                  </w:r>
                </w:p>
              </w:tc>
              <w:tc>
                <w:tcPr>
                  <w:tcW w:w="810" w:type="dxa"/>
                  <w:tcBorders>
                    <w:top w:val="nil"/>
                    <w:left w:val="nil"/>
                    <w:bottom w:val="single" w:color="auto" w:sz="4" w:space="0"/>
                    <w:right w:val="single" w:color="auto" w:sz="4" w:space="0"/>
                  </w:tcBorders>
                  <w:shd w:val="clear" w:color="auto" w:fill="auto"/>
                  <w:noWrap/>
                  <w:vAlign w:val="center"/>
                </w:tcPr>
                <w:p w14:paraId="4A768511">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1217.7 </w:t>
                  </w:r>
                </w:p>
              </w:tc>
              <w:tc>
                <w:tcPr>
                  <w:tcW w:w="830" w:type="dxa"/>
                  <w:tcBorders>
                    <w:top w:val="nil"/>
                    <w:left w:val="nil"/>
                    <w:bottom w:val="single" w:color="auto" w:sz="4" w:space="0"/>
                    <w:right w:val="single" w:color="auto" w:sz="4" w:space="0"/>
                  </w:tcBorders>
                  <w:shd w:val="clear" w:color="auto" w:fill="auto"/>
                  <w:noWrap/>
                  <w:vAlign w:val="center"/>
                </w:tcPr>
                <w:p w14:paraId="31F157AB">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1212.6 </w:t>
                  </w:r>
                </w:p>
              </w:tc>
              <w:tc>
                <w:tcPr>
                  <w:tcW w:w="830" w:type="dxa"/>
                  <w:tcBorders>
                    <w:top w:val="nil"/>
                    <w:left w:val="nil"/>
                    <w:bottom w:val="single" w:color="auto" w:sz="4" w:space="0"/>
                    <w:right w:val="single" w:color="auto" w:sz="4" w:space="0"/>
                  </w:tcBorders>
                  <w:shd w:val="clear" w:color="auto" w:fill="auto"/>
                  <w:noWrap/>
                  <w:vAlign w:val="center"/>
                </w:tcPr>
                <w:p w14:paraId="682D5557">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1207.4 </w:t>
                  </w:r>
                </w:p>
              </w:tc>
              <w:tc>
                <w:tcPr>
                  <w:tcW w:w="820" w:type="dxa"/>
                  <w:tcBorders>
                    <w:top w:val="nil"/>
                    <w:left w:val="nil"/>
                    <w:bottom w:val="single" w:color="auto" w:sz="4" w:space="0"/>
                    <w:right w:val="single" w:color="auto" w:sz="4" w:space="0"/>
                  </w:tcBorders>
                  <w:shd w:val="clear" w:color="auto" w:fill="auto"/>
                  <w:noWrap/>
                  <w:vAlign w:val="center"/>
                </w:tcPr>
                <w:p w14:paraId="155C2637">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1202.3 </w:t>
                  </w:r>
                </w:p>
              </w:tc>
              <w:tc>
                <w:tcPr>
                  <w:tcW w:w="950" w:type="dxa"/>
                  <w:tcBorders>
                    <w:top w:val="nil"/>
                    <w:left w:val="nil"/>
                    <w:bottom w:val="single" w:color="auto" w:sz="4" w:space="0"/>
                    <w:right w:val="single" w:color="auto" w:sz="4" w:space="0"/>
                  </w:tcBorders>
                  <w:shd w:val="clear" w:color="auto" w:fill="auto"/>
                  <w:noWrap/>
                  <w:vAlign w:val="center"/>
                </w:tcPr>
                <w:p w14:paraId="50B565E9">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1197.2 </w:t>
                  </w:r>
                </w:p>
              </w:tc>
              <w:tc>
                <w:tcPr>
                  <w:tcW w:w="910" w:type="dxa"/>
                  <w:tcBorders>
                    <w:top w:val="nil"/>
                    <w:left w:val="nil"/>
                    <w:bottom w:val="single" w:color="auto" w:sz="4" w:space="0"/>
                    <w:right w:val="single" w:color="auto" w:sz="4" w:space="0"/>
                  </w:tcBorders>
                  <w:shd w:val="clear" w:color="auto" w:fill="auto"/>
                  <w:noWrap/>
                  <w:vAlign w:val="center"/>
                </w:tcPr>
                <w:p w14:paraId="11A52EE7">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1192.0 </w:t>
                  </w:r>
                </w:p>
              </w:tc>
              <w:tc>
                <w:tcPr>
                  <w:tcW w:w="910" w:type="dxa"/>
                  <w:tcBorders>
                    <w:top w:val="nil"/>
                    <w:left w:val="nil"/>
                    <w:bottom w:val="single" w:color="auto" w:sz="4" w:space="0"/>
                    <w:right w:val="single" w:color="auto" w:sz="4" w:space="0"/>
                  </w:tcBorders>
                  <w:shd w:val="clear" w:color="auto" w:fill="auto"/>
                  <w:vAlign w:val="center"/>
                </w:tcPr>
                <w:p w14:paraId="2632045D">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1186.9 </w:t>
                  </w:r>
                </w:p>
              </w:tc>
              <w:tc>
                <w:tcPr>
                  <w:tcW w:w="941" w:type="dxa"/>
                  <w:tcBorders>
                    <w:top w:val="nil"/>
                    <w:left w:val="nil"/>
                    <w:bottom w:val="single" w:color="auto" w:sz="4" w:space="0"/>
                    <w:right w:val="single" w:color="auto" w:sz="4" w:space="0"/>
                  </w:tcBorders>
                  <w:shd w:val="clear" w:color="auto" w:fill="auto"/>
                  <w:vAlign w:val="center"/>
                </w:tcPr>
                <w:p w14:paraId="6C1A9019">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1181.8 </w:t>
                  </w:r>
                </w:p>
              </w:tc>
            </w:tr>
            <w:tr w14:paraId="3BC98D1E">
              <w:tblPrEx>
                <w:tblCellMar>
                  <w:top w:w="0" w:type="dxa"/>
                  <w:left w:w="108" w:type="dxa"/>
                  <w:bottom w:w="0" w:type="dxa"/>
                  <w:right w:w="108" w:type="dxa"/>
                </w:tblCellMar>
              </w:tblPrEx>
              <w:trPr>
                <w:trHeight w:val="588"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25BF6586">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运营年份</w:t>
                  </w:r>
                </w:p>
              </w:tc>
              <w:tc>
                <w:tcPr>
                  <w:tcW w:w="860" w:type="dxa"/>
                  <w:tcBorders>
                    <w:top w:val="nil"/>
                    <w:left w:val="nil"/>
                    <w:bottom w:val="single" w:color="auto" w:sz="4" w:space="0"/>
                    <w:right w:val="single" w:color="auto" w:sz="4" w:space="0"/>
                  </w:tcBorders>
                  <w:shd w:val="clear" w:color="auto" w:fill="auto"/>
                  <w:noWrap/>
                  <w:vAlign w:val="center"/>
                </w:tcPr>
                <w:p w14:paraId="3DF9DE14">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19 </w:t>
                  </w:r>
                </w:p>
              </w:tc>
              <w:tc>
                <w:tcPr>
                  <w:tcW w:w="810" w:type="dxa"/>
                  <w:tcBorders>
                    <w:top w:val="nil"/>
                    <w:left w:val="nil"/>
                    <w:bottom w:val="single" w:color="auto" w:sz="4" w:space="0"/>
                    <w:right w:val="single" w:color="auto" w:sz="4" w:space="0"/>
                  </w:tcBorders>
                  <w:shd w:val="clear" w:color="auto" w:fill="auto"/>
                  <w:noWrap/>
                  <w:vAlign w:val="center"/>
                </w:tcPr>
                <w:p w14:paraId="7407F37B">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20 </w:t>
                  </w:r>
                </w:p>
              </w:tc>
              <w:tc>
                <w:tcPr>
                  <w:tcW w:w="830" w:type="dxa"/>
                  <w:tcBorders>
                    <w:top w:val="nil"/>
                    <w:left w:val="nil"/>
                    <w:bottom w:val="single" w:color="auto" w:sz="4" w:space="0"/>
                    <w:right w:val="single" w:color="auto" w:sz="4" w:space="0"/>
                  </w:tcBorders>
                  <w:shd w:val="clear" w:color="auto" w:fill="auto"/>
                  <w:noWrap/>
                  <w:vAlign w:val="center"/>
                </w:tcPr>
                <w:p w14:paraId="69957932">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21 </w:t>
                  </w:r>
                </w:p>
              </w:tc>
              <w:tc>
                <w:tcPr>
                  <w:tcW w:w="830" w:type="dxa"/>
                  <w:tcBorders>
                    <w:top w:val="nil"/>
                    <w:left w:val="nil"/>
                    <w:bottom w:val="single" w:color="auto" w:sz="4" w:space="0"/>
                    <w:right w:val="single" w:color="auto" w:sz="4" w:space="0"/>
                  </w:tcBorders>
                  <w:shd w:val="clear" w:color="auto" w:fill="auto"/>
                  <w:noWrap/>
                  <w:vAlign w:val="center"/>
                </w:tcPr>
                <w:p w14:paraId="4F33E7E2">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22 </w:t>
                  </w:r>
                </w:p>
              </w:tc>
              <w:tc>
                <w:tcPr>
                  <w:tcW w:w="820" w:type="dxa"/>
                  <w:tcBorders>
                    <w:top w:val="nil"/>
                    <w:left w:val="nil"/>
                    <w:bottom w:val="single" w:color="auto" w:sz="4" w:space="0"/>
                    <w:right w:val="single" w:color="auto" w:sz="4" w:space="0"/>
                  </w:tcBorders>
                  <w:shd w:val="clear" w:color="auto" w:fill="auto"/>
                  <w:noWrap/>
                  <w:vAlign w:val="center"/>
                </w:tcPr>
                <w:p w14:paraId="4F8D1BD6">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23 </w:t>
                  </w:r>
                </w:p>
              </w:tc>
              <w:tc>
                <w:tcPr>
                  <w:tcW w:w="950" w:type="dxa"/>
                  <w:tcBorders>
                    <w:top w:val="nil"/>
                    <w:left w:val="nil"/>
                    <w:bottom w:val="single" w:color="auto" w:sz="4" w:space="0"/>
                    <w:right w:val="single" w:color="auto" w:sz="4" w:space="0"/>
                  </w:tcBorders>
                  <w:shd w:val="clear" w:color="auto" w:fill="auto"/>
                  <w:noWrap/>
                  <w:vAlign w:val="center"/>
                </w:tcPr>
                <w:p w14:paraId="2E7B7411">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24 </w:t>
                  </w:r>
                </w:p>
              </w:tc>
              <w:tc>
                <w:tcPr>
                  <w:tcW w:w="910" w:type="dxa"/>
                  <w:tcBorders>
                    <w:top w:val="nil"/>
                    <w:left w:val="nil"/>
                    <w:bottom w:val="single" w:color="auto" w:sz="4" w:space="0"/>
                    <w:right w:val="single" w:color="auto" w:sz="4" w:space="0"/>
                  </w:tcBorders>
                  <w:shd w:val="clear" w:color="auto" w:fill="auto"/>
                  <w:noWrap/>
                  <w:vAlign w:val="center"/>
                </w:tcPr>
                <w:p w14:paraId="626414F7">
                  <w:pPr>
                    <w:widowControl/>
                    <w:spacing w:line="240" w:lineRule="auto"/>
                    <w:ind w:firstLine="0" w:firstLineChars="0"/>
                    <w:jc w:val="center"/>
                    <w:textAlignment w:val="center"/>
                    <w:rPr>
                      <w:rFonts w:cs="Times New Roman"/>
                      <w:color w:val="000000"/>
                      <w:kern w:val="0"/>
                      <w:sz w:val="21"/>
                      <w:szCs w:val="21"/>
                    </w:rPr>
                  </w:pPr>
                  <w:r>
                    <w:rPr>
                      <w:rFonts w:cs="Times New Roman"/>
                      <w:b/>
                      <w:bCs/>
                      <w:color w:val="000000"/>
                      <w:kern w:val="0"/>
                      <w:sz w:val="21"/>
                      <w:szCs w:val="21"/>
                      <w:lang w:bidi="ar"/>
                    </w:rPr>
                    <w:t xml:space="preserve">25 </w:t>
                  </w:r>
                </w:p>
              </w:tc>
              <w:tc>
                <w:tcPr>
                  <w:tcW w:w="910" w:type="dxa"/>
                  <w:tcBorders>
                    <w:top w:val="nil"/>
                    <w:left w:val="nil"/>
                    <w:bottom w:val="single" w:color="auto" w:sz="4" w:space="0"/>
                    <w:right w:val="single" w:color="auto" w:sz="4" w:space="0"/>
                  </w:tcBorders>
                  <w:shd w:val="clear" w:color="auto" w:fill="auto"/>
                  <w:vAlign w:val="center"/>
                </w:tcPr>
                <w:p w14:paraId="05DBE0CF">
                  <w:pPr>
                    <w:widowControl/>
                    <w:spacing w:line="240" w:lineRule="auto"/>
                    <w:ind w:firstLine="0" w:firstLineChars="0"/>
                    <w:jc w:val="center"/>
                    <w:textAlignment w:val="center"/>
                    <w:rPr>
                      <w:rFonts w:cs="Times New Roman"/>
                      <w:b/>
                      <w:bCs/>
                      <w:color w:val="000000"/>
                      <w:kern w:val="0"/>
                      <w:sz w:val="21"/>
                      <w:szCs w:val="21"/>
                    </w:rPr>
                  </w:pPr>
                  <w:r>
                    <w:rPr>
                      <w:rFonts w:cs="Times New Roman"/>
                      <w:b/>
                      <w:bCs/>
                      <w:color w:val="000000"/>
                      <w:kern w:val="0"/>
                      <w:sz w:val="21"/>
                      <w:szCs w:val="21"/>
                      <w:lang w:bidi="ar"/>
                    </w:rPr>
                    <w:t>25年合计</w:t>
                  </w:r>
                </w:p>
              </w:tc>
              <w:tc>
                <w:tcPr>
                  <w:tcW w:w="941" w:type="dxa"/>
                  <w:tcBorders>
                    <w:top w:val="nil"/>
                    <w:left w:val="nil"/>
                    <w:bottom w:val="single" w:color="auto" w:sz="4" w:space="0"/>
                    <w:right w:val="single" w:color="auto" w:sz="4" w:space="0"/>
                  </w:tcBorders>
                  <w:shd w:val="clear" w:color="auto" w:fill="auto"/>
                  <w:vAlign w:val="center"/>
                </w:tcPr>
                <w:p w14:paraId="0E3C5EF9">
                  <w:pPr>
                    <w:widowControl/>
                    <w:spacing w:line="240" w:lineRule="auto"/>
                    <w:ind w:firstLine="0" w:firstLineChars="0"/>
                    <w:jc w:val="center"/>
                    <w:textAlignment w:val="center"/>
                    <w:rPr>
                      <w:rFonts w:cs="Times New Roman"/>
                      <w:b/>
                      <w:bCs/>
                      <w:color w:val="000000"/>
                      <w:kern w:val="0"/>
                      <w:sz w:val="21"/>
                      <w:szCs w:val="21"/>
                    </w:rPr>
                  </w:pPr>
                  <w:r>
                    <w:rPr>
                      <w:rFonts w:cs="Times New Roman"/>
                      <w:b/>
                      <w:bCs/>
                      <w:color w:val="000000"/>
                      <w:kern w:val="0"/>
                      <w:sz w:val="21"/>
                      <w:szCs w:val="21"/>
                      <w:lang w:bidi="ar"/>
                    </w:rPr>
                    <w:t>年平均</w:t>
                  </w:r>
                </w:p>
              </w:tc>
            </w:tr>
            <w:tr w14:paraId="2DCB4AA0">
              <w:tblPrEx>
                <w:tblCellMar>
                  <w:top w:w="0" w:type="dxa"/>
                  <w:left w:w="108" w:type="dxa"/>
                  <w:bottom w:w="0" w:type="dxa"/>
                  <w:right w:w="108" w:type="dxa"/>
                </w:tblCellMar>
              </w:tblPrEx>
              <w:trPr>
                <w:trHeight w:val="588"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4F5540AF">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发电量</w:t>
                  </w:r>
                </w:p>
              </w:tc>
              <w:tc>
                <w:tcPr>
                  <w:tcW w:w="860" w:type="dxa"/>
                  <w:tcBorders>
                    <w:top w:val="nil"/>
                    <w:left w:val="nil"/>
                    <w:bottom w:val="single" w:color="auto" w:sz="4" w:space="0"/>
                    <w:right w:val="single" w:color="auto" w:sz="4" w:space="0"/>
                  </w:tcBorders>
                  <w:shd w:val="clear" w:color="auto" w:fill="auto"/>
                  <w:noWrap/>
                  <w:vAlign w:val="center"/>
                </w:tcPr>
                <w:p w14:paraId="5E9B3793">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33689.2 </w:t>
                  </w:r>
                </w:p>
              </w:tc>
              <w:tc>
                <w:tcPr>
                  <w:tcW w:w="810" w:type="dxa"/>
                  <w:tcBorders>
                    <w:top w:val="nil"/>
                    <w:left w:val="nil"/>
                    <w:bottom w:val="single" w:color="auto" w:sz="4" w:space="0"/>
                    <w:right w:val="single" w:color="auto" w:sz="4" w:space="0"/>
                  </w:tcBorders>
                  <w:shd w:val="clear" w:color="auto" w:fill="auto"/>
                  <w:noWrap/>
                  <w:vAlign w:val="center"/>
                </w:tcPr>
                <w:p w14:paraId="4A67EC4E">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33542.4 </w:t>
                  </w:r>
                </w:p>
              </w:tc>
              <w:tc>
                <w:tcPr>
                  <w:tcW w:w="830" w:type="dxa"/>
                  <w:tcBorders>
                    <w:top w:val="nil"/>
                    <w:left w:val="nil"/>
                    <w:bottom w:val="single" w:color="auto" w:sz="4" w:space="0"/>
                    <w:right w:val="single" w:color="auto" w:sz="4" w:space="0"/>
                  </w:tcBorders>
                  <w:shd w:val="clear" w:color="auto" w:fill="auto"/>
                  <w:noWrap/>
                  <w:vAlign w:val="center"/>
                </w:tcPr>
                <w:p w14:paraId="1FE94C13">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33395.6 </w:t>
                  </w:r>
                </w:p>
              </w:tc>
              <w:tc>
                <w:tcPr>
                  <w:tcW w:w="830" w:type="dxa"/>
                  <w:tcBorders>
                    <w:top w:val="nil"/>
                    <w:left w:val="nil"/>
                    <w:bottom w:val="single" w:color="auto" w:sz="4" w:space="0"/>
                    <w:right w:val="single" w:color="auto" w:sz="4" w:space="0"/>
                  </w:tcBorders>
                  <w:shd w:val="clear" w:color="auto" w:fill="auto"/>
                  <w:noWrap/>
                  <w:vAlign w:val="center"/>
                </w:tcPr>
                <w:p w14:paraId="48AFAD2F">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33248.8 </w:t>
                  </w:r>
                </w:p>
              </w:tc>
              <w:tc>
                <w:tcPr>
                  <w:tcW w:w="820" w:type="dxa"/>
                  <w:tcBorders>
                    <w:top w:val="nil"/>
                    <w:left w:val="nil"/>
                    <w:bottom w:val="single" w:color="auto" w:sz="4" w:space="0"/>
                    <w:right w:val="single" w:color="auto" w:sz="4" w:space="0"/>
                  </w:tcBorders>
                  <w:shd w:val="clear" w:color="auto" w:fill="auto"/>
                  <w:noWrap/>
                  <w:vAlign w:val="center"/>
                </w:tcPr>
                <w:p w14:paraId="7F315FB8">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33102.0 </w:t>
                  </w:r>
                </w:p>
              </w:tc>
              <w:tc>
                <w:tcPr>
                  <w:tcW w:w="950" w:type="dxa"/>
                  <w:tcBorders>
                    <w:top w:val="nil"/>
                    <w:left w:val="nil"/>
                    <w:bottom w:val="single" w:color="auto" w:sz="4" w:space="0"/>
                    <w:right w:val="single" w:color="auto" w:sz="4" w:space="0"/>
                  </w:tcBorders>
                  <w:shd w:val="clear" w:color="auto" w:fill="auto"/>
                  <w:noWrap/>
                  <w:vAlign w:val="center"/>
                </w:tcPr>
                <w:p w14:paraId="7C0B4A99">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32955.2 </w:t>
                  </w:r>
                </w:p>
              </w:tc>
              <w:tc>
                <w:tcPr>
                  <w:tcW w:w="910" w:type="dxa"/>
                  <w:tcBorders>
                    <w:top w:val="nil"/>
                    <w:left w:val="nil"/>
                    <w:bottom w:val="single" w:color="auto" w:sz="4" w:space="0"/>
                    <w:right w:val="single" w:color="auto" w:sz="4" w:space="0"/>
                  </w:tcBorders>
                  <w:shd w:val="clear" w:color="auto" w:fill="auto"/>
                  <w:noWrap/>
                  <w:vAlign w:val="center"/>
                </w:tcPr>
                <w:p w14:paraId="1B125E7D">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32808.4 </w:t>
                  </w:r>
                </w:p>
              </w:tc>
              <w:tc>
                <w:tcPr>
                  <w:tcW w:w="910" w:type="dxa"/>
                  <w:tcBorders>
                    <w:top w:val="nil"/>
                    <w:left w:val="nil"/>
                    <w:bottom w:val="single" w:color="auto" w:sz="4" w:space="0"/>
                    <w:right w:val="single" w:color="auto" w:sz="4" w:space="0"/>
                  </w:tcBorders>
                  <w:shd w:val="clear" w:color="auto" w:fill="auto"/>
                  <w:vAlign w:val="center"/>
                </w:tcPr>
                <w:p w14:paraId="745391A2">
                  <w:pPr>
                    <w:widowControl/>
                    <w:spacing w:line="240" w:lineRule="auto"/>
                    <w:ind w:firstLine="0" w:firstLineChars="0"/>
                    <w:jc w:val="center"/>
                    <w:textAlignment w:val="center"/>
                    <w:rPr>
                      <w:rFonts w:cs="Times New Roman"/>
                      <w:b/>
                      <w:bCs/>
                      <w:color w:val="000000"/>
                      <w:kern w:val="0"/>
                      <w:sz w:val="21"/>
                      <w:szCs w:val="21"/>
                    </w:rPr>
                  </w:pPr>
                  <w:r>
                    <w:rPr>
                      <w:rFonts w:cs="Times New Roman"/>
                      <w:b/>
                      <w:bCs/>
                      <w:color w:val="000000"/>
                      <w:kern w:val="0"/>
                      <w:sz w:val="21"/>
                      <w:szCs w:val="21"/>
                      <w:lang w:bidi="ar"/>
                    </w:rPr>
                    <w:t xml:space="preserve">864248.64 </w:t>
                  </w:r>
                </w:p>
              </w:tc>
              <w:tc>
                <w:tcPr>
                  <w:tcW w:w="941" w:type="dxa"/>
                  <w:tcBorders>
                    <w:top w:val="nil"/>
                    <w:left w:val="nil"/>
                    <w:bottom w:val="single" w:color="auto" w:sz="4" w:space="0"/>
                    <w:right w:val="single" w:color="auto" w:sz="4" w:space="0"/>
                  </w:tcBorders>
                  <w:shd w:val="clear" w:color="auto" w:fill="auto"/>
                  <w:vAlign w:val="center"/>
                </w:tcPr>
                <w:p w14:paraId="52A9B086">
                  <w:pPr>
                    <w:widowControl/>
                    <w:spacing w:line="240" w:lineRule="auto"/>
                    <w:ind w:firstLine="0" w:firstLineChars="0"/>
                    <w:jc w:val="center"/>
                    <w:textAlignment w:val="center"/>
                    <w:rPr>
                      <w:rFonts w:cs="Times New Roman"/>
                      <w:b/>
                      <w:bCs/>
                      <w:color w:val="000000"/>
                      <w:kern w:val="0"/>
                      <w:sz w:val="21"/>
                      <w:szCs w:val="21"/>
                    </w:rPr>
                  </w:pPr>
                  <w:r>
                    <w:rPr>
                      <w:rFonts w:cs="Times New Roman"/>
                      <w:b/>
                      <w:bCs/>
                      <w:color w:val="000000"/>
                      <w:kern w:val="0"/>
                      <w:sz w:val="21"/>
                      <w:szCs w:val="21"/>
                      <w:lang w:bidi="ar"/>
                    </w:rPr>
                    <w:t xml:space="preserve">34569.95 </w:t>
                  </w:r>
                </w:p>
              </w:tc>
            </w:tr>
            <w:tr w14:paraId="68655910">
              <w:tblPrEx>
                <w:tblCellMar>
                  <w:top w:w="0" w:type="dxa"/>
                  <w:left w:w="108" w:type="dxa"/>
                  <w:bottom w:w="0" w:type="dxa"/>
                  <w:right w:w="108" w:type="dxa"/>
                </w:tblCellMar>
              </w:tblPrEx>
              <w:trPr>
                <w:trHeight w:val="588" w:hRule="atLeast"/>
                <w:jc w:val="center"/>
              </w:trPr>
              <w:tc>
                <w:tcPr>
                  <w:tcW w:w="830" w:type="dxa"/>
                  <w:tcBorders>
                    <w:top w:val="nil"/>
                    <w:left w:val="single" w:color="auto" w:sz="4" w:space="0"/>
                    <w:bottom w:val="single" w:color="auto" w:sz="4" w:space="0"/>
                    <w:right w:val="single" w:color="auto" w:sz="4" w:space="0"/>
                  </w:tcBorders>
                  <w:shd w:val="clear" w:color="auto" w:fill="auto"/>
                  <w:vAlign w:val="center"/>
                </w:tcPr>
                <w:p w14:paraId="1F6012D2">
                  <w:pPr>
                    <w:widowControl/>
                    <w:spacing w:line="240" w:lineRule="auto"/>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利用小时</w:t>
                  </w:r>
                </w:p>
              </w:tc>
              <w:tc>
                <w:tcPr>
                  <w:tcW w:w="860" w:type="dxa"/>
                  <w:tcBorders>
                    <w:top w:val="nil"/>
                    <w:left w:val="nil"/>
                    <w:bottom w:val="single" w:color="auto" w:sz="4" w:space="0"/>
                    <w:right w:val="single" w:color="auto" w:sz="4" w:space="0"/>
                  </w:tcBorders>
                  <w:shd w:val="clear" w:color="auto" w:fill="auto"/>
                  <w:noWrap/>
                  <w:vAlign w:val="center"/>
                </w:tcPr>
                <w:p w14:paraId="6D44F808">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1176.7 </w:t>
                  </w:r>
                </w:p>
              </w:tc>
              <w:tc>
                <w:tcPr>
                  <w:tcW w:w="810" w:type="dxa"/>
                  <w:tcBorders>
                    <w:top w:val="nil"/>
                    <w:left w:val="nil"/>
                    <w:bottom w:val="single" w:color="auto" w:sz="4" w:space="0"/>
                    <w:right w:val="single" w:color="auto" w:sz="4" w:space="0"/>
                  </w:tcBorders>
                  <w:shd w:val="clear" w:color="auto" w:fill="auto"/>
                  <w:noWrap/>
                  <w:vAlign w:val="center"/>
                </w:tcPr>
                <w:p w14:paraId="26847EE0">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1171.5 </w:t>
                  </w:r>
                </w:p>
              </w:tc>
              <w:tc>
                <w:tcPr>
                  <w:tcW w:w="830" w:type="dxa"/>
                  <w:tcBorders>
                    <w:top w:val="nil"/>
                    <w:left w:val="nil"/>
                    <w:bottom w:val="single" w:color="auto" w:sz="4" w:space="0"/>
                    <w:right w:val="single" w:color="auto" w:sz="4" w:space="0"/>
                  </w:tcBorders>
                  <w:shd w:val="clear" w:color="auto" w:fill="auto"/>
                  <w:noWrap/>
                  <w:vAlign w:val="center"/>
                </w:tcPr>
                <w:p w14:paraId="1EC61546">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1166.4 </w:t>
                  </w:r>
                </w:p>
              </w:tc>
              <w:tc>
                <w:tcPr>
                  <w:tcW w:w="830" w:type="dxa"/>
                  <w:tcBorders>
                    <w:top w:val="nil"/>
                    <w:left w:val="nil"/>
                    <w:bottom w:val="single" w:color="auto" w:sz="4" w:space="0"/>
                    <w:right w:val="single" w:color="auto" w:sz="4" w:space="0"/>
                  </w:tcBorders>
                  <w:shd w:val="clear" w:color="auto" w:fill="auto"/>
                  <w:noWrap/>
                  <w:vAlign w:val="center"/>
                </w:tcPr>
                <w:p w14:paraId="655BAD5A">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1161.3 </w:t>
                  </w:r>
                </w:p>
              </w:tc>
              <w:tc>
                <w:tcPr>
                  <w:tcW w:w="820" w:type="dxa"/>
                  <w:tcBorders>
                    <w:top w:val="nil"/>
                    <w:left w:val="nil"/>
                    <w:bottom w:val="single" w:color="auto" w:sz="4" w:space="0"/>
                    <w:right w:val="single" w:color="auto" w:sz="4" w:space="0"/>
                  </w:tcBorders>
                  <w:shd w:val="clear" w:color="auto" w:fill="auto"/>
                  <w:noWrap/>
                  <w:vAlign w:val="center"/>
                </w:tcPr>
                <w:p w14:paraId="289780A2">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1156.2 </w:t>
                  </w:r>
                </w:p>
              </w:tc>
              <w:tc>
                <w:tcPr>
                  <w:tcW w:w="950" w:type="dxa"/>
                  <w:tcBorders>
                    <w:top w:val="nil"/>
                    <w:left w:val="nil"/>
                    <w:bottom w:val="single" w:color="auto" w:sz="4" w:space="0"/>
                    <w:right w:val="single" w:color="auto" w:sz="4" w:space="0"/>
                  </w:tcBorders>
                  <w:shd w:val="clear" w:color="auto" w:fill="auto"/>
                  <w:noWrap/>
                  <w:vAlign w:val="center"/>
                </w:tcPr>
                <w:p w14:paraId="6BFDEDE5">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1151.0 </w:t>
                  </w:r>
                </w:p>
              </w:tc>
              <w:tc>
                <w:tcPr>
                  <w:tcW w:w="910" w:type="dxa"/>
                  <w:tcBorders>
                    <w:top w:val="nil"/>
                    <w:left w:val="nil"/>
                    <w:bottom w:val="single" w:color="auto" w:sz="4" w:space="0"/>
                    <w:right w:val="single" w:color="auto" w:sz="4" w:space="0"/>
                  </w:tcBorders>
                  <w:shd w:val="clear" w:color="auto" w:fill="auto"/>
                  <w:noWrap/>
                  <w:vAlign w:val="center"/>
                </w:tcPr>
                <w:p w14:paraId="510A206A">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1145.9 </w:t>
                  </w:r>
                </w:p>
              </w:tc>
              <w:tc>
                <w:tcPr>
                  <w:tcW w:w="910" w:type="dxa"/>
                  <w:tcBorders>
                    <w:top w:val="nil"/>
                    <w:left w:val="nil"/>
                    <w:bottom w:val="single" w:color="auto" w:sz="4" w:space="0"/>
                    <w:right w:val="single" w:color="auto" w:sz="4" w:space="0"/>
                  </w:tcBorders>
                  <w:shd w:val="clear" w:color="auto" w:fill="auto"/>
                  <w:vAlign w:val="center"/>
                </w:tcPr>
                <w:p w14:paraId="697ACE94">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30185.7 </w:t>
                  </w:r>
                </w:p>
              </w:tc>
              <w:tc>
                <w:tcPr>
                  <w:tcW w:w="941" w:type="dxa"/>
                  <w:tcBorders>
                    <w:top w:val="nil"/>
                    <w:left w:val="nil"/>
                    <w:bottom w:val="single" w:color="auto" w:sz="4" w:space="0"/>
                    <w:right w:val="single" w:color="auto" w:sz="4" w:space="0"/>
                  </w:tcBorders>
                  <w:shd w:val="clear" w:color="auto" w:fill="auto"/>
                  <w:vAlign w:val="center"/>
                </w:tcPr>
                <w:p w14:paraId="57606946">
                  <w:pPr>
                    <w:widowControl/>
                    <w:spacing w:line="240" w:lineRule="auto"/>
                    <w:ind w:firstLine="0" w:firstLineChars="0"/>
                    <w:jc w:val="center"/>
                    <w:textAlignment w:val="center"/>
                    <w:rPr>
                      <w:rFonts w:cs="Times New Roman"/>
                      <w:color w:val="000000"/>
                      <w:kern w:val="0"/>
                      <w:sz w:val="21"/>
                      <w:szCs w:val="21"/>
                    </w:rPr>
                  </w:pPr>
                  <w:r>
                    <w:rPr>
                      <w:rFonts w:cs="Times New Roman"/>
                      <w:color w:val="000000"/>
                      <w:kern w:val="0"/>
                      <w:sz w:val="21"/>
                      <w:szCs w:val="21"/>
                      <w:lang w:bidi="ar"/>
                    </w:rPr>
                    <w:t xml:space="preserve">1207.4 </w:t>
                  </w:r>
                </w:p>
              </w:tc>
            </w:tr>
          </w:tbl>
          <w:p w14:paraId="0A747AA0">
            <w:pPr>
              <w:snapToGrid w:val="0"/>
              <w:spacing w:line="360" w:lineRule="auto"/>
              <w:ind w:firstLine="480" w:firstLineChars="200"/>
              <w:rPr>
                <w:rFonts w:hint="eastAsia"/>
                <w:sz w:val="24"/>
              </w:rPr>
            </w:pPr>
            <w:r>
              <w:rPr>
                <w:rFonts w:hint="eastAsia"/>
                <w:sz w:val="24"/>
              </w:rPr>
              <w:t>由表</w:t>
            </w:r>
            <w:r>
              <w:rPr>
                <w:rFonts w:hint="eastAsia"/>
                <w:sz w:val="24"/>
                <w:lang w:val="en-US" w:eastAsia="zh-CN"/>
              </w:rPr>
              <w:t>2</w:t>
            </w:r>
            <w:r>
              <w:rPr>
                <w:rFonts w:hint="eastAsia"/>
                <w:sz w:val="24"/>
              </w:rPr>
              <w:t>-</w:t>
            </w:r>
            <w:r>
              <w:rPr>
                <w:rFonts w:hint="eastAsia"/>
                <w:sz w:val="24"/>
                <w:lang w:val="en-US" w:eastAsia="zh-CN"/>
              </w:rPr>
              <w:t>6</w:t>
            </w:r>
            <w:r>
              <w:rPr>
                <w:rFonts w:hint="eastAsia"/>
                <w:sz w:val="24"/>
              </w:rPr>
              <w:t>、表</w:t>
            </w:r>
            <w:r>
              <w:rPr>
                <w:rFonts w:hint="eastAsia"/>
                <w:sz w:val="24"/>
                <w:lang w:val="en-US" w:eastAsia="zh-CN"/>
              </w:rPr>
              <w:t>2</w:t>
            </w:r>
            <w:r>
              <w:rPr>
                <w:rFonts w:hint="eastAsia"/>
                <w:sz w:val="24"/>
              </w:rPr>
              <w:t>-</w:t>
            </w:r>
            <w:r>
              <w:rPr>
                <w:rFonts w:hint="eastAsia"/>
                <w:sz w:val="24"/>
                <w:lang w:val="en-US" w:eastAsia="zh-CN"/>
              </w:rPr>
              <w:t>7</w:t>
            </w:r>
            <w:r>
              <w:rPr>
                <w:rFonts w:hint="eastAsia"/>
                <w:sz w:val="24"/>
              </w:rPr>
              <w:t>、表</w:t>
            </w:r>
            <w:r>
              <w:rPr>
                <w:rFonts w:hint="eastAsia"/>
                <w:sz w:val="24"/>
                <w:lang w:val="en-US" w:eastAsia="zh-CN"/>
              </w:rPr>
              <w:t>2</w:t>
            </w:r>
            <w:r>
              <w:rPr>
                <w:rFonts w:hint="eastAsia"/>
                <w:sz w:val="24"/>
              </w:rPr>
              <w:t>-</w:t>
            </w:r>
            <w:r>
              <w:rPr>
                <w:rFonts w:hint="eastAsia"/>
                <w:sz w:val="24"/>
                <w:lang w:val="en-US" w:eastAsia="zh-CN"/>
              </w:rPr>
              <w:t>8</w:t>
            </w:r>
            <w:r>
              <w:rPr>
                <w:rFonts w:hint="eastAsia"/>
                <w:sz w:val="24"/>
              </w:rPr>
              <w:t>可知，本项目25年总和上网电量为864248.64 万kWh，25年年平均上网电量：34569.95万kWh；首年利用小时数为1269.0h，25年年平均利用小时数为1207.4h</w:t>
            </w:r>
            <w:r>
              <w:rPr>
                <w:rFonts w:hint="eastAsia"/>
                <w:sz w:val="24"/>
                <w:lang w:eastAsia="zh-CN"/>
              </w:rPr>
              <w:t>（</w:t>
            </w:r>
            <w:r>
              <w:rPr>
                <w:rFonts w:hint="eastAsia"/>
                <w:sz w:val="24"/>
              </w:rPr>
              <w:t>交流侧25年年平均利用小时数为1536.4h</w:t>
            </w:r>
            <w:r>
              <w:rPr>
                <w:rFonts w:hint="eastAsia"/>
                <w:sz w:val="24"/>
                <w:lang w:eastAsia="zh-CN"/>
              </w:rPr>
              <w:t>）</w:t>
            </w:r>
            <w:r>
              <w:rPr>
                <w:rFonts w:hint="eastAsia"/>
                <w:sz w:val="24"/>
              </w:rPr>
              <w:t>。</w:t>
            </w:r>
          </w:p>
          <w:p w14:paraId="1F4819B1">
            <w:pPr>
              <w:snapToGrid w:val="0"/>
              <w:spacing w:line="360" w:lineRule="auto"/>
              <w:ind w:firstLine="482" w:firstLineChars="200"/>
              <w:rPr>
                <w:b/>
                <w:bCs/>
                <w:sz w:val="24"/>
              </w:rPr>
            </w:pPr>
            <w:r>
              <w:rPr>
                <w:b/>
                <w:bCs/>
                <w:sz w:val="24"/>
              </w:rPr>
              <w:t>4、电气工程</w:t>
            </w:r>
          </w:p>
          <w:p w14:paraId="515F3765">
            <w:pPr>
              <w:snapToGrid w:val="0"/>
              <w:spacing w:line="360" w:lineRule="auto"/>
              <w:ind w:firstLine="480" w:firstLineChars="200"/>
              <w:rPr>
                <w:sz w:val="24"/>
              </w:rPr>
            </w:pPr>
            <w:r>
              <w:rPr>
                <w:sz w:val="24"/>
              </w:rPr>
              <w:t>（1）电气一次</w:t>
            </w:r>
          </w:p>
          <w:p w14:paraId="105A96C8">
            <w:pPr>
              <w:snapToGrid w:val="0"/>
              <w:spacing w:line="360" w:lineRule="auto"/>
              <w:ind w:firstLine="480" w:firstLineChars="200"/>
              <w:rPr>
                <w:sz w:val="24"/>
              </w:rPr>
            </w:pPr>
            <w:r>
              <w:rPr>
                <w:rFonts w:hint="eastAsia"/>
                <w:sz w:val="24"/>
              </w:rPr>
              <w:t>本项目直流侧规划装机容量为286.31048MWp，采用分块发电、集中并网方案。</w:t>
            </w:r>
          </w:p>
          <w:p w14:paraId="6B656584">
            <w:pPr>
              <w:snapToGrid w:val="0"/>
              <w:spacing w:line="360" w:lineRule="auto"/>
              <w:ind w:firstLine="480" w:firstLineChars="200"/>
              <w:rPr>
                <w:sz w:val="24"/>
              </w:rPr>
            </w:pPr>
            <w:r>
              <w:rPr>
                <w:rFonts w:hint="eastAsia"/>
                <w:sz w:val="24"/>
              </w:rPr>
              <w:t>光伏发电由76个光伏发电单元组成，各发电单元由光伏组件方阵、组串式逆变器及就地升压变以单元为单位就地布置。每个单元均配置10台300kW组串式逆变器和1台3150kVA变压器。场区集电线路设计采用直埋和架空相结合的方式。经11条35kV电缆分别接至项目新建的</w:t>
            </w:r>
            <w:r>
              <w:rPr>
                <w:sz w:val="24"/>
              </w:rPr>
              <w:t>22</w:t>
            </w:r>
            <w:r>
              <w:rPr>
                <w:rFonts w:hint="eastAsia"/>
                <w:sz w:val="24"/>
              </w:rPr>
              <w:t>0kV升压站35kV设备预制舱内开关柜。</w:t>
            </w:r>
          </w:p>
          <w:p w14:paraId="4B0863DD">
            <w:pPr>
              <w:snapToGrid w:val="0"/>
              <w:spacing w:line="360" w:lineRule="auto"/>
              <w:ind w:firstLine="480" w:firstLineChars="200"/>
              <w:rPr>
                <w:sz w:val="24"/>
              </w:rPr>
            </w:pPr>
            <w:r>
              <w:rPr>
                <w:rFonts w:hint="eastAsia"/>
                <w:sz w:val="24"/>
              </w:rPr>
              <w:t>本项目新建1座</w:t>
            </w:r>
            <w:r>
              <w:rPr>
                <w:sz w:val="24"/>
              </w:rPr>
              <w:t>22</w:t>
            </w:r>
            <w:r>
              <w:rPr>
                <w:rFonts w:hint="eastAsia"/>
                <w:sz w:val="24"/>
              </w:rPr>
              <w:t>0kV升压站，站内新建2</w:t>
            </w:r>
            <w:r>
              <w:rPr>
                <w:sz w:val="24"/>
              </w:rPr>
              <w:t>台容量</w:t>
            </w:r>
            <w:r>
              <w:rPr>
                <w:rFonts w:hint="eastAsia"/>
                <w:sz w:val="24"/>
              </w:rPr>
              <w:t>均</w:t>
            </w:r>
            <w:r>
              <w:rPr>
                <w:sz w:val="24"/>
              </w:rPr>
              <w:t>为</w:t>
            </w:r>
            <w:r>
              <w:rPr>
                <w:rFonts w:hint="eastAsia"/>
                <w:sz w:val="24"/>
              </w:rPr>
              <w:t>12</w:t>
            </w:r>
            <w:r>
              <w:rPr>
                <w:sz w:val="24"/>
              </w:rPr>
              <w:t>0MVA</w:t>
            </w:r>
            <w:r>
              <w:rPr>
                <w:rFonts w:hint="eastAsia"/>
                <w:sz w:val="24"/>
              </w:rPr>
              <w:t>的</w:t>
            </w:r>
            <w:r>
              <w:rPr>
                <w:sz w:val="24"/>
              </w:rPr>
              <w:t>220kV主变，</w:t>
            </w:r>
            <w:r>
              <w:rPr>
                <w:rFonts w:hint="eastAsia"/>
                <w:sz w:val="24"/>
              </w:rPr>
              <w:t>最后以</w:t>
            </w:r>
            <w:r>
              <w:rPr>
                <w:sz w:val="24"/>
              </w:rPr>
              <w:t>1</w:t>
            </w:r>
            <w:r>
              <w:rPr>
                <w:rFonts w:hint="eastAsia"/>
                <w:sz w:val="24"/>
              </w:rPr>
              <w:t>回</w:t>
            </w:r>
            <w:r>
              <w:rPr>
                <w:sz w:val="24"/>
              </w:rPr>
              <w:t>22</w:t>
            </w:r>
            <w:r>
              <w:rPr>
                <w:rFonts w:hint="eastAsia"/>
                <w:sz w:val="24"/>
              </w:rPr>
              <w:t>0kV线路送出；升压站另外引接一路10kV电源，作为升压站的备用电源，施工时可作为施工电源使用</w:t>
            </w:r>
            <w:r>
              <w:rPr>
                <w:sz w:val="24"/>
              </w:rPr>
              <w:t>。</w:t>
            </w:r>
          </w:p>
          <w:p w14:paraId="298A451A">
            <w:pPr>
              <w:snapToGrid w:val="0"/>
              <w:spacing w:line="360" w:lineRule="auto"/>
              <w:ind w:firstLine="480" w:firstLineChars="200"/>
              <w:rPr>
                <w:sz w:val="24"/>
              </w:rPr>
            </w:pPr>
            <w:r>
              <w:rPr>
                <w:b w:val="0"/>
                <w:bCs w:val="0"/>
                <w:sz w:val="24"/>
              </w:rPr>
              <w:t>（2）电气</w:t>
            </w:r>
            <w:r>
              <w:rPr>
                <w:sz w:val="24"/>
              </w:rPr>
              <w:t>二次</w:t>
            </w:r>
          </w:p>
          <w:p w14:paraId="4493BE0C">
            <w:pPr>
              <w:snapToGrid w:val="0"/>
              <w:spacing w:line="360" w:lineRule="auto"/>
              <w:ind w:firstLine="480" w:firstLineChars="200"/>
              <w:rPr>
                <w:sz w:val="24"/>
              </w:rPr>
            </w:pPr>
            <w:r>
              <w:rPr>
                <w:sz w:val="24"/>
              </w:rPr>
              <w:t>光伏电站按“无人值守”的原则进行设计。整个光伏电站安装一套综合自动化系统，具有保护、控制、通信、测量等功能，可实现光伏发电系统的全功能综合自动化管理，实现光伏电站与地调端的遥测、遥信功能及发电公司的监测管理。主变、各电压等级配电装置等设备的监控保护由综合保护系统或相应设备配套。系统配置一套环境监测仪，用来监测厂址位置太阳能资源情况。</w:t>
            </w:r>
          </w:p>
          <w:p w14:paraId="6D34E501">
            <w:pPr>
              <w:snapToGrid w:val="0"/>
              <w:spacing w:line="360" w:lineRule="auto"/>
              <w:ind w:firstLine="480" w:firstLineChars="200"/>
              <w:rPr>
                <w:rFonts w:hint="eastAsia"/>
                <w:sz w:val="24"/>
                <w:lang w:eastAsia="zh-CN"/>
              </w:rPr>
            </w:pPr>
            <w:r>
              <w:rPr>
                <w:rFonts w:hint="eastAsia"/>
                <w:sz w:val="24"/>
                <w:lang w:eastAsia="zh-CN"/>
              </w:rPr>
              <w:t>（3）通信</w:t>
            </w:r>
          </w:p>
          <w:p w14:paraId="2619801B">
            <w:pPr>
              <w:snapToGrid w:val="0"/>
              <w:spacing w:line="360" w:lineRule="auto"/>
              <w:ind w:firstLine="480" w:firstLineChars="200"/>
              <w:rPr>
                <w:rFonts w:hint="eastAsia"/>
                <w:sz w:val="24"/>
              </w:rPr>
            </w:pPr>
            <w:r>
              <w:rPr>
                <w:rFonts w:hint="eastAsia"/>
                <w:sz w:val="24"/>
              </w:rPr>
              <w:t>光伏电站每一个光伏发电单元内组串式逆变器至箱变采用电力载波通讯方式，之后通过箱变三合一测控装置环接至升压站环网交换机进而接入站控层网络。</w:t>
            </w:r>
          </w:p>
          <w:p w14:paraId="32BB52A1">
            <w:pPr>
              <w:snapToGrid w:val="0"/>
              <w:spacing w:line="360" w:lineRule="auto"/>
              <w:ind w:firstLine="480" w:firstLineChars="200"/>
              <w:rPr>
                <w:rFonts w:hint="eastAsia"/>
                <w:sz w:val="24"/>
                <w:lang w:eastAsia="zh-CN"/>
              </w:rPr>
            </w:pPr>
            <w:r>
              <w:rPr>
                <w:rFonts w:hint="eastAsia"/>
                <w:sz w:val="24"/>
              </w:rPr>
              <w:t>本工程76个光伏发电单元共并为11回35kV集电线路，光伏电站以每一回集电线路为一个通讯单元，每个通讯单元配置一套通信管理机和环网交换机，全场形成一个独立通信的环网。光伏电站内每个通讯单元通过通信光缆（总线方式）连接至监控系统。监控系统通过总线光缆接收每个光伏发电单元的实时信息或发送运行人员的操作命令，监控系统可通过网络通道将每个光伏发电单元的运行参数传送到中控室工作站进行实时监测，且场内通信应按照电网二次安全防护方案的要求配置安全防护设施</w:t>
            </w:r>
          </w:p>
          <w:p w14:paraId="6917C2BF">
            <w:pPr>
              <w:snapToGrid w:val="0"/>
              <w:spacing w:line="360" w:lineRule="auto"/>
              <w:ind w:firstLine="480" w:firstLineChars="200"/>
              <w:rPr>
                <w:b w:val="0"/>
                <w:bCs w:val="0"/>
                <w:sz w:val="24"/>
              </w:rPr>
            </w:pPr>
            <w:r>
              <w:rPr>
                <w:rFonts w:hint="eastAsia"/>
                <w:b w:val="0"/>
                <w:bCs w:val="0"/>
                <w:sz w:val="24"/>
                <w:lang w:eastAsia="zh-CN"/>
              </w:rPr>
              <w:t>（</w:t>
            </w:r>
            <w:r>
              <w:rPr>
                <w:rFonts w:hint="eastAsia"/>
                <w:b w:val="0"/>
                <w:bCs w:val="0"/>
                <w:sz w:val="24"/>
              </w:rPr>
              <w:t>4</w:t>
            </w:r>
            <w:r>
              <w:rPr>
                <w:rFonts w:hint="eastAsia"/>
                <w:b w:val="0"/>
                <w:bCs w:val="0"/>
                <w:sz w:val="24"/>
                <w:lang w:eastAsia="zh-CN"/>
              </w:rPr>
              <w:t>）</w:t>
            </w:r>
            <w:r>
              <w:rPr>
                <w:rFonts w:hint="eastAsia"/>
                <w:b w:val="0"/>
                <w:bCs w:val="0"/>
                <w:sz w:val="24"/>
              </w:rPr>
              <w:t>储能系统</w:t>
            </w:r>
          </w:p>
          <w:p w14:paraId="33B400D1">
            <w:pPr>
              <w:snapToGrid w:val="0"/>
              <w:spacing w:line="360" w:lineRule="auto"/>
              <w:ind w:firstLine="480" w:firstLineChars="200"/>
              <w:rPr>
                <w:rFonts w:hint="eastAsia" w:eastAsia="宋体"/>
                <w:b/>
                <w:bCs/>
                <w:sz w:val="24"/>
                <w:lang w:eastAsia="zh-CN"/>
              </w:rPr>
            </w:pPr>
            <w:r>
              <w:rPr>
                <w:rFonts w:hint="eastAsia"/>
                <w:sz w:val="24"/>
              </w:rPr>
              <w:t>本储能系统配额采用租赁的方式</w:t>
            </w:r>
            <w:r>
              <w:rPr>
                <w:rFonts w:hint="eastAsia"/>
                <w:sz w:val="24"/>
                <w:lang w:eastAsia="zh-CN"/>
              </w:rPr>
              <w:t>。</w:t>
            </w:r>
          </w:p>
          <w:p w14:paraId="69B4BED3">
            <w:pPr>
              <w:snapToGrid w:val="0"/>
              <w:spacing w:line="360" w:lineRule="auto"/>
              <w:ind w:firstLine="482" w:firstLineChars="200"/>
              <w:rPr>
                <w:b/>
                <w:bCs/>
                <w:sz w:val="24"/>
              </w:rPr>
            </w:pPr>
            <w:r>
              <w:rPr>
                <w:b/>
                <w:bCs/>
                <w:sz w:val="24"/>
              </w:rPr>
              <w:t>5、劳动定员与工作制度</w:t>
            </w:r>
          </w:p>
          <w:p w14:paraId="0967384D">
            <w:pPr>
              <w:pStyle w:val="166"/>
              <w:numPr>
                <w:ilvl w:val="0"/>
                <w:numId w:val="0"/>
              </w:numPr>
              <w:spacing w:line="360" w:lineRule="auto"/>
              <w:ind w:firstLine="480" w:firstLineChars="200"/>
              <w:rPr>
                <w:rFonts w:hint="eastAsia"/>
                <w:sz w:val="24"/>
                <w:szCs w:val="23"/>
                <w:lang w:val="en-US" w:eastAsia="zh-CN"/>
              </w:rPr>
            </w:pPr>
            <w:r>
              <w:rPr>
                <w:rFonts w:hint="eastAsia"/>
                <w:sz w:val="24"/>
                <w:szCs w:val="23"/>
                <w:lang w:val="en-US" w:eastAsia="zh-CN"/>
              </w:rPr>
              <w:t>无人值守，定期巡检</w:t>
            </w:r>
            <w:r>
              <w:rPr>
                <w:rFonts w:hint="eastAsia"/>
                <w:sz w:val="24"/>
                <w:szCs w:val="23"/>
                <w:lang w:val="en-GB" w:eastAsia="zh-CN"/>
              </w:rPr>
              <w:t>。</w:t>
            </w:r>
          </w:p>
          <w:p w14:paraId="7863140C">
            <w:pPr>
              <w:pStyle w:val="166"/>
              <w:numPr>
                <w:ilvl w:val="0"/>
                <w:numId w:val="0"/>
              </w:numPr>
              <w:spacing w:line="360" w:lineRule="auto"/>
              <w:ind w:leftChars="200"/>
              <w:rPr>
                <w:rFonts w:hint="eastAsia" w:cs="Times New Roman"/>
                <w:b/>
                <w:color w:val="000000"/>
                <w:sz w:val="24"/>
                <w:szCs w:val="24"/>
              </w:rPr>
            </w:pPr>
            <w:r>
              <w:rPr>
                <w:rFonts w:hint="eastAsia" w:cs="Times New Roman"/>
                <w:b/>
                <w:color w:val="000000"/>
                <w:sz w:val="24"/>
                <w:szCs w:val="24"/>
                <w:lang w:val="en-US" w:eastAsia="zh-CN"/>
              </w:rPr>
              <w:t>6、</w:t>
            </w:r>
            <w:r>
              <w:rPr>
                <w:rFonts w:hint="eastAsia" w:cs="Times New Roman"/>
                <w:b/>
                <w:color w:val="000000"/>
                <w:sz w:val="24"/>
                <w:szCs w:val="24"/>
              </w:rPr>
              <w:t>水平衡</w:t>
            </w:r>
          </w:p>
          <w:p w14:paraId="254ACB2E">
            <w:pPr>
              <w:pStyle w:val="166"/>
              <w:numPr>
                <w:ilvl w:val="0"/>
                <w:numId w:val="0"/>
              </w:numPr>
              <w:spacing w:line="360" w:lineRule="auto"/>
              <w:ind w:firstLine="480" w:firstLineChars="200"/>
              <w:rPr>
                <w:rFonts w:hint="eastAsia" w:eastAsia="宋体"/>
                <w:color w:val="000000"/>
                <w:lang w:eastAsia="zh-CN"/>
              </w:rPr>
            </w:pPr>
            <w:r>
              <w:rPr>
                <w:b w:val="0"/>
                <w:bCs/>
                <w:color w:val="000000"/>
                <w:kern w:val="0"/>
                <w:sz w:val="24"/>
              </w:rPr>
              <w:t>项目用水情况</w:t>
            </w:r>
            <w:r>
              <w:rPr>
                <w:rFonts w:hint="eastAsia"/>
                <w:b w:val="0"/>
                <w:bCs/>
                <w:color w:val="000000"/>
                <w:kern w:val="0"/>
                <w:sz w:val="24"/>
                <w:lang w:eastAsia="zh-CN"/>
              </w:rPr>
              <w:t>：</w:t>
            </w:r>
            <w:r>
              <w:rPr>
                <w:rFonts w:hint="eastAsia"/>
                <w:b w:val="0"/>
                <w:bCs/>
                <w:color w:val="000000"/>
                <w:kern w:val="0"/>
                <w:sz w:val="24"/>
                <w:lang w:val="en-US" w:eastAsia="zh-CN"/>
              </w:rPr>
              <w:t>本项目运营期</w:t>
            </w:r>
            <w:r>
              <w:rPr>
                <w:rFonts w:hint="eastAsia"/>
                <w:sz w:val="24"/>
                <w:szCs w:val="23"/>
                <w:lang w:val="en-US" w:eastAsia="zh-CN"/>
              </w:rPr>
              <w:t>无人值守，定期巡检，因此不产生生活污水</w:t>
            </w:r>
            <w:r>
              <w:rPr>
                <w:rFonts w:hint="eastAsia"/>
                <w:b w:val="0"/>
                <w:bCs/>
                <w:color w:val="000000"/>
                <w:kern w:val="0"/>
                <w:sz w:val="24"/>
                <w:lang w:eastAsia="zh-CN"/>
              </w:rPr>
              <w:t>；</w:t>
            </w:r>
            <w:r>
              <w:rPr>
                <w:rFonts w:hint="eastAsia"/>
                <w:b w:val="0"/>
                <w:bCs/>
                <w:color w:val="000000"/>
                <w:kern w:val="0"/>
                <w:sz w:val="24"/>
                <w:lang w:val="en-US" w:eastAsia="zh-CN"/>
              </w:rPr>
              <w:t>运营期内</w:t>
            </w:r>
            <w:bookmarkStart w:id="31" w:name="_GoBack"/>
            <w:bookmarkEnd w:id="31"/>
            <w:r>
              <w:rPr>
                <w:sz w:val="24"/>
                <w:szCs w:val="23"/>
              </w:rPr>
              <w:t>每3个月将光伏组件全部清洗1次，</w:t>
            </w:r>
            <w:r>
              <w:rPr>
                <w:kern w:val="0"/>
                <w:sz w:val="24"/>
              </w:rPr>
              <w:t>类比同类项目，清洗用水量按1L/块·次计算，项目</w:t>
            </w:r>
            <w:r>
              <w:rPr>
                <w:sz w:val="24"/>
                <w:szCs w:val="23"/>
              </w:rPr>
              <w:t>共</w:t>
            </w:r>
            <w:r>
              <w:rPr>
                <w:rFonts w:hint="eastAsia"/>
                <w:sz w:val="24"/>
                <w:szCs w:val="23"/>
                <w:lang w:val="en-GB" w:eastAsia="zh-CN"/>
              </w:rPr>
              <w:t>485272</w:t>
            </w:r>
            <w:r>
              <w:rPr>
                <w:sz w:val="24"/>
                <w:szCs w:val="23"/>
              </w:rPr>
              <w:t>块太阳能</w:t>
            </w:r>
            <w:r>
              <w:rPr>
                <w:kern w:val="0"/>
                <w:sz w:val="24"/>
              </w:rPr>
              <w:t>组件，则冲洗水量</w:t>
            </w:r>
            <w:r>
              <w:rPr>
                <w:rFonts w:hint="eastAsia"/>
                <w:kern w:val="0"/>
                <w:sz w:val="24"/>
                <w:lang w:val="en-US" w:eastAsia="zh-CN"/>
              </w:rPr>
              <w:t>约为485.3</w:t>
            </w:r>
            <w:r>
              <w:rPr>
                <w:kern w:val="0"/>
                <w:sz w:val="24"/>
              </w:rPr>
              <w:t>m</w:t>
            </w:r>
            <w:r>
              <w:rPr>
                <w:kern w:val="0"/>
                <w:sz w:val="24"/>
                <w:vertAlign w:val="superscript"/>
              </w:rPr>
              <w:t>3</w:t>
            </w:r>
            <w:r>
              <w:rPr>
                <w:kern w:val="0"/>
                <w:sz w:val="24"/>
              </w:rPr>
              <w:t>/次，</w:t>
            </w:r>
            <w:r>
              <w:rPr>
                <w:rFonts w:hint="eastAsia"/>
                <w:kern w:val="0"/>
                <w:sz w:val="24"/>
                <w:lang w:val="en-US" w:eastAsia="zh-CN"/>
              </w:rPr>
              <w:t>1941.2</w:t>
            </w:r>
            <w:r>
              <w:rPr>
                <w:kern w:val="0"/>
                <w:sz w:val="24"/>
              </w:rPr>
              <w:t>m</w:t>
            </w:r>
            <w:r>
              <w:rPr>
                <w:kern w:val="0"/>
                <w:sz w:val="24"/>
                <w:vertAlign w:val="superscript"/>
              </w:rPr>
              <w:t>3</w:t>
            </w:r>
            <w:r>
              <w:rPr>
                <w:kern w:val="0"/>
                <w:sz w:val="24"/>
              </w:rPr>
              <w:t>/</w:t>
            </w:r>
            <w:r>
              <w:rPr>
                <w:rFonts w:hint="eastAsia"/>
                <w:kern w:val="0"/>
                <w:sz w:val="24"/>
                <w:lang w:val="en-US" w:eastAsia="zh-CN"/>
              </w:rPr>
              <w:t>a（本项目清洗用水为池塘海水）</w:t>
            </w:r>
            <w:r>
              <w:rPr>
                <w:rFonts w:cs="Times New Roman"/>
                <w:bCs/>
                <w:color w:val="000000"/>
                <w:sz w:val="24"/>
                <w:szCs w:val="24"/>
              </w:rPr>
              <w:t>。</w:t>
            </w:r>
          </w:p>
          <w:p w14:paraId="7927937C">
            <w:pPr>
              <w:snapToGrid w:val="0"/>
              <w:spacing w:line="360" w:lineRule="auto"/>
              <w:ind w:firstLine="482" w:firstLineChars="200"/>
              <w:rPr>
                <w:b/>
                <w:bCs/>
                <w:sz w:val="24"/>
              </w:rPr>
            </w:pPr>
            <w:r>
              <w:rPr>
                <w:rFonts w:hint="eastAsia"/>
                <w:b/>
                <w:bCs/>
                <w:sz w:val="24"/>
                <w:lang w:val="en-US" w:eastAsia="zh-CN"/>
              </w:rPr>
              <w:t>7</w:t>
            </w:r>
            <w:r>
              <w:rPr>
                <w:b/>
                <w:bCs/>
                <w:sz w:val="24"/>
              </w:rPr>
              <w:t>、拆迁工程</w:t>
            </w:r>
          </w:p>
          <w:p w14:paraId="07B88EA2">
            <w:pPr>
              <w:snapToGrid w:val="0"/>
              <w:spacing w:line="360" w:lineRule="auto"/>
              <w:ind w:firstLine="480" w:firstLineChars="200"/>
              <w:rPr>
                <w:sz w:val="24"/>
              </w:rPr>
            </w:pPr>
            <w:r>
              <w:rPr>
                <w:sz w:val="24"/>
              </w:rPr>
              <w:t>本项目不涉及征地拆迁及移民安置工作，不涉及专项设施改迁建。</w:t>
            </w:r>
          </w:p>
        </w:tc>
      </w:tr>
      <w:tr w14:paraId="5AFB5C04">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07" w:type="dxa"/>
            <w:vAlign w:val="center"/>
          </w:tcPr>
          <w:p w14:paraId="4A8EDC62">
            <w:pPr>
              <w:adjustRightInd w:val="0"/>
              <w:snapToGrid w:val="0"/>
              <w:jc w:val="center"/>
              <w:rPr>
                <w:kern w:val="0"/>
                <w:szCs w:val="21"/>
              </w:rPr>
            </w:pPr>
            <w:r>
              <w:rPr>
                <w:kern w:val="0"/>
                <w:sz w:val="24"/>
              </w:rPr>
              <w:t>总平面及现场布置</w:t>
            </w:r>
          </w:p>
        </w:tc>
        <w:tc>
          <w:tcPr>
            <w:tcW w:w="8950" w:type="dxa"/>
            <w:vAlign w:val="center"/>
          </w:tcPr>
          <w:p w14:paraId="5CE67BD2">
            <w:pPr>
              <w:adjustRightInd w:val="0"/>
              <w:snapToGrid w:val="0"/>
              <w:spacing w:line="360" w:lineRule="auto"/>
              <w:ind w:firstLine="482" w:firstLineChars="200"/>
              <w:rPr>
                <w:rFonts w:hint="eastAsia"/>
                <w:b/>
                <w:bCs/>
                <w:sz w:val="24"/>
                <w:szCs w:val="18"/>
              </w:rPr>
            </w:pPr>
            <w:r>
              <w:rPr>
                <w:rFonts w:hint="eastAsia"/>
                <w:b/>
                <w:bCs/>
                <w:sz w:val="24"/>
                <w:szCs w:val="18"/>
              </w:rPr>
              <w:t>1、光伏电场场址概况</w:t>
            </w:r>
          </w:p>
          <w:p w14:paraId="4E4A5C93">
            <w:pPr>
              <w:adjustRightInd w:val="0"/>
              <w:snapToGrid w:val="0"/>
              <w:spacing w:line="360" w:lineRule="auto"/>
              <w:ind w:firstLine="480" w:firstLineChars="200"/>
              <w:rPr>
                <w:rFonts w:hint="eastAsia" w:eastAsia="宋体"/>
                <w:b w:val="0"/>
                <w:bCs w:val="0"/>
                <w:sz w:val="24"/>
                <w:szCs w:val="18"/>
                <w:lang w:val="en-US" w:eastAsia="zh-CN"/>
              </w:rPr>
            </w:pPr>
            <w:r>
              <w:rPr>
                <w:rFonts w:hint="eastAsia"/>
                <w:b w:val="0"/>
                <w:bCs w:val="0"/>
                <w:sz w:val="24"/>
                <w:szCs w:val="18"/>
              </w:rPr>
              <w:t>拟建工程场地位于</w:t>
            </w:r>
            <w:r>
              <w:rPr>
                <w:rFonts w:hint="eastAsia"/>
                <w:sz w:val="24"/>
              </w:rPr>
              <w:t>江苏省连云港市连云港经济技术开发区青口盐场</w:t>
            </w:r>
            <w:r>
              <w:rPr>
                <w:rFonts w:hint="eastAsia"/>
                <w:b w:val="0"/>
                <w:bCs w:val="0"/>
                <w:sz w:val="24"/>
                <w:szCs w:val="18"/>
              </w:rPr>
              <w:t>，地形整体较平坦，地势较低，沿线水系发育，地貌单元为冲击平原。本项目场地的地貌类型属苏北滨海平原区的滨海平原</w:t>
            </w:r>
            <w:r>
              <w:rPr>
                <w:rFonts w:hint="eastAsia"/>
                <w:b w:val="0"/>
                <w:bCs w:val="0"/>
                <w:sz w:val="24"/>
                <w:szCs w:val="18"/>
                <w:lang w:eastAsia="zh-CN"/>
              </w:rPr>
              <w:t>。</w:t>
            </w:r>
          </w:p>
          <w:p w14:paraId="207D5F4A">
            <w:pPr>
              <w:adjustRightInd w:val="0"/>
              <w:snapToGrid w:val="0"/>
              <w:spacing w:line="360" w:lineRule="auto"/>
              <w:ind w:firstLine="480" w:firstLineChars="200"/>
              <w:rPr>
                <w:rFonts w:hint="eastAsia" w:eastAsia="宋体"/>
                <w:b w:val="0"/>
                <w:bCs w:val="0"/>
                <w:sz w:val="24"/>
                <w:szCs w:val="32"/>
                <w:lang w:eastAsia="zh-CN"/>
              </w:rPr>
            </w:pPr>
            <w:r>
              <w:rPr>
                <w:rFonts w:hint="eastAsia"/>
                <w:b w:val="0"/>
                <w:bCs w:val="0"/>
                <w:sz w:val="24"/>
                <w:szCs w:val="18"/>
              </w:rPr>
              <w:t>根据光伏电场工程所在地</w:t>
            </w:r>
            <w:r>
              <w:rPr>
                <w:rFonts w:hint="eastAsia"/>
                <w:b w:val="0"/>
                <w:bCs w:val="0"/>
                <w:sz w:val="24"/>
                <w:szCs w:val="18"/>
                <w:lang w:val="en-US" w:eastAsia="zh-CN"/>
              </w:rPr>
              <w:t>连云港市经济技术开发区</w:t>
            </w:r>
            <w:r>
              <w:rPr>
                <w:rFonts w:hint="eastAsia"/>
                <w:b w:val="0"/>
                <w:bCs w:val="0"/>
                <w:sz w:val="24"/>
                <w:szCs w:val="18"/>
              </w:rPr>
              <w:t>的地区经济发展状况及电力等发展规划，结合光伏电场的自然条件、资源特征、建设条件等，以及太阳能资源开发建设的要求和投资方的意向，本项目的开发任务以发电为主，目前光伏阵列现状均为人工养殖的鱼塘</w:t>
            </w:r>
            <w:r>
              <w:rPr>
                <w:rFonts w:hint="eastAsia"/>
                <w:b w:val="0"/>
                <w:bCs w:val="0"/>
                <w:sz w:val="24"/>
                <w:szCs w:val="18"/>
                <w:lang w:eastAsia="zh-CN"/>
              </w:rPr>
              <w:t>。</w:t>
            </w:r>
          </w:p>
          <w:p w14:paraId="18BA6CD8">
            <w:pPr>
              <w:adjustRightInd w:val="0"/>
              <w:snapToGrid w:val="0"/>
              <w:spacing w:line="360" w:lineRule="auto"/>
              <w:ind w:firstLine="482" w:firstLineChars="200"/>
              <w:rPr>
                <w:b/>
                <w:bCs/>
                <w:sz w:val="24"/>
                <w:szCs w:val="32"/>
              </w:rPr>
            </w:pPr>
            <w:r>
              <w:rPr>
                <w:rFonts w:hint="eastAsia"/>
                <w:b/>
                <w:bCs/>
                <w:sz w:val="24"/>
                <w:szCs w:val="32"/>
              </w:rPr>
              <w:t>2、总平面布置方案</w:t>
            </w:r>
          </w:p>
          <w:p w14:paraId="443CBFD5">
            <w:pPr>
              <w:adjustRightInd w:val="0"/>
              <w:snapToGrid w:val="0"/>
              <w:spacing w:line="360" w:lineRule="auto"/>
              <w:ind w:firstLine="480" w:firstLineChars="200"/>
              <w:rPr>
                <w:rFonts w:hint="eastAsia" w:eastAsia="宋体"/>
                <w:sz w:val="24"/>
                <w:szCs w:val="32"/>
                <w:lang w:eastAsia="zh-CN"/>
              </w:rPr>
            </w:pPr>
            <w:r>
              <w:rPr>
                <w:rFonts w:hint="eastAsia"/>
                <w:sz w:val="24"/>
                <w:szCs w:val="32"/>
              </w:rPr>
              <w:t>本项目直流侧规划装机容量为286.31048MWp，项目占地约3955亩，其中升压站用地约22亩</w:t>
            </w:r>
            <w:r>
              <w:rPr>
                <w:rFonts w:hint="eastAsia"/>
                <w:sz w:val="24"/>
                <w:szCs w:val="32"/>
                <w:lang w:eastAsia="zh-CN"/>
              </w:rPr>
              <w:t>。</w:t>
            </w:r>
          </w:p>
          <w:p w14:paraId="62FCAB6F">
            <w:pPr>
              <w:adjustRightInd w:val="0"/>
              <w:snapToGrid w:val="0"/>
              <w:spacing w:line="360" w:lineRule="auto"/>
              <w:ind w:firstLine="480" w:firstLineChars="200"/>
              <w:rPr>
                <w:rFonts w:hint="eastAsia" w:eastAsia="宋体"/>
                <w:sz w:val="24"/>
                <w:szCs w:val="32"/>
                <w:lang w:val="en-US" w:eastAsia="zh-CN"/>
              </w:rPr>
            </w:pPr>
            <w:r>
              <w:rPr>
                <w:rFonts w:hint="eastAsia"/>
                <w:sz w:val="24"/>
                <w:szCs w:val="32"/>
              </w:rPr>
              <w:t>光伏场区内包括光伏组件阵列、箱式变压器设施及检修道路等，内设纵横向道路。根据布置，箱式变压器均有道路可以通达，且箱式变压器均位于道路边便于设备运输，满足日常巡查和检修的要求。道路布置时充分考虑场内集电线路走向问题，尽可能使集电线路走向与场内主干道走向一致。场内道路路面为粒料路面，站内道路路面宽度均为4m。光伏阵列结合用地范围和地形情况，充分利用场址区的土地和地形，不宜过于分散，应便于管理、节约用地;尽量按照规则统一的子方阵布置形式，通过子方阵的集中组合，以达到用地较优、节约连接电缆日常巡查线路较短、减少电缆敷设的土建工程量，电缆的最佳布置方案。</w:t>
            </w:r>
          </w:p>
        </w:tc>
      </w:tr>
      <w:tr w14:paraId="14A92893">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8" w:hRule="atLeast"/>
          <w:jc w:val="center"/>
        </w:trPr>
        <w:tc>
          <w:tcPr>
            <w:tcW w:w="507" w:type="dxa"/>
            <w:vAlign w:val="center"/>
          </w:tcPr>
          <w:p w14:paraId="1567DFED">
            <w:pPr>
              <w:adjustRightInd w:val="0"/>
              <w:snapToGrid w:val="0"/>
              <w:jc w:val="center"/>
              <w:rPr>
                <w:kern w:val="0"/>
                <w:szCs w:val="21"/>
              </w:rPr>
            </w:pPr>
            <w:r>
              <w:rPr>
                <w:kern w:val="0"/>
                <w:sz w:val="22"/>
                <w:szCs w:val="22"/>
              </w:rPr>
              <w:t>施工方案</w:t>
            </w:r>
          </w:p>
        </w:tc>
        <w:tc>
          <w:tcPr>
            <w:tcW w:w="8950" w:type="dxa"/>
          </w:tcPr>
          <w:p w14:paraId="78242291">
            <w:pPr>
              <w:pStyle w:val="10"/>
              <w:widowControl w:val="0"/>
              <w:snapToGrid/>
              <w:spacing w:before="0" w:after="0" w:line="360" w:lineRule="auto"/>
              <w:ind w:right="0" w:firstLine="482" w:firstLineChars="200"/>
              <w:rPr>
                <w:b/>
                <w:bCs/>
                <w:sz w:val="24"/>
                <w:szCs w:val="18"/>
              </w:rPr>
            </w:pPr>
            <w:r>
              <w:rPr>
                <w:b/>
                <w:bCs/>
                <w:sz w:val="24"/>
                <w:szCs w:val="18"/>
              </w:rPr>
              <w:t>1、施工期</w:t>
            </w:r>
            <w:r>
              <w:rPr>
                <w:rFonts w:hint="eastAsia"/>
                <w:b/>
                <w:bCs/>
                <w:sz w:val="24"/>
                <w:szCs w:val="18"/>
              </w:rPr>
              <w:t>临时设施设置情况</w:t>
            </w:r>
          </w:p>
          <w:p w14:paraId="63DD4A0F">
            <w:pPr>
              <w:pStyle w:val="10"/>
              <w:widowControl w:val="0"/>
              <w:snapToGrid/>
              <w:spacing w:before="0" w:after="0" w:line="360" w:lineRule="auto"/>
              <w:ind w:right="0" w:firstLine="480" w:firstLineChars="200"/>
              <w:rPr>
                <w:sz w:val="24"/>
                <w:szCs w:val="18"/>
              </w:rPr>
            </w:pPr>
            <w:r>
              <w:rPr>
                <w:sz w:val="24"/>
                <w:szCs w:val="18"/>
              </w:rPr>
              <w:t>（1）施工总布置原则</w:t>
            </w:r>
          </w:p>
          <w:p w14:paraId="7A3354F1">
            <w:pPr>
              <w:pStyle w:val="10"/>
              <w:widowControl w:val="0"/>
              <w:snapToGrid/>
              <w:spacing w:before="0" w:after="0" w:line="360" w:lineRule="auto"/>
              <w:ind w:right="0" w:firstLine="480" w:firstLineChars="200"/>
              <w:rPr>
                <w:sz w:val="24"/>
                <w:szCs w:val="18"/>
              </w:rPr>
            </w:pPr>
            <w:r>
              <w:rPr>
                <w:sz w:val="24"/>
                <w:szCs w:val="18"/>
              </w:rPr>
              <w:t>根据本电站工程的特点，在施工布置结合光伏电站总体规划要求，遵循因地制宜、施工运输方便、易于管理、安全可靠、经济适用的原则；</w:t>
            </w:r>
          </w:p>
          <w:p w14:paraId="47A15A96">
            <w:pPr>
              <w:pStyle w:val="10"/>
              <w:widowControl w:val="0"/>
              <w:snapToGrid/>
              <w:spacing w:before="0" w:after="0" w:line="360" w:lineRule="auto"/>
              <w:ind w:right="0" w:firstLine="480" w:firstLineChars="200"/>
              <w:rPr>
                <w:sz w:val="24"/>
                <w:szCs w:val="18"/>
              </w:rPr>
            </w:pPr>
            <w:r>
              <w:rPr>
                <w:rFonts w:hint="eastAsia" w:ascii="宋体" w:hAnsi="宋体" w:cs="宋体"/>
                <w:sz w:val="24"/>
                <w:szCs w:val="32"/>
              </w:rPr>
              <w:t>①</w:t>
            </w:r>
            <w:r>
              <w:rPr>
                <w:sz w:val="24"/>
                <w:szCs w:val="18"/>
              </w:rPr>
              <w:t>合理布置施工区、临时堆放场、临时装配场和施工营地位置；</w:t>
            </w:r>
          </w:p>
          <w:p w14:paraId="1F457CBE">
            <w:pPr>
              <w:pStyle w:val="10"/>
              <w:widowControl w:val="0"/>
              <w:snapToGrid/>
              <w:spacing w:before="0" w:after="0" w:line="360" w:lineRule="auto"/>
              <w:ind w:right="0" w:firstLine="480" w:firstLineChars="200"/>
              <w:rPr>
                <w:sz w:val="24"/>
                <w:szCs w:val="18"/>
              </w:rPr>
            </w:pPr>
            <w:r>
              <w:rPr>
                <w:rFonts w:hint="eastAsia" w:ascii="宋体" w:hAnsi="宋体" w:cs="宋体"/>
                <w:sz w:val="24"/>
                <w:szCs w:val="18"/>
              </w:rPr>
              <w:t>②</w:t>
            </w:r>
            <w:r>
              <w:rPr>
                <w:sz w:val="24"/>
                <w:szCs w:val="18"/>
              </w:rPr>
              <w:t>综合进度按先钢构架建设，再电气安装和太阳能电池的安装，再调试的顺序进行安排，处理好施工准备与开工、土建与安装等方面的关系；</w:t>
            </w:r>
          </w:p>
          <w:p w14:paraId="75652604">
            <w:pPr>
              <w:pStyle w:val="10"/>
              <w:widowControl w:val="0"/>
              <w:snapToGrid/>
              <w:spacing w:before="0" w:after="0" w:line="360" w:lineRule="auto"/>
              <w:ind w:right="0" w:firstLine="480" w:firstLineChars="200"/>
              <w:rPr>
                <w:sz w:val="24"/>
                <w:szCs w:val="18"/>
              </w:rPr>
            </w:pPr>
            <w:r>
              <w:rPr>
                <w:rFonts w:hint="eastAsia" w:ascii="宋体" w:hAnsi="宋体" w:cs="宋体"/>
                <w:sz w:val="24"/>
                <w:szCs w:val="32"/>
              </w:rPr>
              <w:t>③</w:t>
            </w:r>
            <w:r>
              <w:rPr>
                <w:sz w:val="24"/>
                <w:szCs w:val="18"/>
              </w:rPr>
              <w:t>根据工程区环境，施工布置力求紧凑、统筹规划；</w:t>
            </w:r>
          </w:p>
          <w:p w14:paraId="3F7A19E8">
            <w:pPr>
              <w:pStyle w:val="10"/>
              <w:widowControl w:val="0"/>
              <w:snapToGrid/>
              <w:spacing w:before="0" w:after="0" w:line="360" w:lineRule="auto"/>
              <w:ind w:right="0" w:firstLine="480" w:firstLineChars="200"/>
              <w:rPr>
                <w:sz w:val="24"/>
                <w:szCs w:val="18"/>
              </w:rPr>
            </w:pPr>
            <w:r>
              <w:rPr>
                <w:rFonts w:hint="eastAsia" w:ascii="宋体" w:hAnsi="宋体" w:cs="宋体"/>
                <w:sz w:val="24"/>
                <w:szCs w:val="32"/>
              </w:rPr>
              <w:t>④</w:t>
            </w:r>
            <w:r>
              <w:rPr>
                <w:sz w:val="24"/>
                <w:szCs w:val="18"/>
              </w:rPr>
              <w:t>根据工程所在场地现状特点等情况进行施工布置，力求紧凑、节约用地，统筹规划、合理布置施工设施和临时设施；</w:t>
            </w:r>
          </w:p>
          <w:p w14:paraId="63763E83">
            <w:pPr>
              <w:pStyle w:val="10"/>
              <w:widowControl w:val="0"/>
              <w:snapToGrid/>
              <w:spacing w:before="0" w:after="0" w:line="360" w:lineRule="auto"/>
              <w:ind w:right="0" w:firstLine="480" w:firstLineChars="200"/>
              <w:rPr>
                <w:sz w:val="24"/>
                <w:szCs w:val="18"/>
              </w:rPr>
            </w:pPr>
            <w:r>
              <w:rPr>
                <w:rFonts w:hint="eastAsia" w:ascii="宋体" w:hAnsi="宋体" w:cs="宋体"/>
                <w:sz w:val="24"/>
                <w:szCs w:val="32"/>
              </w:rPr>
              <w:t>⑤</w:t>
            </w:r>
            <w:r>
              <w:rPr>
                <w:sz w:val="24"/>
                <w:szCs w:val="18"/>
              </w:rPr>
              <w:t>参考相关工程经验，对施工期主要区域实施封闭管理；</w:t>
            </w:r>
          </w:p>
          <w:p w14:paraId="5AD608FA">
            <w:pPr>
              <w:pStyle w:val="10"/>
              <w:widowControl w:val="0"/>
              <w:snapToGrid/>
              <w:spacing w:before="0" w:after="0" w:line="360" w:lineRule="auto"/>
              <w:ind w:right="0" w:firstLine="480" w:firstLineChars="200"/>
            </w:pPr>
            <w:r>
              <w:rPr>
                <w:rFonts w:hint="eastAsia" w:ascii="宋体" w:hAnsi="宋体" w:cs="宋体"/>
                <w:sz w:val="24"/>
                <w:szCs w:val="18"/>
              </w:rPr>
              <w:t>⑥</w:t>
            </w:r>
            <w:r>
              <w:rPr>
                <w:sz w:val="24"/>
                <w:szCs w:val="18"/>
              </w:rPr>
              <w:t>结合场区条件，合理布置施工供水及施工供电系统。</w:t>
            </w:r>
          </w:p>
          <w:p w14:paraId="2729A867">
            <w:pPr>
              <w:spacing w:line="360" w:lineRule="auto"/>
              <w:ind w:firstLine="480" w:firstLineChars="200"/>
              <w:rPr>
                <w:sz w:val="24"/>
                <w:szCs w:val="32"/>
              </w:rPr>
            </w:pPr>
            <w:r>
              <w:rPr>
                <w:sz w:val="24"/>
                <w:szCs w:val="32"/>
              </w:rPr>
              <w:t>（2）施工期总体布置情况</w:t>
            </w:r>
          </w:p>
          <w:p w14:paraId="196E6D1E">
            <w:pPr>
              <w:spacing w:line="360" w:lineRule="auto"/>
              <w:ind w:firstLine="480" w:firstLineChars="200"/>
              <w:rPr>
                <w:sz w:val="24"/>
                <w:szCs w:val="32"/>
              </w:rPr>
            </w:pPr>
            <w:r>
              <w:rPr>
                <w:sz w:val="24"/>
                <w:szCs w:val="32"/>
              </w:rPr>
              <w:t>光伏电场的建设用地为工程永久用地和施工临时用地。工程永久占地包括：光伏组件基础设备、箱式变压器基础设备、检修道路等用地。施工临时占地主要为</w:t>
            </w:r>
            <w:r>
              <w:rPr>
                <w:kern w:val="0"/>
                <w:sz w:val="24"/>
              </w:rPr>
              <w:t>施工期临时生产生活设施、材料堆放场、各类备件和机具库房等用地</w:t>
            </w:r>
            <w:r>
              <w:rPr>
                <w:sz w:val="24"/>
                <w:szCs w:val="32"/>
              </w:rPr>
              <w:t>，包括临时装配场、施工营地、临时堆放场，根据场址周围实际情况，选择合适的临时用地并办理相关用地手续。</w:t>
            </w:r>
          </w:p>
          <w:p w14:paraId="40BDB8A1">
            <w:pPr>
              <w:widowControl/>
              <w:spacing w:line="360" w:lineRule="auto"/>
              <w:ind w:firstLine="480" w:firstLineChars="200"/>
              <w:jc w:val="left"/>
              <w:rPr>
                <w:kern w:val="0"/>
                <w:sz w:val="24"/>
              </w:rPr>
            </w:pPr>
            <w:r>
              <w:rPr>
                <w:rFonts w:hint="eastAsia" w:ascii="宋体" w:hAnsi="宋体" w:cs="宋体"/>
                <w:kern w:val="0"/>
                <w:sz w:val="24"/>
              </w:rPr>
              <w:t>①</w:t>
            </w:r>
            <w:r>
              <w:rPr>
                <w:kern w:val="0"/>
                <w:sz w:val="24"/>
              </w:rPr>
              <w:t>混凝土系统：项目使用商用混凝土，不新建拌合站；</w:t>
            </w:r>
          </w:p>
          <w:p w14:paraId="2DF6B259">
            <w:pPr>
              <w:adjustRightInd w:val="0"/>
              <w:snapToGrid w:val="0"/>
              <w:spacing w:line="360" w:lineRule="auto"/>
              <w:ind w:firstLine="480" w:firstLineChars="200"/>
              <w:rPr>
                <w:sz w:val="24"/>
                <w:szCs w:val="32"/>
              </w:rPr>
            </w:pPr>
            <w:r>
              <w:rPr>
                <w:rFonts w:hint="eastAsia" w:ascii="宋体" w:hAnsi="宋体" w:cs="宋体"/>
                <w:sz w:val="24"/>
                <w:szCs w:val="32"/>
              </w:rPr>
              <w:t>②</w:t>
            </w:r>
            <w:r>
              <w:rPr>
                <w:sz w:val="24"/>
                <w:szCs w:val="32"/>
              </w:rPr>
              <w:t>临时装配场：临时装配场（含仓库）主要用于钢筋、简单钢结构等加工，根据工程所需机械设备，设小型修配系统及车辆停放场；仓库主要设木材、钢筋等材料库、设备仓库、综合仓库</w:t>
            </w:r>
            <w:r>
              <w:rPr>
                <w:sz w:val="24"/>
              </w:rPr>
              <w:t>。</w:t>
            </w:r>
          </w:p>
          <w:p w14:paraId="444EBFAB">
            <w:pPr>
              <w:adjustRightInd w:val="0"/>
              <w:snapToGrid w:val="0"/>
              <w:spacing w:line="360" w:lineRule="auto"/>
              <w:ind w:firstLine="480" w:firstLineChars="200"/>
              <w:rPr>
                <w:sz w:val="24"/>
                <w:szCs w:val="32"/>
              </w:rPr>
            </w:pPr>
            <w:r>
              <w:rPr>
                <w:rFonts w:hint="eastAsia" w:ascii="宋体" w:hAnsi="宋体" w:cs="宋体"/>
                <w:sz w:val="24"/>
                <w:szCs w:val="32"/>
              </w:rPr>
              <w:t>③</w:t>
            </w:r>
            <w:r>
              <w:rPr>
                <w:sz w:val="24"/>
                <w:szCs w:val="32"/>
              </w:rPr>
              <w:t>临时堆场：本工程所需的沙石料通过外购解决，不再设生产系统，考虑堆放至相应的材料仓库。光伏组件堆放材料仓库。光伏组件运抵现场后先堆放于材料仓库，后根据组件安装进度，经临时堆场暂存后分批运往安装阵列处。</w:t>
            </w:r>
          </w:p>
          <w:p w14:paraId="0E3A8C5D">
            <w:pPr>
              <w:adjustRightInd w:val="0"/>
              <w:snapToGrid w:val="0"/>
              <w:spacing w:line="360" w:lineRule="auto"/>
              <w:ind w:firstLine="480" w:firstLineChars="200"/>
              <w:rPr>
                <w:sz w:val="24"/>
                <w:szCs w:val="32"/>
              </w:rPr>
            </w:pPr>
            <w:r>
              <w:rPr>
                <w:rFonts w:hint="eastAsia" w:ascii="宋体" w:hAnsi="宋体" w:cs="宋体"/>
                <w:sz w:val="24"/>
                <w:szCs w:val="32"/>
              </w:rPr>
              <w:t>④</w:t>
            </w:r>
            <w:r>
              <w:rPr>
                <w:sz w:val="24"/>
                <w:szCs w:val="32"/>
              </w:rPr>
              <w:t>施工营地：根据本期光伏电站工程的建设规模和施工特点，设置施工人员</w:t>
            </w:r>
            <w:r>
              <w:rPr>
                <w:sz w:val="24"/>
              </w:rPr>
              <w:t>临时办公和生活营地</w:t>
            </w:r>
            <w:r>
              <w:rPr>
                <w:sz w:val="24"/>
                <w:szCs w:val="32"/>
              </w:rPr>
              <w:t>。</w:t>
            </w:r>
          </w:p>
          <w:p w14:paraId="0F320152">
            <w:pPr>
              <w:ind w:firstLine="482" w:firstLineChars="200"/>
              <w:jc w:val="center"/>
              <w:rPr>
                <w:b/>
                <w:bCs/>
                <w:sz w:val="24"/>
              </w:rPr>
            </w:pPr>
            <w:r>
              <w:rPr>
                <w:b/>
                <w:bCs/>
                <w:sz w:val="24"/>
              </w:rPr>
              <w:t>表2-</w:t>
            </w:r>
            <w:r>
              <w:rPr>
                <w:rFonts w:hint="eastAsia"/>
                <w:b/>
                <w:bCs/>
                <w:sz w:val="24"/>
                <w:lang w:val="en-US" w:eastAsia="zh-CN"/>
              </w:rPr>
              <w:t>9</w:t>
            </w:r>
            <w:r>
              <w:rPr>
                <w:b/>
                <w:bCs/>
                <w:sz w:val="24"/>
              </w:rPr>
              <w:t xml:space="preserve"> 施工生产区布置一览表</w:t>
            </w:r>
          </w:p>
          <w:tbl>
            <w:tblPr>
              <w:tblStyle w:val="80"/>
              <w:tblW w:w="87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0"/>
              <w:gridCol w:w="1792"/>
              <w:gridCol w:w="1949"/>
              <w:gridCol w:w="1545"/>
              <w:gridCol w:w="1842"/>
            </w:tblGrid>
            <w:tr w14:paraId="061F5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00" w:type="dxa"/>
                  <w:tcBorders>
                    <w:top w:val="single" w:color="auto" w:sz="4" w:space="0"/>
                    <w:left w:val="single" w:color="auto" w:sz="4" w:space="0"/>
                    <w:bottom w:val="single" w:color="auto" w:sz="4" w:space="0"/>
                    <w:right w:val="single" w:color="auto" w:sz="4" w:space="0"/>
                  </w:tcBorders>
                  <w:vAlign w:val="center"/>
                </w:tcPr>
                <w:p w14:paraId="7C345695">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b/>
                      <w:bCs/>
                      <w:kern w:val="2"/>
                      <w:sz w:val="21"/>
                      <w:szCs w:val="21"/>
                      <w:lang w:eastAsia="en-US"/>
                    </w:rPr>
                    <w:t>类型</w:t>
                  </w:r>
                </w:p>
              </w:tc>
              <w:tc>
                <w:tcPr>
                  <w:tcW w:w="1792" w:type="dxa"/>
                  <w:tcBorders>
                    <w:top w:val="single" w:color="auto" w:sz="4" w:space="0"/>
                    <w:left w:val="single" w:color="auto" w:sz="4" w:space="0"/>
                    <w:bottom w:val="single" w:color="auto" w:sz="4" w:space="0"/>
                    <w:right w:val="single" w:color="auto" w:sz="4" w:space="0"/>
                  </w:tcBorders>
                  <w:vAlign w:val="center"/>
                </w:tcPr>
                <w:p w14:paraId="36499F0D">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kern w:val="2"/>
                      <w:sz w:val="21"/>
                      <w:szCs w:val="21"/>
                      <w:lang w:val="en-US" w:eastAsia="zh-CN"/>
                    </w:rPr>
                  </w:pPr>
                  <w:r>
                    <w:rPr>
                      <w:rFonts w:ascii="Times New Roman" w:hAnsi="Times New Roman"/>
                      <w:b/>
                      <w:bCs/>
                      <w:kern w:val="2"/>
                      <w:sz w:val="21"/>
                      <w:szCs w:val="21"/>
                      <w:lang w:eastAsia="en-US"/>
                    </w:rPr>
                    <w:t>场地名称</w:t>
                  </w:r>
                </w:p>
              </w:tc>
              <w:tc>
                <w:tcPr>
                  <w:tcW w:w="1949" w:type="dxa"/>
                  <w:tcBorders>
                    <w:top w:val="single" w:color="auto" w:sz="4" w:space="0"/>
                    <w:left w:val="single" w:color="auto" w:sz="4" w:space="0"/>
                    <w:bottom w:val="single" w:color="auto" w:sz="4" w:space="0"/>
                    <w:right w:val="single" w:color="auto" w:sz="4" w:space="0"/>
                  </w:tcBorders>
                  <w:vAlign w:val="center"/>
                </w:tcPr>
                <w:p w14:paraId="772CBB7A">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kern w:val="2"/>
                      <w:sz w:val="21"/>
                      <w:szCs w:val="21"/>
                      <w:lang w:val="en-US" w:eastAsia="zh-CN"/>
                    </w:rPr>
                  </w:pPr>
                  <w:r>
                    <w:rPr>
                      <w:rFonts w:ascii="Times New Roman" w:hAnsi="Times New Roman"/>
                      <w:b/>
                      <w:bCs/>
                      <w:kern w:val="2"/>
                      <w:sz w:val="21"/>
                      <w:szCs w:val="21"/>
                      <w:lang w:eastAsia="en-US"/>
                    </w:rPr>
                    <w:t>位置</w:t>
                  </w:r>
                </w:p>
              </w:tc>
              <w:tc>
                <w:tcPr>
                  <w:tcW w:w="1545" w:type="dxa"/>
                  <w:tcBorders>
                    <w:top w:val="single" w:color="auto" w:sz="4" w:space="0"/>
                    <w:left w:val="single" w:color="auto" w:sz="4" w:space="0"/>
                    <w:bottom w:val="single" w:color="auto" w:sz="4" w:space="0"/>
                    <w:right w:val="single" w:color="auto" w:sz="4" w:space="0"/>
                  </w:tcBorders>
                  <w:vAlign w:val="center"/>
                </w:tcPr>
                <w:p w14:paraId="33990736">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ascii="Times New Roman" w:hAnsi="Times New Roman"/>
                      <w:b/>
                      <w:bCs/>
                      <w:kern w:val="2"/>
                      <w:sz w:val="21"/>
                      <w:szCs w:val="21"/>
                      <w:lang w:eastAsia="en-US"/>
                    </w:rPr>
                    <w:t>占地面积（m</w:t>
                  </w:r>
                  <w:r>
                    <w:rPr>
                      <w:rFonts w:ascii="Times New Roman" w:hAnsi="Times New Roman"/>
                      <w:b/>
                      <w:bCs/>
                      <w:kern w:val="2"/>
                      <w:sz w:val="21"/>
                      <w:szCs w:val="21"/>
                      <w:vertAlign w:val="superscript"/>
                      <w:lang w:eastAsia="en-US"/>
                    </w:rPr>
                    <w:t>2</w:t>
                  </w:r>
                  <w:r>
                    <w:rPr>
                      <w:rFonts w:ascii="Times New Roman" w:hAnsi="Times New Roman"/>
                      <w:b/>
                      <w:bCs/>
                      <w:kern w:val="2"/>
                      <w:sz w:val="21"/>
                      <w:szCs w:val="21"/>
                      <w:lang w:eastAsia="en-US"/>
                    </w:rPr>
                    <w:t>）</w:t>
                  </w:r>
                </w:p>
              </w:tc>
              <w:tc>
                <w:tcPr>
                  <w:tcW w:w="1842" w:type="dxa"/>
                  <w:tcBorders>
                    <w:top w:val="single" w:color="auto" w:sz="4" w:space="0"/>
                    <w:left w:val="single" w:color="auto" w:sz="4" w:space="0"/>
                    <w:bottom w:val="single" w:color="auto" w:sz="4" w:space="0"/>
                    <w:right w:val="single" w:color="auto" w:sz="4" w:space="0"/>
                  </w:tcBorders>
                  <w:vAlign w:val="center"/>
                </w:tcPr>
                <w:p w14:paraId="4C9AE9DB">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b/>
                      <w:bCs/>
                      <w:kern w:val="2"/>
                      <w:sz w:val="21"/>
                      <w:szCs w:val="21"/>
                      <w:lang w:eastAsia="en-US"/>
                    </w:rPr>
                    <w:t>备注</w:t>
                  </w:r>
                </w:p>
              </w:tc>
            </w:tr>
            <w:tr w14:paraId="5CDD1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00" w:type="dxa"/>
                  <w:vMerge w:val="restart"/>
                  <w:tcBorders>
                    <w:top w:val="single" w:color="auto" w:sz="4" w:space="0"/>
                    <w:left w:val="single" w:color="auto" w:sz="4" w:space="0"/>
                    <w:bottom w:val="single" w:color="auto" w:sz="4" w:space="0"/>
                    <w:right w:val="single" w:color="auto" w:sz="4" w:space="0"/>
                  </w:tcBorders>
                  <w:vAlign w:val="center"/>
                </w:tcPr>
                <w:p w14:paraId="084E391A">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光伏阵列施工生产区域</w:t>
                  </w:r>
                </w:p>
              </w:tc>
              <w:tc>
                <w:tcPr>
                  <w:tcW w:w="1792" w:type="dxa"/>
                  <w:tcBorders>
                    <w:top w:val="single" w:color="auto" w:sz="4" w:space="0"/>
                    <w:left w:val="single" w:color="auto" w:sz="4" w:space="0"/>
                    <w:bottom w:val="single" w:color="auto" w:sz="4" w:space="0"/>
                    <w:right w:val="single" w:color="auto" w:sz="4" w:space="0"/>
                  </w:tcBorders>
                  <w:vAlign w:val="center"/>
                </w:tcPr>
                <w:p w14:paraId="375B0F81">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hint="eastAsia" w:ascii="Times New Roman" w:hAnsi="Times New Roman"/>
                      <w:kern w:val="2"/>
                      <w:sz w:val="21"/>
                      <w:szCs w:val="21"/>
                      <w:lang w:val="en-US" w:eastAsia="zh-CN"/>
                    </w:rPr>
                    <w:t>8</w:t>
                  </w:r>
                  <w:r>
                    <w:rPr>
                      <w:rFonts w:ascii="Times New Roman" w:hAnsi="Times New Roman"/>
                      <w:kern w:val="2"/>
                      <w:sz w:val="21"/>
                      <w:szCs w:val="21"/>
                      <w:lang w:eastAsia="en-US"/>
                    </w:rPr>
                    <w:t>#施工生产区</w:t>
                  </w:r>
                </w:p>
              </w:tc>
              <w:tc>
                <w:tcPr>
                  <w:tcW w:w="1949" w:type="dxa"/>
                  <w:tcBorders>
                    <w:top w:val="single" w:color="auto" w:sz="4" w:space="0"/>
                    <w:left w:val="single" w:color="auto" w:sz="4" w:space="0"/>
                    <w:bottom w:val="single" w:color="auto" w:sz="4" w:space="0"/>
                    <w:right w:val="single" w:color="auto" w:sz="4" w:space="0"/>
                  </w:tcBorders>
                  <w:vAlign w:val="center"/>
                </w:tcPr>
                <w:p w14:paraId="3ECE2A70">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hint="eastAsia" w:ascii="Times New Roman" w:hAnsi="Times New Roman"/>
                      <w:kern w:val="2"/>
                      <w:sz w:val="21"/>
                      <w:szCs w:val="21"/>
                      <w:lang w:val="en-US" w:eastAsia="zh-CN"/>
                    </w:rPr>
                    <w:t>8</w:t>
                  </w:r>
                  <w:r>
                    <w:rPr>
                      <w:rFonts w:ascii="Times New Roman" w:hAnsi="Times New Roman"/>
                      <w:kern w:val="2"/>
                      <w:sz w:val="21"/>
                      <w:szCs w:val="21"/>
                      <w:lang w:eastAsia="en-US"/>
                    </w:rPr>
                    <w:t>#鱼塘的</w:t>
                  </w:r>
                  <w:r>
                    <w:rPr>
                      <w:rFonts w:hint="eastAsia"/>
                      <w:kern w:val="2"/>
                      <w:sz w:val="21"/>
                      <w:szCs w:val="21"/>
                      <w:lang w:val="en-US" w:eastAsia="zh-CN"/>
                    </w:rPr>
                    <w:t>东</w:t>
                  </w:r>
                  <w:r>
                    <w:rPr>
                      <w:rFonts w:ascii="Times New Roman" w:hAnsi="Times New Roman"/>
                      <w:kern w:val="2"/>
                      <w:sz w:val="21"/>
                      <w:szCs w:val="21"/>
                      <w:lang w:eastAsia="en-US"/>
                    </w:rPr>
                    <w:t>部</w:t>
                  </w:r>
                </w:p>
              </w:tc>
              <w:tc>
                <w:tcPr>
                  <w:tcW w:w="1545" w:type="dxa"/>
                  <w:tcBorders>
                    <w:top w:val="single" w:color="auto" w:sz="4" w:space="0"/>
                    <w:left w:val="single" w:color="auto" w:sz="4" w:space="0"/>
                    <w:bottom w:val="single" w:color="auto" w:sz="4" w:space="0"/>
                    <w:right w:val="single" w:color="auto" w:sz="4" w:space="0"/>
                  </w:tcBorders>
                  <w:vAlign w:val="center"/>
                </w:tcPr>
                <w:p w14:paraId="46305413">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ascii="Times New Roman" w:hAnsi="Times New Roman"/>
                      <w:kern w:val="2"/>
                      <w:sz w:val="21"/>
                      <w:szCs w:val="21"/>
                      <w:lang w:eastAsia="en-US"/>
                    </w:rPr>
                    <w:t>1000</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6127D8BB">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结合光伏阵列区</w:t>
                  </w:r>
                </w:p>
                <w:p w14:paraId="0ABD1049">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的塘埂区域进行</w:t>
                  </w:r>
                </w:p>
                <w:p w14:paraId="5A8E993F">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布设</w:t>
                  </w:r>
                </w:p>
              </w:tc>
            </w:tr>
            <w:tr w14:paraId="53209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00" w:type="dxa"/>
                  <w:vMerge w:val="continue"/>
                  <w:tcBorders>
                    <w:top w:val="single" w:color="auto" w:sz="4" w:space="0"/>
                    <w:left w:val="single" w:color="auto" w:sz="4" w:space="0"/>
                    <w:bottom w:val="single" w:color="auto" w:sz="4" w:space="0"/>
                    <w:right w:val="single" w:color="auto" w:sz="4" w:space="0"/>
                  </w:tcBorders>
                  <w:vAlign w:val="center"/>
                </w:tcPr>
                <w:p w14:paraId="469580D8">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p>
              </w:tc>
              <w:tc>
                <w:tcPr>
                  <w:tcW w:w="1792" w:type="dxa"/>
                  <w:tcBorders>
                    <w:top w:val="single" w:color="auto" w:sz="4" w:space="0"/>
                    <w:left w:val="single" w:color="auto" w:sz="4" w:space="0"/>
                    <w:bottom w:val="single" w:color="auto" w:sz="4" w:space="0"/>
                    <w:right w:val="single" w:color="auto" w:sz="4" w:space="0"/>
                  </w:tcBorders>
                  <w:vAlign w:val="center"/>
                </w:tcPr>
                <w:p w14:paraId="53D3F859">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hint="eastAsia" w:ascii="Times New Roman" w:hAnsi="Times New Roman"/>
                      <w:kern w:val="2"/>
                      <w:sz w:val="21"/>
                      <w:szCs w:val="21"/>
                      <w:lang w:val="en-US" w:eastAsia="zh-CN"/>
                    </w:rPr>
                    <w:t>5</w:t>
                  </w:r>
                  <w:r>
                    <w:rPr>
                      <w:rFonts w:ascii="Times New Roman" w:hAnsi="Times New Roman"/>
                      <w:kern w:val="2"/>
                      <w:sz w:val="21"/>
                      <w:szCs w:val="21"/>
                      <w:lang w:eastAsia="en-US"/>
                    </w:rPr>
                    <w:t>#</w:t>
                  </w:r>
                  <w:r>
                    <w:rPr>
                      <w:rFonts w:hint="eastAsia" w:ascii="Times New Roman" w:hAnsi="Times New Roman"/>
                      <w:kern w:val="2"/>
                      <w:sz w:val="21"/>
                      <w:szCs w:val="21"/>
                      <w:lang w:val="en-US" w:eastAsia="zh-CN"/>
                    </w:rPr>
                    <w:t>北</w:t>
                  </w:r>
                  <w:r>
                    <w:rPr>
                      <w:rFonts w:ascii="Times New Roman" w:hAnsi="Times New Roman"/>
                      <w:kern w:val="2"/>
                      <w:sz w:val="21"/>
                      <w:szCs w:val="21"/>
                      <w:lang w:eastAsia="en-US"/>
                    </w:rPr>
                    <w:t>施工生产区</w:t>
                  </w:r>
                </w:p>
              </w:tc>
              <w:tc>
                <w:tcPr>
                  <w:tcW w:w="1949" w:type="dxa"/>
                  <w:tcBorders>
                    <w:top w:val="single" w:color="auto" w:sz="4" w:space="0"/>
                    <w:left w:val="single" w:color="auto" w:sz="4" w:space="0"/>
                    <w:bottom w:val="single" w:color="auto" w:sz="4" w:space="0"/>
                    <w:right w:val="single" w:color="auto" w:sz="4" w:space="0"/>
                  </w:tcBorders>
                  <w:vAlign w:val="center"/>
                </w:tcPr>
                <w:p w14:paraId="3B7354C6">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hint="eastAsia" w:ascii="Times New Roman" w:hAnsi="Times New Roman"/>
                      <w:kern w:val="2"/>
                      <w:sz w:val="21"/>
                      <w:szCs w:val="21"/>
                      <w:lang w:val="en-US" w:eastAsia="zh-CN"/>
                    </w:rPr>
                    <w:t>5</w:t>
                  </w:r>
                  <w:r>
                    <w:rPr>
                      <w:rFonts w:ascii="Times New Roman" w:hAnsi="Times New Roman"/>
                      <w:kern w:val="2"/>
                      <w:sz w:val="21"/>
                      <w:szCs w:val="21"/>
                      <w:lang w:eastAsia="en-US"/>
                    </w:rPr>
                    <w:t>#</w:t>
                  </w:r>
                  <w:r>
                    <w:rPr>
                      <w:rFonts w:hint="eastAsia" w:ascii="Times New Roman" w:hAnsi="Times New Roman"/>
                      <w:kern w:val="2"/>
                      <w:sz w:val="21"/>
                      <w:szCs w:val="21"/>
                      <w:lang w:val="en-US" w:eastAsia="zh-CN"/>
                    </w:rPr>
                    <w:t>北</w:t>
                  </w:r>
                  <w:r>
                    <w:rPr>
                      <w:rFonts w:ascii="Times New Roman" w:hAnsi="Times New Roman"/>
                      <w:kern w:val="2"/>
                      <w:sz w:val="21"/>
                      <w:szCs w:val="21"/>
                      <w:lang w:eastAsia="en-US"/>
                    </w:rPr>
                    <w:t>鱼塘的</w:t>
                  </w:r>
                  <w:r>
                    <w:rPr>
                      <w:rFonts w:hint="eastAsia"/>
                      <w:kern w:val="2"/>
                      <w:sz w:val="21"/>
                      <w:szCs w:val="21"/>
                      <w:lang w:val="en-US" w:eastAsia="zh-CN"/>
                    </w:rPr>
                    <w:t>南</w:t>
                  </w:r>
                  <w:r>
                    <w:rPr>
                      <w:rFonts w:ascii="Times New Roman" w:hAnsi="Times New Roman"/>
                      <w:kern w:val="2"/>
                      <w:sz w:val="21"/>
                      <w:szCs w:val="21"/>
                      <w:lang w:eastAsia="en-US"/>
                    </w:rPr>
                    <w:t>侧</w:t>
                  </w:r>
                </w:p>
              </w:tc>
              <w:tc>
                <w:tcPr>
                  <w:tcW w:w="1545" w:type="dxa"/>
                  <w:tcBorders>
                    <w:top w:val="single" w:color="auto" w:sz="4" w:space="0"/>
                    <w:left w:val="single" w:color="auto" w:sz="4" w:space="0"/>
                    <w:bottom w:val="single" w:color="auto" w:sz="4" w:space="0"/>
                    <w:right w:val="single" w:color="auto" w:sz="4" w:space="0"/>
                  </w:tcBorders>
                  <w:vAlign w:val="center"/>
                </w:tcPr>
                <w:p w14:paraId="53B3E662">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ascii="Times New Roman" w:hAnsi="Times New Roman"/>
                      <w:kern w:val="2"/>
                      <w:sz w:val="21"/>
                      <w:szCs w:val="21"/>
                      <w:lang w:eastAsia="en-US"/>
                    </w:rPr>
                    <w:t>1000</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FA07BC8">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p>
              </w:tc>
            </w:tr>
            <w:tr w14:paraId="74193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00" w:type="dxa"/>
                  <w:vMerge w:val="continue"/>
                  <w:tcBorders>
                    <w:top w:val="single" w:color="auto" w:sz="4" w:space="0"/>
                    <w:left w:val="single" w:color="auto" w:sz="4" w:space="0"/>
                    <w:bottom w:val="single" w:color="auto" w:sz="4" w:space="0"/>
                    <w:right w:val="single" w:color="auto" w:sz="4" w:space="0"/>
                  </w:tcBorders>
                  <w:vAlign w:val="center"/>
                </w:tcPr>
                <w:p w14:paraId="38D0BCEF">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p>
              </w:tc>
              <w:tc>
                <w:tcPr>
                  <w:tcW w:w="1792" w:type="dxa"/>
                  <w:tcBorders>
                    <w:top w:val="single" w:color="auto" w:sz="4" w:space="0"/>
                    <w:left w:val="single" w:color="auto" w:sz="4" w:space="0"/>
                    <w:bottom w:val="single" w:color="auto" w:sz="4" w:space="0"/>
                    <w:right w:val="single" w:color="auto" w:sz="4" w:space="0"/>
                  </w:tcBorders>
                  <w:vAlign w:val="center"/>
                </w:tcPr>
                <w:p w14:paraId="083C2053">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hint="eastAsia" w:ascii="Times New Roman" w:hAnsi="Times New Roman"/>
                      <w:kern w:val="2"/>
                      <w:sz w:val="21"/>
                      <w:szCs w:val="21"/>
                      <w:lang w:val="en-US" w:eastAsia="zh-CN"/>
                    </w:rPr>
                    <w:t>5</w:t>
                  </w:r>
                  <w:r>
                    <w:rPr>
                      <w:rFonts w:ascii="Times New Roman" w:hAnsi="Times New Roman"/>
                      <w:kern w:val="2"/>
                      <w:sz w:val="21"/>
                      <w:szCs w:val="21"/>
                      <w:lang w:eastAsia="en-US"/>
                    </w:rPr>
                    <w:t>#</w:t>
                  </w:r>
                  <w:r>
                    <w:rPr>
                      <w:rFonts w:hint="eastAsia" w:ascii="Times New Roman" w:hAnsi="Times New Roman"/>
                      <w:kern w:val="2"/>
                      <w:sz w:val="21"/>
                      <w:szCs w:val="21"/>
                      <w:lang w:val="en-US" w:eastAsia="zh-CN"/>
                    </w:rPr>
                    <w:t>南</w:t>
                  </w:r>
                  <w:r>
                    <w:rPr>
                      <w:rFonts w:ascii="Times New Roman" w:hAnsi="Times New Roman"/>
                      <w:kern w:val="2"/>
                      <w:sz w:val="21"/>
                      <w:szCs w:val="21"/>
                      <w:lang w:eastAsia="en-US"/>
                    </w:rPr>
                    <w:t>施工生产区</w:t>
                  </w:r>
                </w:p>
              </w:tc>
              <w:tc>
                <w:tcPr>
                  <w:tcW w:w="1949" w:type="dxa"/>
                  <w:tcBorders>
                    <w:top w:val="single" w:color="auto" w:sz="4" w:space="0"/>
                    <w:left w:val="single" w:color="auto" w:sz="4" w:space="0"/>
                    <w:bottom w:val="single" w:color="auto" w:sz="4" w:space="0"/>
                    <w:right w:val="single" w:color="auto" w:sz="4" w:space="0"/>
                  </w:tcBorders>
                  <w:vAlign w:val="center"/>
                </w:tcPr>
                <w:p w14:paraId="3C46D238">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hint="eastAsia" w:ascii="Times New Roman" w:hAnsi="Times New Roman"/>
                      <w:kern w:val="2"/>
                      <w:sz w:val="21"/>
                      <w:szCs w:val="21"/>
                      <w:lang w:val="en-US" w:eastAsia="zh-CN"/>
                    </w:rPr>
                    <w:t>5</w:t>
                  </w:r>
                  <w:r>
                    <w:rPr>
                      <w:rFonts w:ascii="Times New Roman" w:hAnsi="Times New Roman"/>
                      <w:kern w:val="2"/>
                      <w:sz w:val="21"/>
                      <w:szCs w:val="21"/>
                      <w:lang w:eastAsia="en-US"/>
                    </w:rPr>
                    <w:t>#</w:t>
                  </w:r>
                  <w:r>
                    <w:rPr>
                      <w:rFonts w:hint="eastAsia" w:ascii="Times New Roman" w:hAnsi="Times New Roman"/>
                      <w:kern w:val="2"/>
                      <w:sz w:val="21"/>
                      <w:szCs w:val="21"/>
                      <w:lang w:val="en-US" w:eastAsia="zh-CN"/>
                    </w:rPr>
                    <w:t>南</w:t>
                  </w:r>
                  <w:r>
                    <w:rPr>
                      <w:rFonts w:ascii="Times New Roman" w:hAnsi="Times New Roman"/>
                      <w:kern w:val="2"/>
                      <w:sz w:val="21"/>
                      <w:szCs w:val="21"/>
                      <w:lang w:eastAsia="en-US"/>
                    </w:rPr>
                    <w:t>鱼塘的北侧</w:t>
                  </w:r>
                </w:p>
              </w:tc>
              <w:tc>
                <w:tcPr>
                  <w:tcW w:w="1545" w:type="dxa"/>
                  <w:tcBorders>
                    <w:top w:val="single" w:color="auto" w:sz="4" w:space="0"/>
                    <w:left w:val="single" w:color="auto" w:sz="4" w:space="0"/>
                    <w:bottom w:val="single" w:color="auto" w:sz="4" w:space="0"/>
                    <w:right w:val="single" w:color="auto" w:sz="4" w:space="0"/>
                  </w:tcBorders>
                  <w:vAlign w:val="center"/>
                </w:tcPr>
                <w:p w14:paraId="22DA462C">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ascii="Times New Roman" w:hAnsi="Times New Roman"/>
                      <w:kern w:val="2"/>
                      <w:sz w:val="21"/>
                      <w:szCs w:val="21"/>
                      <w:lang w:eastAsia="en-US"/>
                    </w:rPr>
                    <w:t>1000</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E4C3301">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p>
              </w:tc>
            </w:tr>
            <w:tr w14:paraId="1CF5C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00" w:type="dxa"/>
                  <w:vMerge w:val="continue"/>
                  <w:tcBorders>
                    <w:top w:val="single" w:color="auto" w:sz="4" w:space="0"/>
                    <w:left w:val="single" w:color="auto" w:sz="4" w:space="0"/>
                    <w:bottom w:val="single" w:color="auto" w:sz="4" w:space="0"/>
                    <w:right w:val="single" w:color="auto" w:sz="4" w:space="0"/>
                  </w:tcBorders>
                  <w:vAlign w:val="center"/>
                </w:tcPr>
                <w:p w14:paraId="5A4B149A">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p>
              </w:tc>
              <w:tc>
                <w:tcPr>
                  <w:tcW w:w="1792" w:type="dxa"/>
                  <w:tcBorders>
                    <w:top w:val="single" w:color="auto" w:sz="4" w:space="0"/>
                    <w:left w:val="single" w:color="auto" w:sz="4" w:space="0"/>
                    <w:bottom w:val="single" w:color="auto" w:sz="4" w:space="0"/>
                    <w:right w:val="single" w:color="auto" w:sz="4" w:space="0"/>
                  </w:tcBorders>
                  <w:vAlign w:val="center"/>
                </w:tcPr>
                <w:p w14:paraId="1612D8F1">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ascii="Times New Roman" w:hAnsi="Times New Roman"/>
                      <w:kern w:val="2"/>
                      <w:sz w:val="21"/>
                      <w:szCs w:val="21"/>
                      <w:lang w:eastAsia="en-US"/>
                    </w:rPr>
                    <w:t>小计</w:t>
                  </w:r>
                </w:p>
              </w:tc>
              <w:tc>
                <w:tcPr>
                  <w:tcW w:w="1949" w:type="dxa"/>
                  <w:tcBorders>
                    <w:top w:val="single" w:color="auto" w:sz="4" w:space="0"/>
                    <w:left w:val="single" w:color="auto" w:sz="4" w:space="0"/>
                    <w:bottom w:val="single" w:color="auto" w:sz="4" w:space="0"/>
                    <w:right w:val="single" w:color="auto" w:sz="4" w:space="0"/>
                  </w:tcBorders>
                  <w:vAlign w:val="center"/>
                </w:tcPr>
                <w:p w14:paraId="2D997176">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r>
                    <w:rPr>
                      <w:rFonts w:ascii="Times New Roman" w:hAnsi="Times New Roman"/>
                      <w:kern w:val="2"/>
                      <w:sz w:val="21"/>
                      <w:szCs w:val="21"/>
                      <w:lang w:eastAsia="en-US"/>
                    </w:rPr>
                    <w:t>-</w:t>
                  </w:r>
                </w:p>
              </w:tc>
              <w:tc>
                <w:tcPr>
                  <w:tcW w:w="1545" w:type="dxa"/>
                  <w:tcBorders>
                    <w:top w:val="single" w:color="auto" w:sz="4" w:space="0"/>
                    <w:left w:val="single" w:color="auto" w:sz="4" w:space="0"/>
                    <w:bottom w:val="single" w:color="auto" w:sz="4" w:space="0"/>
                    <w:right w:val="single" w:color="auto" w:sz="4" w:space="0"/>
                  </w:tcBorders>
                  <w:vAlign w:val="center"/>
                </w:tcPr>
                <w:p w14:paraId="343AE90F">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kern w:val="2"/>
                      <w:sz w:val="21"/>
                      <w:szCs w:val="21"/>
                      <w:lang w:val="en-US" w:eastAsia="zh-CN"/>
                    </w:rPr>
                  </w:pPr>
                  <w:r>
                    <w:rPr>
                      <w:rFonts w:hint="eastAsia"/>
                      <w:kern w:val="2"/>
                      <w:sz w:val="21"/>
                      <w:szCs w:val="21"/>
                      <w:lang w:val="en-US" w:eastAsia="zh-CN"/>
                    </w:rPr>
                    <w:t>3000</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22D37F3C">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en-US"/>
                    </w:rPr>
                  </w:pPr>
                </w:p>
              </w:tc>
            </w:tr>
            <w:tr w14:paraId="68BF5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00" w:type="dxa"/>
                  <w:tcBorders>
                    <w:top w:val="single" w:color="auto" w:sz="4" w:space="0"/>
                    <w:left w:val="single" w:color="auto" w:sz="4" w:space="0"/>
                    <w:bottom w:val="single" w:color="auto" w:sz="4" w:space="0"/>
                    <w:right w:val="single" w:color="auto" w:sz="4" w:space="0"/>
                  </w:tcBorders>
                  <w:vAlign w:val="center"/>
                </w:tcPr>
                <w:p w14:paraId="5455DB25">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集电线路区施工生产区域</w:t>
                  </w:r>
                </w:p>
              </w:tc>
              <w:tc>
                <w:tcPr>
                  <w:tcW w:w="1792" w:type="dxa"/>
                  <w:tcBorders>
                    <w:top w:val="single" w:color="auto" w:sz="4" w:space="0"/>
                    <w:left w:val="single" w:color="auto" w:sz="4" w:space="0"/>
                    <w:bottom w:val="single" w:color="auto" w:sz="4" w:space="0"/>
                    <w:right w:val="single" w:color="auto" w:sz="4" w:space="0"/>
                  </w:tcBorders>
                  <w:vAlign w:val="center"/>
                </w:tcPr>
                <w:p w14:paraId="33E72F92">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牵张场施工区（6个塔基）</w:t>
                  </w:r>
                </w:p>
              </w:tc>
              <w:tc>
                <w:tcPr>
                  <w:tcW w:w="1949" w:type="dxa"/>
                  <w:tcBorders>
                    <w:top w:val="single" w:color="auto" w:sz="4" w:space="0"/>
                    <w:left w:val="single" w:color="auto" w:sz="4" w:space="0"/>
                    <w:bottom w:val="single" w:color="auto" w:sz="4" w:space="0"/>
                    <w:right w:val="single" w:color="auto" w:sz="4" w:space="0"/>
                  </w:tcBorders>
                  <w:vAlign w:val="center"/>
                </w:tcPr>
                <w:p w14:paraId="3CAAA7C3">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集电线路区塔基周边</w:t>
                  </w:r>
                </w:p>
              </w:tc>
              <w:tc>
                <w:tcPr>
                  <w:tcW w:w="1545" w:type="dxa"/>
                  <w:tcBorders>
                    <w:top w:val="single" w:color="auto" w:sz="4" w:space="0"/>
                    <w:left w:val="single" w:color="auto" w:sz="4" w:space="0"/>
                    <w:bottom w:val="single" w:color="auto" w:sz="4" w:space="0"/>
                    <w:right w:val="single" w:color="auto" w:sz="4" w:space="0"/>
                  </w:tcBorders>
                  <w:vAlign w:val="center"/>
                </w:tcPr>
                <w:p w14:paraId="3153778D">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1800</w:t>
                  </w:r>
                </w:p>
              </w:tc>
              <w:tc>
                <w:tcPr>
                  <w:tcW w:w="1842" w:type="dxa"/>
                  <w:tcBorders>
                    <w:top w:val="single" w:color="auto" w:sz="4" w:space="0"/>
                    <w:left w:val="single" w:color="auto" w:sz="4" w:space="0"/>
                    <w:bottom w:val="single" w:color="auto" w:sz="4" w:space="0"/>
                    <w:right w:val="single" w:color="auto" w:sz="4" w:space="0"/>
                  </w:tcBorders>
                  <w:vAlign w:val="center"/>
                </w:tcPr>
                <w:p w14:paraId="54445EC2">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单个牵张场按300m</w:t>
                  </w:r>
                  <w:r>
                    <w:rPr>
                      <w:rFonts w:ascii="Times New Roman" w:hAnsi="Times New Roman"/>
                      <w:kern w:val="2"/>
                      <w:sz w:val="21"/>
                      <w:szCs w:val="21"/>
                      <w:vertAlign w:val="superscript"/>
                      <w:lang w:eastAsia="zh-CN"/>
                    </w:rPr>
                    <w:t>2</w:t>
                  </w:r>
                  <w:r>
                    <w:rPr>
                      <w:rFonts w:ascii="Times New Roman" w:hAnsi="Times New Roman"/>
                      <w:kern w:val="2"/>
                      <w:sz w:val="21"/>
                      <w:szCs w:val="21"/>
                      <w:lang w:eastAsia="zh-CN"/>
                    </w:rPr>
                    <w:t>计算</w:t>
                  </w:r>
                </w:p>
              </w:tc>
            </w:tr>
            <w:tr w14:paraId="34AF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92" w:type="dxa"/>
                  <w:gridSpan w:val="2"/>
                  <w:tcBorders>
                    <w:top w:val="single" w:color="auto" w:sz="4" w:space="0"/>
                    <w:left w:val="single" w:color="auto" w:sz="4" w:space="0"/>
                    <w:bottom w:val="single" w:color="auto" w:sz="4" w:space="0"/>
                    <w:right w:val="single" w:color="auto" w:sz="4" w:space="0"/>
                  </w:tcBorders>
                  <w:vAlign w:val="center"/>
                </w:tcPr>
                <w:p w14:paraId="3B350355">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合计</w:t>
                  </w:r>
                </w:p>
              </w:tc>
              <w:tc>
                <w:tcPr>
                  <w:tcW w:w="1949" w:type="dxa"/>
                  <w:tcBorders>
                    <w:top w:val="single" w:color="auto" w:sz="4" w:space="0"/>
                    <w:left w:val="single" w:color="auto" w:sz="4" w:space="0"/>
                    <w:bottom w:val="single" w:color="auto" w:sz="4" w:space="0"/>
                    <w:right w:val="single" w:color="auto" w:sz="4" w:space="0"/>
                  </w:tcBorders>
                  <w:vAlign w:val="center"/>
                </w:tcPr>
                <w:p w14:paraId="685AAF6C">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w:t>
                  </w:r>
                </w:p>
              </w:tc>
              <w:tc>
                <w:tcPr>
                  <w:tcW w:w="1545" w:type="dxa"/>
                  <w:tcBorders>
                    <w:top w:val="single" w:color="auto" w:sz="4" w:space="0"/>
                    <w:left w:val="single" w:color="auto" w:sz="4" w:space="0"/>
                    <w:bottom w:val="single" w:color="auto" w:sz="4" w:space="0"/>
                    <w:right w:val="single" w:color="auto" w:sz="4" w:space="0"/>
                  </w:tcBorders>
                  <w:vAlign w:val="center"/>
                </w:tcPr>
                <w:p w14:paraId="7FBB4C75">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kern w:val="2"/>
                      <w:sz w:val="21"/>
                      <w:szCs w:val="21"/>
                      <w:lang w:val="en-US" w:eastAsia="zh-CN"/>
                    </w:rPr>
                  </w:pPr>
                  <w:r>
                    <w:rPr>
                      <w:rFonts w:hint="eastAsia"/>
                      <w:kern w:val="2"/>
                      <w:sz w:val="21"/>
                      <w:szCs w:val="21"/>
                      <w:lang w:val="en-US" w:eastAsia="zh-CN"/>
                    </w:rPr>
                    <w:t>4800</w:t>
                  </w:r>
                </w:p>
              </w:tc>
              <w:tc>
                <w:tcPr>
                  <w:tcW w:w="1842" w:type="dxa"/>
                  <w:tcBorders>
                    <w:top w:val="single" w:color="auto" w:sz="4" w:space="0"/>
                    <w:left w:val="single" w:color="auto" w:sz="4" w:space="0"/>
                    <w:bottom w:val="single" w:color="auto" w:sz="4" w:space="0"/>
                    <w:right w:val="single" w:color="auto" w:sz="4" w:space="0"/>
                  </w:tcBorders>
                  <w:vAlign w:val="center"/>
                </w:tcPr>
                <w:p w14:paraId="2D4DE4DD">
                  <w:pPr>
                    <w:pStyle w:val="76"/>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hAnsi="Times New Roman"/>
                      <w:kern w:val="2"/>
                      <w:sz w:val="21"/>
                      <w:szCs w:val="21"/>
                      <w:lang w:eastAsia="zh-CN"/>
                    </w:rPr>
                  </w:pPr>
                  <w:r>
                    <w:rPr>
                      <w:rFonts w:ascii="Times New Roman" w:hAnsi="Times New Roman"/>
                      <w:kern w:val="2"/>
                      <w:sz w:val="21"/>
                      <w:szCs w:val="21"/>
                      <w:lang w:eastAsia="zh-CN"/>
                    </w:rPr>
                    <w:t>-</w:t>
                  </w:r>
                </w:p>
              </w:tc>
            </w:tr>
          </w:tbl>
          <w:p w14:paraId="2CC9C732">
            <w:pPr>
              <w:spacing w:line="360" w:lineRule="auto"/>
              <w:ind w:firstLine="480" w:firstLineChars="200"/>
              <w:rPr>
                <w:kern w:val="0"/>
                <w:sz w:val="24"/>
              </w:rPr>
            </w:pPr>
            <w:r>
              <w:rPr>
                <w:rFonts w:hint="eastAsia" w:ascii="宋体" w:hAnsi="宋体" w:cs="宋体"/>
                <w:kern w:val="0"/>
                <w:sz w:val="24"/>
              </w:rPr>
              <w:t>⑤</w:t>
            </w:r>
            <w:r>
              <w:rPr>
                <w:kern w:val="0"/>
                <w:sz w:val="24"/>
              </w:rPr>
              <w:t>施工临时道路</w:t>
            </w:r>
          </w:p>
          <w:p w14:paraId="64705048">
            <w:pPr>
              <w:adjustRightInd w:val="0"/>
              <w:snapToGrid w:val="0"/>
              <w:spacing w:line="360" w:lineRule="auto"/>
              <w:ind w:firstLine="480" w:firstLineChars="200"/>
              <w:rPr>
                <w:b/>
                <w:bCs/>
                <w:kern w:val="2"/>
                <w:sz w:val="24"/>
                <w:szCs w:val="24"/>
              </w:rPr>
            </w:pPr>
            <w:r>
              <w:rPr>
                <w:sz w:val="24"/>
                <w:szCs w:val="32"/>
              </w:rPr>
              <w:t>施工期的临时便道宽度为4.0m~6m。电站施工完成后，在施工道路基础上修建宽度为4m的道路，永久道路均采用粒料路面。</w:t>
            </w:r>
          </w:p>
          <w:p w14:paraId="23689268">
            <w:pPr>
              <w:pStyle w:val="10"/>
              <w:keepNext w:val="0"/>
              <w:keepLines w:val="0"/>
              <w:pageBreakBefore w:val="0"/>
              <w:widowControl w:val="0"/>
              <w:numPr>
                <w:ilvl w:val="0"/>
                <w:numId w:val="5"/>
              </w:numPr>
              <w:kinsoku/>
              <w:wordWrap/>
              <w:overflowPunct/>
              <w:topLinePunct w:val="0"/>
              <w:autoSpaceDE/>
              <w:autoSpaceDN/>
              <w:bidi w:val="0"/>
              <w:adjustRightInd/>
              <w:snapToGrid/>
              <w:spacing w:before="0" w:after="0" w:line="360" w:lineRule="auto"/>
              <w:ind w:left="0" w:leftChars="0" w:right="0" w:firstLine="482" w:firstLineChars="200"/>
              <w:textAlignment w:val="auto"/>
              <w:rPr>
                <w:rFonts w:ascii="Times New Roman" w:hAnsi="Times New Roman" w:eastAsia="宋体" w:cs="Times New Roman"/>
                <w:b/>
                <w:bCs/>
                <w:kern w:val="2"/>
                <w:sz w:val="24"/>
                <w:szCs w:val="32"/>
                <w:lang w:val="en-US" w:eastAsia="zh-CN" w:bidi="ar-SA"/>
              </w:rPr>
            </w:pPr>
            <w:r>
              <w:rPr>
                <w:rFonts w:ascii="Times New Roman" w:hAnsi="Times New Roman" w:eastAsia="宋体" w:cs="Times New Roman"/>
                <w:b/>
                <w:bCs/>
                <w:kern w:val="2"/>
                <w:sz w:val="24"/>
                <w:szCs w:val="32"/>
                <w:lang w:val="en-US" w:eastAsia="zh-CN" w:bidi="ar-SA"/>
              </w:rPr>
              <w:t>施工期工艺流程简述</w:t>
            </w:r>
          </w:p>
          <w:p w14:paraId="4C6FAAB4">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本项目为渔光互补项目，光伏支架建设于水面上方，下部以高强度预应力混凝土管桩为基础支撑。</w:t>
            </w:r>
          </w:p>
          <w:p w14:paraId="1EE56032">
            <w:pPr>
              <w:pStyle w:val="167"/>
              <w:keepNext w:val="0"/>
              <w:keepLines w:val="0"/>
              <w:pageBreakBefore w:val="0"/>
              <w:widowControl w:val="0"/>
              <w:numPr>
                <w:ilvl w:val="0"/>
                <w:numId w:val="6"/>
              </w:numPr>
              <w:kinsoku/>
              <w:wordWrap/>
              <w:overflowPunct/>
              <w:topLinePunct w:val="0"/>
              <w:autoSpaceDE/>
              <w:autoSpaceDN/>
              <w:bidi w:val="0"/>
              <w:adjustRightInd/>
              <w:snapToGrid/>
              <w:spacing w:line="360" w:lineRule="auto"/>
              <w:ind w:left="5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施工准备</w:t>
            </w:r>
          </w:p>
          <w:p w14:paraId="6A3B4494">
            <w:pPr>
              <w:pStyle w:val="16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施工现场准备：按照设计单位提供的总平面图及设计给定的坐标点引测三个基准点作为桩位放样基准点，准备好打桩机及GPS。对光伏场区先进行排水晾干</w:t>
            </w:r>
            <w:r>
              <w:rPr>
                <w:rFonts w:hint="eastAsia" w:ascii="Times New Roman" w:hAnsi="Times New Roman" w:eastAsia="宋体" w:cs="Times New Roman"/>
                <w:kern w:val="2"/>
                <w:sz w:val="24"/>
                <w:szCs w:val="32"/>
                <w:lang w:val="en-US" w:eastAsia="zh-CN" w:bidi="ar-SA"/>
              </w:rPr>
              <w:t>（动工区域鱼塘水排放至其他未动工区域鱼塘，鱼塘里鱼类捞走，塘底的淤泥清捞做护坡，尾水不外排，待动工的鱼塘建设完成，再将水引至建设完成的鱼塘中）</w:t>
            </w:r>
            <w:r>
              <w:rPr>
                <w:rFonts w:ascii="Times New Roman" w:hAnsi="Times New Roman" w:eastAsia="宋体" w:cs="Times New Roman"/>
                <w:kern w:val="2"/>
                <w:sz w:val="24"/>
                <w:szCs w:val="32"/>
                <w:lang w:val="en-US" w:eastAsia="zh-CN" w:bidi="ar-SA"/>
              </w:rPr>
              <w:t>，场地具备施工条件后才允许打桩机进场。以GPS确定好现场至少三个基准点，并确定坐标和标高，以利于施工时的测量控制。检查进场及场内道路是否通畅，道路转角是否符合管桩运输车辆的要求。</w:t>
            </w:r>
          </w:p>
          <w:p w14:paraId="1DEF7302">
            <w:pPr>
              <w:pStyle w:val="167"/>
              <w:keepNext w:val="0"/>
              <w:keepLines w:val="0"/>
              <w:pageBreakBefore w:val="0"/>
              <w:widowControl w:val="0"/>
              <w:kinsoku/>
              <w:wordWrap/>
              <w:overflowPunct/>
              <w:topLinePunct w:val="0"/>
              <w:autoSpaceDE/>
              <w:autoSpaceDN/>
              <w:bidi w:val="0"/>
              <w:adjustRightInd/>
              <w:snapToGrid/>
              <w:spacing w:line="360" w:lineRule="auto"/>
              <w:ind w:left="5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（2）桩基施工</w:t>
            </w:r>
          </w:p>
          <w:p w14:paraId="49224663">
            <w:pPr>
              <w:pStyle w:val="167"/>
              <w:keepNext w:val="0"/>
              <w:keepLines w:val="0"/>
              <w:pageBreakBefore w:val="0"/>
              <w:widowControl w:val="0"/>
              <w:kinsoku/>
              <w:wordWrap/>
              <w:overflowPunct/>
              <w:topLinePunct w:val="0"/>
              <w:autoSpaceDE/>
              <w:autoSpaceDN/>
              <w:bidi w:val="0"/>
              <w:adjustRightInd/>
              <w:snapToGrid/>
              <w:spacing w:line="360" w:lineRule="auto"/>
              <w:ind w:left="586"/>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施工顺序及工艺流程为：测量、定位放线→打桩→垂直度控制→成桩。</w:t>
            </w:r>
          </w:p>
          <w:p w14:paraId="1CF477DC">
            <w:pPr>
              <w:pStyle w:val="16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hint="eastAsia" w:ascii="Times New Roman" w:hAnsi="Times New Roman" w:eastAsia="宋体" w:cs="Times New Roman"/>
                <w:kern w:val="2"/>
                <w:sz w:val="24"/>
                <w:szCs w:val="32"/>
                <w:lang w:val="en-US" w:eastAsia="zh-CN" w:bidi="ar-SA"/>
              </w:rPr>
              <w:t>a）</w:t>
            </w:r>
            <w:r>
              <w:rPr>
                <w:rFonts w:ascii="Times New Roman" w:hAnsi="Times New Roman" w:eastAsia="宋体" w:cs="Times New Roman"/>
                <w:kern w:val="2"/>
                <w:sz w:val="24"/>
                <w:szCs w:val="32"/>
                <w:lang w:val="en-US" w:eastAsia="zh-CN" w:bidi="ar-SA"/>
              </w:rPr>
              <w:t>用GPS 测量放线，确定基准点坐标及标高；</w:t>
            </w:r>
          </w:p>
          <w:p w14:paraId="574C38C0">
            <w:pPr>
              <w:pStyle w:val="16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b</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根据基准点建立水平面坐标系，根据设计的桩位分布图确定每个桩位在水平面坐标系的坐标；</w:t>
            </w:r>
          </w:p>
          <w:p w14:paraId="69EE2882">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c</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管桩托运到附近位置；</w:t>
            </w:r>
          </w:p>
          <w:p w14:paraId="0F3BE11B">
            <w:pPr>
              <w:pStyle w:val="167"/>
              <w:keepNext w:val="0"/>
              <w:keepLines w:val="0"/>
              <w:pageBreakBefore w:val="0"/>
              <w:widowControl w:val="0"/>
              <w:kinsoku/>
              <w:wordWrap/>
              <w:overflowPunct/>
              <w:topLinePunct w:val="0"/>
              <w:autoSpaceDE/>
              <w:autoSpaceDN/>
              <w:bidi w:val="0"/>
              <w:adjustRightInd/>
              <w:snapToGrid/>
              <w:spacing w:line="360" w:lineRule="auto"/>
              <w:ind w:right="3967"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d</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 xml:space="preserve">利用GPS进行定位，打桩机打桩； </w:t>
            </w:r>
          </w:p>
          <w:p w14:paraId="6A4A5FCD">
            <w:pPr>
              <w:pStyle w:val="167"/>
              <w:keepNext w:val="0"/>
              <w:keepLines w:val="0"/>
              <w:pageBreakBefore w:val="0"/>
              <w:widowControl w:val="0"/>
              <w:kinsoku/>
              <w:wordWrap/>
              <w:overflowPunct/>
              <w:topLinePunct w:val="0"/>
              <w:autoSpaceDE/>
              <w:autoSpaceDN/>
              <w:bidi w:val="0"/>
              <w:adjustRightInd/>
              <w:snapToGrid/>
              <w:spacing w:line="360" w:lineRule="auto"/>
              <w:ind w:right="3967"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e</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调整桩基的定位及垂直度；</w:t>
            </w:r>
          </w:p>
          <w:p w14:paraId="17F58EF1">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f</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静压打桩，并经常测量坐标及垂直度；</w:t>
            </w:r>
          </w:p>
          <w:p w14:paraId="387D7B22">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g</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打桩完毕，测量桩顶标高；检查桩基外观，检测施工质量；</w:t>
            </w:r>
          </w:p>
          <w:p w14:paraId="03D8E69B">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h</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重复以上步骤，将剩余桩基逐步打完。打桩完成，准备进行支架安装。</w:t>
            </w:r>
          </w:p>
          <w:p w14:paraId="1E14E6F8">
            <w:pPr>
              <w:pStyle w:val="167"/>
              <w:keepNext w:val="0"/>
              <w:keepLines w:val="0"/>
              <w:pageBreakBefore w:val="0"/>
              <w:widowControl w:val="0"/>
              <w:kinsoku/>
              <w:wordWrap/>
              <w:overflowPunct/>
              <w:topLinePunct w:val="0"/>
              <w:autoSpaceDE/>
              <w:autoSpaceDN/>
              <w:bidi w:val="0"/>
              <w:adjustRightInd/>
              <w:snapToGrid/>
              <w:spacing w:line="360" w:lineRule="auto"/>
              <w:ind w:left="5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（3）施工方法</w:t>
            </w:r>
          </w:p>
          <w:p w14:paraId="33795432">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a</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管桩进场验收：管桩进场时应提供厂家资质证明、营业执照、合格证、管桩大样、本批管桩的强度检测报告，所有资料的数据应真实、有效、正确。并上报监理单位审批后方可使用。对于进入现场的管桩由专人负责逐根检查管桩的观感、质量，用水检查是否存在微小裂缝。对于不合格的管桩作退场处理。</w:t>
            </w:r>
          </w:p>
          <w:p w14:paraId="7DFDC469">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b</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堆存吊运：按照审定的桩基施工总平面图进行检查，已经检查合格的桩应按照配桩表分别进行编号，且在桩身上划出桩深刻度线。现场堆放场地要平整、坚实，垫木间距依吊点位置确定，堆放层数不得超过3层，不同规格的桩必须分开堆放。卸桩时采用两点吊，可先将桩身吊起 0.2-0.3m，检查机身稳定性、制动器的可靠性和吊具的牢固性，确认一切状况良好后，再缓缓起吊、转向，下降时必须低速轻放，避免桩身受伤。</w:t>
            </w:r>
          </w:p>
          <w:p w14:paraId="0755C528">
            <w:pPr>
              <w:pStyle w:val="167"/>
              <w:keepNext w:val="0"/>
              <w:keepLines w:val="0"/>
              <w:pageBreakBefore w:val="0"/>
              <w:widowControl w:val="0"/>
              <w:kinsoku/>
              <w:wordWrap/>
              <w:overflowPunct/>
              <w:topLinePunct w:val="0"/>
              <w:autoSpaceDE/>
              <w:autoSpaceDN/>
              <w:bidi w:val="0"/>
              <w:adjustRightInd/>
              <w:snapToGrid/>
              <w:spacing w:line="360" w:lineRule="auto"/>
              <w:ind w:right="41"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c）放线定位：由专业的测量人员按照桩基施工总平面图进行放线定位，并派专人进行检查和复测。桩基轴线和桩样的定位点，设置在不受沉桩直接影响的地点</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并在施工中定期做好系统检查，定位点需要移动时，先检查其准确性，并做好测量记录。</w:t>
            </w:r>
          </w:p>
          <w:p w14:paraId="32C5F94F">
            <w:pPr>
              <w:pStyle w:val="167"/>
              <w:keepNext w:val="0"/>
              <w:keepLines w:val="0"/>
              <w:pageBreakBefore w:val="0"/>
              <w:widowControl w:val="0"/>
              <w:kinsoku/>
              <w:wordWrap/>
              <w:overflowPunct/>
              <w:topLinePunct w:val="0"/>
              <w:autoSpaceDE/>
              <w:autoSpaceDN/>
              <w:bidi w:val="0"/>
              <w:adjustRightInd/>
              <w:snapToGrid/>
              <w:spacing w:line="360" w:lineRule="auto"/>
              <w:ind w:right="41"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d）截桩：打桩前由施工队伍对桩身测量并标记，再使用手提切割机进行切割。切割前对切割机械进行接地设置，所有操作人员必须穿戴护目镜。</w:t>
            </w:r>
          </w:p>
          <w:p w14:paraId="1EB8FAE1">
            <w:pPr>
              <w:pStyle w:val="167"/>
              <w:keepNext w:val="0"/>
              <w:keepLines w:val="0"/>
              <w:pageBreakBefore w:val="0"/>
              <w:widowControl w:val="0"/>
              <w:kinsoku/>
              <w:wordWrap/>
              <w:overflowPunct/>
              <w:topLinePunct w:val="0"/>
              <w:autoSpaceDE/>
              <w:autoSpaceDN/>
              <w:bidi w:val="0"/>
              <w:adjustRightInd/>
              <w:snapToGrid/>
              <w:spacing w:line="360" w:lineRule="auto"/>
              <w:ind w:right="41"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e）打桩：桩尖就为、对中</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调直：首先调平桩机，然后通过夹桩器将桩夹紧，开动横向或纵向步履油缸，将桩尖对准桩位，并用经纬仪检查两个方向的 垂直度。第一节桩是否垂直是保证桩身质量的关键，其垂直度偏差控制在 0.5% 内，施工前要消除或避开地下障碍物。以防桩身偏斜。送桩轴线应与桩身轴线一致。</w:t>
            </w:r>
          </w:p>
          <w:p w14:paraId="0A4937F6">
            <w:pPr>
              <w:pStyle w:val="167"/>
              <w:keepNext w:val="0"/>
              <w:keepLines w:val="0"/>
              <w:pageBreakBefore w:val="0"/>
              <w:widowControl w:val="0"/>
              <w:kinsoku/>
              <w:wordWrap/>
              <w:overflowPunct/>
              <w:topLinePunct w:val="0"/>
              <w:autoSpaceDE/>
              <w:autoSpaceDN/>
              <w:bidi w:val="0"/>
              <w:adjustRightInd/>
              <w:snapToGrid/>
              <w:spacing w:line="360" w:lineRule="auto"/>
              <w:ind w:right="41"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f）压桩：当桩尖插入桩位，微微启动压桩油缸，当桩入土至 50cm 时测量员根据经纬仪观测到桩身倾斜情况指挥桩机驾驶员再次校正桩的垂直度和平台的水平度，保证桩的纵横双向垂直偏差不得超过0.5%。然后启动压桩油缸，把桩徐徐的压下。</w:t>
            </w:r>
          </w:p>
          <w:p w14:paraId="304878D5">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j）成桩：当压桩达到设计要求并进行第二次校核后，终止压桩。</w:t>
            </w:r>
          </w:p>
          <w:p w14:paraId="214B217B">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h）因为施工区域有 2/3 是水域，打桩施工完后，桩顶距离地板较高（6-7 米）在支架和组架施工前以方阵为单位搭设满堂脚手架。搭设高度距桩顶0.3~0.5 米，方便施工作业。</w:t>
            </w:r>
          </w:p>
          <w:p w14:paraId="6836445D">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（4）太阳能板支架安装</w:t>
            </w:r>
          </w:p>
          <w:p w14:paraId="2B2AC7F8">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光伏组件支架制造、安装工程包括固定支架的制作及安装施工。支架制作的关键问题是控制其焊接变形和连接螺栓孔的精度。保证单个构件工作的直线 度、扭曲及装配、加工后各构件连接的准确性等。要在下料、校正、组装、焊 接、构件校正、加工等各道工序的制造工艺上加以保证。</w:t>
            </w:r>
          </w:p>
          <w:p w14:paraId="6C0C6297">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总体施工顺序：测量(标高)就位准备→支架基础施工→安装抱箍→安装前、 后立柱→安装斜梁→安装斜撑调整角度→安装檩条→安装光伏组件等。</w:t>
            </w:r>
          </w:p>
          <w:p w14:paraId="009ADE3C">
            <w:pPr>
              <w:pStyle w:val="167"/>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支架安装：待管桩施工完成后进行支架安装，支架连接采用螺栓连接或焊接型式，大件型钢采用10t 吊车吊装。</w:t>
            </w:r>
          </w:p>
          <w:p w14:paraId="04F62FFC">
            <w:pPr>
              <w:pStyle w:val="16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2</w:t>
            </w:r>
            <w:r>
              <w:rPr>
                <w:rFonts w:hint="eastAsia" w:ascii="Times New Roman" w:hAnsi="Times New Roman" w:eastAsia="宋体" w:cs="Times New Roman"/>
                <w:kern w:val="2"/>
                <w:sz w:val="24"/>
                <w:szCs w:val="32"/>
                <w:lang w:val="en-US" w:eastAsia="zh-CN" w:bidi="ar-SA"/>
              </w:rPr>
              <w:t>）</w:t>
            </w:r>
            <w:r>
              <w:rPr>
                <w:rFonts w:ascii="Times New Roman" w:hAnsi="Times New Roman" w:eastAsia="宋体" w:cs="Times New Roman"/>
                <w:kern w:val="2"/>
                <w:sz w:val="24"/>
                <w:szCs w:val="32"/>
                <w:lang w:val="en-US" w:eastAsia="zh-CN" w:bidi="ar-SA"/>
              </w:rPr>
              <w:t>光伏组件安装本工程光伏组件全部采用固定式安装，待光伏组件支架基础、支架验收合格后，进行光伏组件的安装。光伏阵列支架表面应平整，固定光伏组件的支架面必须调整在同一平面；各组件应对整齐并成一直线。安装光伏组件前，应根据组件参数对每个光伏组件进行检查测试，其参数值应符合产品出厂指标。一般测试项目有：开路电压、短路电流。按电流分档相关要求，将同批次工作参数接近的组件在同一子方阵内；将额定工作电流相等或相接近的组件进行串连。安装光伏组件时，应轻拿轻放，防止硬物刮伤和撞击表面玻璃。组件在支架上的安装位置及接线盒排列方式应符合施工设计规定。组件固定面与支架表面不吻合时，应用铁垫片垫平后方可紧固连接螺丝，严禁用紧拧连接螺丝的方法使其吻合，固定螺栓应加防松垫片并拧紧。</w:t>
            </w:r>
          </w:p>
          <w:p w14:paraId="7343C030">
            <w:pPr>
              <w:pStyle w:val="167"/>
              <w:keepNext w:val="0"/>
              <w:keepLines w:val="0"/>
              <w:pageBreakBefore w:val="0"/>
              <w:widowControl w:val="0"/>
              <w:kinsoku/>
              <w:wordWrap/>
              <w:overflowPunct/>
              <w:topLinePunct w:val="0"/>
              <w:autoSpaceDE/>
              <w:autoSpaceDN/>
              <w:bidi w:val="0"/>
              <w:adjustRightInd/>
              <w:snapToGrid/>
              <w:spacing w:line="360" w:lineRule="auto"/>
              <w:ind w:left="584"/>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2、开挖土方</w:t>
            </w:r>
          </w:p>
          <w:p w14:paraId="7252CA97">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在建设过程中，尽可能做到合理堆放开挖土方，是防治水土流失的重要环节，因此挖、填施工程序衔接，尽量减少临时堆放时间和辗压地面，尽量做到随挖随填随时处置。</w:t>
            </w:r>
          </w:p>
          <w:p w14:paraId="33F283A8">
            <w:pPr>
              <w:pStyle w:val="167"/>
              <w:keepNext w:val="0"/>
              <w:keepLines w:val="0"/>
              <w:pageBreakBefore w:val="0"/>
              <w:widowControl w:val="0"/>
              <w:kinsoku/>
              <w:wordWrap/>
              <w:overflowPunct/>
              <w:topLinePunct w:val="0"/>
              <w:autoSpaceDE/>
              <w:autoSpaceDN/>
              <w:bidi w:val="0"/>
              <w:adjustRightInd/>
              <w:snapToGrid/>
              <w:spacing w:line="360" w:lineRule="auto"/>
              <w:ind w:left="2505"/>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b/>
                <w:bCs/>
                <w:kern w:val="2"/>
                <w:sz w:val="24"/>
                <w:szCs w:val="32"/>
                <w:lang w:val="en-US" w:eastAsia="zh-CN" w:bidi="ar-SA"/>
              </w:rPr>
              <w:t>表 2-</w:t>
            </w:r>
            <w:r>
              <w:rPr>
                <w:rFonts w:hint="eastAsia" w:ascii="Times New Roman" w:hAnsi="Times New Roman" w:eastAsia="宋体" w:cs="Times New Roman"/>
                <w:b/>
                <w:bCs/>
                <w:kern w:val="2"/>
                <w:sz w:val="24"/>
                <w:szCs w:val="32"/>
                <w:lang w:val="en-US" w:eastAsia="zh-CN" w:bidi="ar-SA"/>
              </w:rPr>
              <w:t>10</w:t>
            </w:r>
            <w:r>
              <w:rPr>
                <w:rFonts w:ascii="Times New Roman" w:hAnsi="Times New Roman" w:eastAsia="宋体" w:cs="Times New Roman"/>
                <w:b/>
                <w:bCs/>
                <w:kern w:val="2"/>
                <w:sz w:val="24"/>
                <w:szCs w:val="32"/>
                <w:lang w:val="en-US" w:eastAsia="zh-CN" w:bidi="ar-SA"/>
              </w:rPr>
              <w:t xml:space="preserve"> 土石方平衡表（单位：</w:t>
            </w:r>
            <w:r>
              <w:rPr>
                <w:rFonts w:hint="eastAsia" w:ascii="Times New Roman" w:hAnsi="Times New Roman" w:eastAsia="宋体" w:cs="Times New Roman"/>
                <w:b/>
                <w:bCs/>
                <w:kern w:val="2"/>
                <w:sz w:val="24"/>
                <w:szCs w:val="32"/>
                <w:lang w:val="en-US" w:eastAsia="zh-CN" w:bidi="ar-SA"/>
              </w:rPr>
              <w:t>万</w:t>
            </w:r>
            <w:r>
              <w:rPr>
                <w:rFonts w:ascii="Times New Roman" w:hAnsi="Times New Roman" w:eastAsia="宋体" w:cs="Times New Roman"/>
                <w:b/>
                <w:bCs/>
                <w:kern w:val="2"/>
                <w:sz w:val="24"/>
                <w:szCs w:val="32"/>
                <w:lang w:val="en-US" w:eastAsia="zh-CN" w:bidi="ar-SA"/>
              </w:rPr>
              <w:t>m</w:t>
            </w:r>
            <w:r>
              <w:rPr>
                <w:rFonts w:ascii="Times New Roman" w:hAnsi="Times New Roman" w:eastAsia="宋体" w:cs="Times New Roman"/>
                <w:b/>
                <w:bCs/>
                <w:kern w:val="2"/>
                <w:sz w:val="24"/>
                <w:szCs w:val="32"/>
                <w:vertAlign w:val="superscript"/>
                <w:lang w:val="en-US" w:eastAsia="zh-CN" w:bidi="ar-SA"/>
              </w:rPr>
              <w:t>3</w:t>
            </w:r>
            <w:r>
              <w:rPr>
                <w:rFonts w:ascii="Times New Roman" w:hAnsi="Times New Roman" w:eastAsia="宋体" w:cs="Times New Roman"/>
                <w:b/>
                <w:bCs/>
                <w:kern w:val="2"/>
                <w:sz w:val="24"/>
                <w:szCs w:val="32"/>
                <w:lang w:val="en-US" w:eastAsia="zh-CN" w:bidi="ar-SA"/>
              </w:rPr>
              <w:t>）</w:t>
            </w:r>
          </w:p>
          <w:tbl>
            <w:tblPr>
              <w:tblStyle w:val="80"/>
              <w:tblW w:w="8498"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8"/>
              <w:gridCol w:w="1240"/>
              <w:gridCol w:w="1140"/>
              <w:gridCol w:w="940"/>
              <w:gridCol w:w="1900"/>
              <w:gridCol w:w="2080"/>
            </w:tblGrid>
            <w:tr w14:paraId="4C3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1198" w:type="dxa"/>
                  <w:vMerge w:val="restart"/>
                  <w:tcBorders>
                    <w:bottom w:val="nil"/>
                  </w:tcBorders>
                  <w:vAlign w:val="center"/>
                </w:tcPr>
                <w:p w14:paraId="0C638BFD">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区域</w:t>
                  </w:r>
                </w:p>
              </w:tc>
              <w:tc>
                <w:tcPr>
                  <w:tcW w:w="3320" w:type="dxa"/>
                  <w:gridSpan w:val="3"/>
                  <w:vAlign w:val="center"/>
                </w:tcPr>
                <w:p w14:paraId="0D00BB6F">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开挖</w:t>
                  </w:r>
                </w:p>
              </w:tc>
              <w:tc>
                <w:tcPr>
                  <w:tcW w:w="3980" w:type="dxa"/>
                  <w:gridSpan w:val="2"/>
                  <w:vAlign w:val="center"/>
                </w:tcPr>
                <w:p w14:paraId="2ACE17CB">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买入</w:t>
                  </w:r>
                </w:p>
              </w:tc>
            </w:tr>
            <w:tr w14:paraId="017A3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98" w:type="dxa"/>
                  <w:vMerge w:val="continue"/>
                  <w:tcBorders>
                    <w:top w:val="nil"/>
                  </w:tcBorders>
                  <w:vAlign w:val="center"/>
                </w:tcPr>
                <w:p w14:paraId="03AE7A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p>
              </w:tc>
              <w:tc>
                <w:tcPr>
                  <w:tcW w:w="1240" w:type="dxa"/>
                  <w:vAlign w:val="center"/>
                </w:tcPr>
                <w:p w14:paraId="3A4BEB2B">
                  <w:pPr>
                    <w:pStyle w:val="167"/>
                    <w:keepNext w:val="0"/>
                    <w:keepLines w:val="0"/>
                    <w:pageBreakBefore w:val="0"/>
                    <w:widowControl w:val="0"/>
                    <w:kinsoku/>
                    <w:wordWrap/>
                    <w:overflowPunct/>
                    <w:topLinePunct w:val="0"/>
                    <w:autoSpaceDE/>
                    <w:autoSpaceDN/>
                    <w:bidi w:val="0"/>
                    <w:adjustRightInd/>
                    <w:snapToGrid/>
                    <w:spacing w:before="34"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挖方</w:t>
                  </w:r>
                </w:p>
              </w:tc>
              <w:tc>
                <w:tcPr>
                  <w:tcW w:w="1140" w:type="dxa"/>
                  <w:vAlign w:val="center"/>
                </w:tcPr>
                <w:p w14:paraId="40A87C0C">
                  <w:pPr>
                    <w:pStyle w:val="167"/>
                    <w:keepNext w:val="0"/>
                    <w:keepLines w:val="0"/>
                    <w:pageBreakBefore w:val="0"/>
                    <w:widowControl w:val="0"/>
                    <w:kinsoku/>
                    <w:wordWrap/>
                    <w:overflowPunct/>
                    <w:topLinePunct w:val="0"/>
                    <w:autoSpaceDE/>
                    <w:autoSpaceDN/>
                    <w:bidi w:val="0"/>
                    <w:adjustRightInd/>
                    <w:snapToGrid/>
                    <w:spacing w:before="34"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挖方回填</w:t>
                  </w:r>
                </w:p>
              </w:tc>
              <w:tc>
                <w:tcPr>
                  <w:tcW w:w="940" w:type="dxa"/>
                  <w:vAlign w:val="center"/>
                </w:tcPr>
                <w:p w14:paraId="0EBEBBC2">
                  <w:pPr>
                    <w:pStyle w:val="167"/>
                    <w:keepNext w:val="0"/>
                    <w:keepLines w:val="0"/>
                    <w:pageBreakBefore w:val="0"/>
                    <w:widowControl w:val="0"/>
                    <w:kinsoku/>
                    <w:wordWrap/>
                    <w:overflowPunct/>
                    <w:topLinePunct w:val="0"/>
                    <w:autoSpaceDE/>
                    <w:autoSpaceDN/>
                    <w:bidi w:val="0"/>
                    <w:adjustRightInd/>
                    <w:snapToGrid/>
                    <w:spacing w:before="34"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废弃</w:t>
                  </w:r>
                </w:p>
              </w:tc>
              <w:tc>
                <w:tcPr>
                  <w:tcW w:w="1900" w:type="dxa"/>
                  <w:vAlign w:val="center"/>
                </w:tcPr>
                <w:p w14:paraId="5BD58698">
                  <w:pPr>
                    <w:pStyle w:val="167"/>
                    <w:keepNext w:val="0"/>
                    <w:keepLines w:val="0"/>
                    <w:pageBreakBefore w:val="0"/>
                    <w:widowControl w:val="0"/>
                    <w:kinsoku/>
                    <w:wordWrap/>
                    <w:overflowPunct/>
                    <w:topLinePunct w:val="0"/>
                    <w:autoSpaceDE/>
                    <w:autoSpaceDN/>
                    <w:bidi w:val="0"/>
                    <w:adjustRightInd/>
                    <w:snapToGrid/>
                    <w:spacing w:before="34"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买入</w:t>
                  </w:r>
                </w:p>
              </w:tc>
              <w:tc>
                <w:tcPr>
                  <w:tcW w:w="2080" w:type="dxa"/>
                  <w:vAlign w:val="center"/>
                </w:tcPr>
                <w:p w14:paraId="442B1831">
                  <w:pPr>
                    <w:pStyle w:val="167"/>
                    <w:keepNext w:val="0"/>
                    <w:keepLines w:val="0"/>
                    <w:pageBreakBefore w:val="0"/>
                    <w:widowControl w:val="0"/>
                    <w:kinsoku/>
                    <w:wordWrap/>
                    <w:overflowPunct/>
                    <w:topLinePunct w:val="0"/>
                    <w:autoSpaceDE/>
                    <w:autoSpaceDN/>
                    <w:bidi w:val="0"/>
                    <w:adjustRightInd/>
                    <w:snapToGrid/>
                    <w:spacing w:before="34"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买入回填</w:t>
                  </w:r>
                </w:p>
              </w:tc>
            </w:tr>
            <w:tr w14:paraId="060FC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98" w:type="dxa"/>
                  <w:vAlign w:val="bottom"/>
                </w:tcPr>
                <w:p w14:paraId="00453064">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光伏区</w:t>
                  </w:r>
                </w:p>
              </w:tc>
              <w:tc>
                <w:tcPr>
                  <w:tcW w:w="1240" w:type="dxa"/>
                  <w:vAlign w:val="bottom"/>
                </w:tcPr>
                <w:p w14:paraId="4BD1C41B">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w:t>
                  </w:r>
                </w:p>
              </w:tc>
              <w:tc>
                <w:tcPr>
                  <w:tcW w:w="1140" w:type="dxa"/>
                  <w:vAlign w:val="bottom"/>
                </w:tcPr>
                <w:p w14:paraId="6BE5C522">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w:t>
                  </w:r>
                </w:p>
              </w:tc>
              <w:tc>
                <w:tcPr>
                  <w:tcW w:w="940" w:type="dxa"/>
                  <w:vAlign w:val="bottom"/>
                </w:tcPr>
                <w:p w14:paraId="7E9D41D0">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c>
                <w:tcPr>
                  <w:tcW w:w="1900" w:type="dxa"/>
                  <w:vAlign w:val="bottom"/>
                </w:tcPr>
                <w:p w14:paraId="1C50A4A9">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3.82</w:t>
                  </w:r>
                </w:p>
              </w:tc>
              <w:tc>
                <w:tcPr>
                  <w:tcW w:w="2080" w:type="dxa"/>
                  <w:vAlign w:val="bottom"/>
                </w:tcPr>
                <w:p w14:paraId="02C5B415">
                  <w:pPr>
                    <w:pStyle w:val="16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3.82</w:t>
                  </w:r>
                </w:p>
              </w:tc>
            </w:tr>
          </w:tbl>
          <w:p w14:paraId="412792F3">
            <w:pPr>
              <w:pStyle w:val="167"/>
              <w:keepNext w:val="0"/>
              <w:keepLines w:val="0"/>
              <w:pageBreakBefore w:val="0"/>
              <w:widowControl w:val="0"/>
              <w:kinsoku/>
              <w:wordWrap/>
              <w:overflowPunct/>
              <w:topLinePunct w:val="0"/>
              <w:autoSpaceDE/>
              <w:autoSpaceDN/>
              <w:bidi w:val="0"/>
              <w:adjustRightInd/>
              <w:snapToGrid/>
              <w:spacing w:line="360" w:lineRule="auto"/>
              <w:ind w:right="102" w:firstLine="480" w:firstLineChars="200"/>
              <w:textAlignment w:val="auto"/>
              <w:rPr>
                <w:rFonts w:ascii="Times New Roman" w:hAnsi="Times New Roman" w:eastAsia="宋体" w:cs="Times New Roman"/>
                <w:kern w:val="2"/>
                <w:sz w:val="24"/>
                <w:szCs w:val="32"/>
                <w:lang w:val="en-US" w:eastAsia="zh-CN" w:bidi="ar-SA"/>
              </w:rPr>
            </w:pPr>
            <w:r>
              <w:rPr>
                <w:rFonts w:hint="eastAsia" w:ascii="Times New Roman" w:hAnsi="Times New Roman" w:eastAsia="宋体" w:cs="Times New Roman"/>
                <w:kern w:val="2"/>
                <w:sz w:val="24"/>
                <w:szCs w:val="32"/>
                <w:lang w:val="en-US" w:eastAsia="zh-CN" w:bidi="ar-SA"/>
              </w:rPr>
              <w:t>本项目挖填土方总量4.22万m</w:t>
            </w:r>
            <w:r>
              <w:rPr>
                <w:rFonts w:hint="eastAsia" w:ascii="Times New Roman" w:hAnsi="Times New Roman" w:eastAsia="宋体" w:cs="Times New Roman"/>
                <w:kern w:val="2"/>
                <w:sz w:val="24"/>
                <w:szCs w:val="32"/>
                <w:vertAlign w:val="superscript"/>
                <w:lang w:val="en-US" w:eastAsia="zh-CN" w:bidi="ar-SA"/>
              </w:rPr>
              <w:t>3</w:t>
            </w:r>
            <w:r>
              <w:rPr>
                <w:rFonts w:hint="eastAsia" w:ascii="Times New Roman" w:hAnsi="Times New Roman" w:eastAsia="宋体" w:cs="Times New Roman"/>
                <w:kern w:val="2"/>
                <w:sz w:val="24"/>
                <w:szCs w:val="32"/>
                <w:lang w:val="en-US" w:eastAsia="zh-CN" w:bidi="ar-SA"/>
              </w:rPr>
              <w:t>，其中：挖方0.20万m</w:t>
            </w:r>
            <w:r>
              <w:rPr>
                <w:rFonts w:hint="eastAsia" w:ascii="Times New Roman" w:hAnsi="Times New Roman" w:eastAsia="宋体" w:cs="Times New Roman"/>
                <w:kern w:val="2"/>
                <w:sz w:val="24"/>
                <w:szCs w:val="32"/>
                <w:vertAlign w:val="superscript"/>
                <w:lang w:val="en-US" w:eastAsia="zh-CN" w:bidi="ar-SA"/>
              </w:rPr>
              <w:t>3</w:t>
            </w:r>
            <w:r>
              <w:rPr>
                <w:rFonts w:hint="eastAsia" w:ascii="Times New Roman" w:hAnsi="Times New Roman" w:eastAsia="宋体" w:cs="Times New Roman"/>
                <w:kern w:val="2"/>
                <w:sz w:val="24"/>
                <w:szCs w:val="32"/>
                <w:lang w:val="en-US" w:eastAsia="zh-CN" w:bidi="ar-SA"/>
              </w:rPr>
              <w:t>，填方4.02万m</w:t>
            </w:r>
            <w:r>
              <w:rPr>
                <w:rFonts w:hint="eastAsia" w:ascii="Times New Roman" w:hAnsi="Times New Roman" w:eastAsia="宋体" w:cs="Times New Roman"/>
                <w:kern w:val="2"/>
                <w:sz w:val="24"/>
                <w:szCs w:val="32"/>
                <w:vertAlign w:val="superscript"/>
                <w:lang w:val="en-US" w:eastAsia="zh-CN" w:bidi="ar-SA"/>
              </w:rPr>
              <w:t>3</w:t>
            </w:r>
            <w:r>
              <w:rPr>
                <w:rFonts w:hint="eastAsia" w:ascii="Times New Roman" w:hAnsi="Times New Roman" w:eastAsia="宋体" w:cs="Times New Roman"/>
                <w:kern w:val="2"/>
                <w:sz w:val="24"/>
                <w:szCs w:val="32"/>
                <w:lang w:val="en-US" w:eastAsia="zh-CN" w:bidi="ar-SA"/>
              </w:rPr>
              <w:t>，借方3.82万m</w:t>
            </w:r>
            <w:r>
              <w:rPr>
                <w:rFonts w:hint="eastAsia" w:ascii="Times New Roman" w:hAnsi="Times New Roman" w:eastAsia="宋体" w:cs="Times New Roman"/>
                <w:kern w:val="2"/>
                <w:sz w:val="24"/>
                <w:szCs w:val="32"/>
                <w:vertAlign w:val="superscript"/>
                <w:lang w:val="en-US" w:eastAsia="zh-CN" w:bidi="ar-SA"/>
              </w:rPr>
              <w:t>3</w:t>
            </w:r>
            <w:r>
              <w:rPr>
                <w:rFonts w:hint="eastAsia" w:ascii="Times New Roman" w:hAnsi="Times New Roman" w:eastAsia="宋体" w:cs="Times New Roman"/>
                <w:kern w:val="2"/>
                <w:sz w:val="24"/>
                <w:szCs w:val="32"/>
                <w:lang w:val="en-US" w:eastAsia="zh-CN" w:bidi="ar-SA"/>
              </w:rPr>
              <w:t>，无余方，借方由建设单位合法商购解决，不设专门的取土场。</w:t>
            </w:r>
          </w:p>
          <w:p w14:paraId="5978FEB1">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3、道路施工</w:t>
            </w:r>
          </w:p>
          <w:p w14:paraId="17A4745B">
            <w:pPr>
              <w:pStyle w:val="167"/>
              <w:keepNext w:val="0"/>
              <w:keepLines w:val="0"/>
              <w:pageBreakBefore w:val="0"/>
              <w:widowControl w:val="0"/>
              <w:kinsoku/>
              <w:wordWrap/>
              <w:overflowPunct/>
              <w:topLinePunct w:val="0"/>
              <w:autoSpaceDE/>
              <w:autoSpaceDN/>
              <w:bidi w:val="0"/>
              <w:adjustRightInd/>
              <w:snapToGrid/>
              <w:spacing w:line="360" w:lineRule="auto"/>
              <w:ind w:right="102"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本工程阵列区路宽4m，道路采用粒料道路，做法为：清表，压实路堤，200 厚泥结碎砾石或级配砾石面层，30厚砂砾磨耗层保护层；转弯半径一般为7m。</w:t>
            </w:r>
          </w:p>
          <w:p w14:paraId="48ED9A27">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4、主要电气设备安装</w:t>
            </w:r>
          </w:p>
          <w:p w14:paraId="3F8B434C">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（1）汇流箱安装</w:t>
            </w:r>
          </w:p>
          <w:p w14:paraId="666E5EF1">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A 安装顺序</w:t>
            </w:r>
          </w:p>
          <w:p w14:paraId="2F0E978D">
            <w:pPr>
              <w:pStyle w:val="167"/>
              <w:keepNext w:val="0"/>
              <w:keepLines w:val="0"/>
              <w:pageBreakBefore w:val="0"/>
              <w:widowControl w:val="0"/>
              <w:kinsoku/>
              <w:wordWrap/>
              <w:overflowPunct/>
              <w:topLinePunct w:val="0"/>
              <w:autoSpaceDE/>
              <w:autoSpaceDN/>
              <w:bidi w:val="0"/>
              <w:adjustRightInd/>
              <w:snapToGrid/>
              <w:spacing w:line="360" w:lineRule="auto"/>
              <w:ind w:right="102"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用镀锌角钢制作汇流箱固定支架；将汇流箱支架固定在鱼塘附近；汇流安装，并将汇流箱用接地线可靠接地。</w:t>
            </w:r>
          </w:p>
          <w:p w14:paraId="600061A8">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B 安装标准</w:t>
            </w:r>
          </w:p>
          <w:p w14:paraId="6DBA4C70">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汇流箱安装应符合以下规定：</w:t>
            </w:r>
          </w:p>
          <w:p w14:paraId="704430DD">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位置正确、部件齐全、箱体开孔合适、切口整齐、箱体紧贴墙面；无绞线现象，油漆完整、盘内外清洁、箱盖开关灵活、回路编号齐全、接线整齐、PE保护地线安装明显、牢固；导线截面、相色符合规范规定。</w:t>
            </w:r>
          </w:p>
          <w:p w14:paraId="152C7905">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汇流箱外壳应有明显可靠的PE保护地线（PE 为黄绿相间的双色线）；</w:t>
            </w:r>
          </w:p>
          <w:p w14:paraId="59BF523B">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但PE 保护地线不允许利用箱体或盒体串连；汇流箱配线排列整齐，并绑扎成束；在活动部位应固定；盘面引出及引进的导线应留有适当余度，以便于检修。 汇流箱内刀闸及保险等，均应处于断路状态。</w:t>
            </w:r>
          </w:p>
          <w:p w14:paraId="6F8E9BD7">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5、施工总进度</w:t>
            </w:r>
          </w:p>
          <w:p w14:paraId="6BD28A79">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由于本项目主要在</w:t>
            </w:r>
            <w:r>
              <w:rPr>
                <w:rFonts w:hint="eastAsia" w:ascii="Times New Roman" w:hAnsi="Times New Roman" w:eastAsia="宋体" w:cs="Times New Roman"/>
                <w:kern w:val="2"/>
                <w:sz w:val="24"/>
                <w:szCs w:val="32"/>
                <w:lang w:val="en-US" w:eastAsia="zh-CN" w:bidi="ar-SA"/>
              </w:rPr>
              <w:t>连云港经济技术开发区青口盐场</w:t>
            </w:r>
            <w:r>
              <w:rPr>
                <w:rFonts w:ascii="Times New Roman" w:hAnsi="Times New Roman" w:eastAsia="宋体" w:cs="Times New Roman"/>
                <w:kern w:val="2"/>
                <w:sz w:val="24"/>
                <w:szCs w:val="32"/>
                <w:lang w:val="en-US" w:eastAsia="zh-CN" w:bidi="ar-SA"/>
              </w:rPr>
              <w:t>安装光伏并网电站，电气设备间与光伏电站同步进行，整个工程周期为12个月。在满足施工总体进度计划和施工资源平衡的前提下，科学合理地组织人财物，优化资源配置，尽可能做到各工序连续流水作业，在整个施工期组织平行、交叉作业，做到均衡、有序地施工。</w:t>
            </w:r>
          </w:p>
          <w:p w14:paraId="23E5C25D">
            <w:pPr>
              <w:pStyle w:val="167"/>
              <w:keepNext w:val="0"/>
              <w:keepLines w:val="0"/>
              <w:pageBreakBefore w:val="0"/>
              <w:widowControl w:val="0"/>
              <w:kinsoku/>
              <w:wordWrap/>
              <w:overflowPunct/>
              <w:topLinePunct w:val="0"/>
              <w:autoSpaceDE/>
              <w:autoSpaceDN/>
              <w:bidi w:val="0"/>
              <w:adjustRightInd/>
              <w:snapToGrid/>
              <w:spacing w:line="360" w:lineRule="auto"/>
              <w:ind w:left="108" w:right="102" w:firstLine="499"/>
              <w:textAlignment w:val="auto"/>
              <w:rPr>
                <w:rFonts w:hint="default" w:eastAsia="宋体"/>
                <w:kern w:val="0"/>
                <w:szCs w:val="21"/>
                <w:lang w:val="en-US" w:eastAsia="zh-CN"/>
              </w:rPr>
            </w:pPr>
            <w:r>
              <w:rPr>
                <w:rFonts w:ascii="Times New Roman" w:hAnsi="Times New Roman" w:eastAsia="宋体" w:cs="Times New Roman"/>
                <w:kern w:val="2"/>
                <w:sz w:val="24"/>
                <w:szCs w:val="32"/>
                <w:lang w:val="en-US" w:eastAsia="zh-CN" w:bidi="ar-SA"/>
              </w:rPr>
              <w:t>本项目施工准备期应尽快完成厂区临时道路的建设，以确保厂区道路畅通和材料、设备的顺利进场</w:t>
            </w:r>
            <w:r>
              <w:rPr>
                <w:rFonts w:hint="eastAsia" w:ascii="Times New Roman" w:hAnsi="Times New Roman" w:eastAsia="宋体" w:cs="Times New Roman"/>
                <w:kern w:val="2"/>
                <w:sz w:val="24"/>
                <w:szCs w:val="32"/>
                <w:lang w:val="en-US" w:eastAsia="zh-CN" w:bidi="ar-SA"/>
              </w:rPr>
              <w:t>。</w:t>
            </w:r>
          </w:p>
        </w:tc>
      </w:tr>
      <w:tr w14:paraId="400B28CF">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07" w:type="dxa"/>
            <w:vAlign w:val="center"/>
          </w:tcPr>
          <w:p w14:paraId="7AF064FA">
            <w:pPr>
              <w:adjustRightInd w:val="0"/>
              <w:snapToGrid w:val="0"/>
              <w:jc w:val="center"/>
              <w:rPr>
                <w:kern w:val="0"/>
                <w:sz w:val="24"/>
              </w:rPr>
            </w:pPr>
            <w:r>
              <w:rPr>
                <w:kern w:val="0"/>
                <w:sz w:val="24"/>
              </w:rPr>
              <w:t>其他</w:t>
            </w:r>
          </w:p>
        </w:tc>
        <w:tc>
          <w:tcPr>
            <w:tcW w:w="8950" w:type="dxa"/>
            <w:vAlign w:val="center"/>
          </w:tcPr>
          <w:p w14:paraId="18089014">
            <w:pPr>
              <w:adjustRightInd w:val="0"/>
              <w:snapToGrid w:val="0"/>
              <w:jc w:val="center"/>
              <w:rPr>
                <w:kern w:val="0"/>
                <w:sz w:val="24"/>
              </w:rPr>
            </w:pPr>
          </w:p>
          <w:p w14:paraId="1C392889">
            <w:pPr>
              <w:adjustRightInd w:val="0"/>
              <w:snapToGrid w:val="0"/>
              <w:jc w:val="center"/>
              <w:rPr>
                <w:kern w:val="0"/>
                <w:sz w:val="24"/>
              </w:rPr>
            </w:pPr>
          </w:p>
          <w:p w14:paraId="00CA6B58">
            <w:pPr>
              <w:adjustRightInd w:val="0"/>
              <w:snapToGrid w:val="0"/>
              <w:jc w:val="center"/>
              <w:rPr>
                <w:kern w:val="0"/>
                <w:sz w:val="24"/>
              </w:rPr>
            </w:pPr>
          </w:p>
          <w:p w14:paraId="260C8A22">
            <w:pPr>
              <w:adjustRightInd w:val="0"/>
              <w:snapToGrid w:val="0"/>
              <w:jc w:val="center"/>
              <w:rPr>
                <w:kern w:val="0"/>
                <w:sz w:val="24"/>
              </w:rPr>
            </w:pPr>
          </w:p>
          <w:p w14:paraId="692243BB">
            <w:pPr>
              <w:adjustRightInd w:val="0"/>
              <w:snapToGrid w:val="0"/>
              <w:jc w:val="center"/>
              <w:rPr>
                <w:kern w:val="0"/>
                <w:sz w:val="24"/>
              </w:rPr>
            </w:pPr>
          </w:p>
          <w:p w14:paraId="46F76A3C">
            <w:pPr>
              <w:adjustRightInd w:val="0"/>
              <w:snapToGrid w:val="0"/>
              <w:jc w:val="center"/>
              <w:rPr>
                <w:kern w:val="0"/>
                <w:sz w:val="24"/>
              </w:rPr>
            </w:pPr>
            <w:r>
              <w:rPr>
                <w:kern w:val="0"/>
                <w:sz w:val="24"/>
              </w:rPr>
              <w:t>无</w:t>
            </w:r>
          </w:p>
          <w:p w14:paraId="0610C67D">
            <w:pPr>
              <w:adjustRightInd w:val="0"/>
              <w:snapToGrid w:val="0"/>
              <w:jc w:val="center"/>
              <w:rPr>
                <w:kern w:val="0"/>
                <w:sz w:val="24"/>
              </w:rPr>
            </w:pPr>
          </w:p>
          <w:p w14:paraId="203F66C3">
            <w:pPr>
              <w:adjustRightInd w:val="0"/>
              <w:snapToGrid w:val="0"/>
              <w:jc w:val="center"/>
              <w:rPr>
                <w:kern w:val="0"/>
                <w:sz w:val="24"/>
              </w:rPr>
            </w:pPr>
          </w:p>
          <w:p w14:paraId="1CDDFF47">
            <w:pPr>
              <w:adjustRightInd w:val="0"/>
              <w:snapToGrid w:val="0"/>
              <w:jc w:val="center"/>
              <w:rPr>
                <w:kern w:val="0"/>
                <w:sz w:val="24"/>
              </w:rPr>
            </w:pPr>
          </w:p>
          <w:p w14:paraId="47FC8987">
            <w:pPr>
              <w:adjustRightInd w:val="0"/>
              <w:snapToGrid w:val="0"/>
              <w:jc w:val="center"/>
              <w:rPr>
                <w:kern w:val="0"/>
                <w:sz w:val="24"/>
              </w:rPr>
            </w:pPr>
          </w:p>
          <w:p w14:paraId="31B17B21">
            <w:pPr>
              <w:adjustRightInd w:val="0"/>
              <w:snapToGrid w:val="0"/>
              <w:jc w:val="center"/>
              <w:rPr>
                <w:kern w:val="0"/>
                <w:sz w:val="24"/>
              </w:rPr>
            </w:pPr>
          </w:p>
          <w:p w14:paraId="30E2A73D">
            <w:pPr>
              <w:adjustRightInd w:val="0"/>
              <w:snapToGrid w:val="0"/>
              <w:jc w:val="center"/>
              <w:rPr>
                <w:kern w:val="0"/>
                <w:sz w:val="24"/>
              </w:rPr>
            </w:pPr>
          </w:p>
          <w:p w14:paraId="735F30C3">
            <w:pPr>
              <w:adjustRightInd w:val="0"/>
              <w:snapToGrid w:val="0"/>
              <w:jc w:val="center"/>
              <w:rPr>
                <w:kern w:val="0"/>
                <w:sz w:val="24"/>
              </w:rPr>
            </w:pPr>
          </w:p>
          <w:p w14:paraId="368553BA">
            <w:pPr>
              <w:adjustRightInd w:val="0"/>
              <w:snapToGrid w:val="0"/>
              <w:jc w:val="center"/>
              <w:rPr>
                <w:kern w:val="0"/>
                <w:sz w:val="24"/>
              </w:rPr>
            </w:pPr>
          </w:p>
          <w:p w14:paraId="095291FC">
            <w:pPr>
              <w:adjustRightInd w:val="0"/>
              <w:snapToGrid w:val="0"/>
              <w:jc w:val="center"/>
              <w:rPr>
                <w:kern w:val="0"/>
                <w:sz w:val="24"/>
              </w:rPr>
            </w:pPr>
          </w:p>
          <w:p w14:paraId="7B319726">
            <w:pPr>
              <w:adjustRightInd w:val="0"/>
              <w:snapToGrid w:val="0"/>
              <w:jc w:val="center"/>
              <w:rPr>
                <w:kern w:val="0"/>
                <w:sz w:val="24"/>
              </w:rPr>
            </w:pPr>
          </w:p>
          <w:p w14:paraId="606B9511">
            <w:pPr>
              <w:adjustRightInd w:val="0"/>
              <w:snapToGrid w:val="0"/>
              <w:jc w:val="center"/>
              <w:rPr>
                <w:kern w:val="0"/>
                <w:sz w:val="24"/>
              </w:rPr>
            </w:pPr>
          </w:p>
          <w:p w14:paraId="017FCB5C">
            <w:pPr>
              <w:adjustRightInd w:val="0"/>
              <w:snapToGrid w:val="0"/>
              <w:jc w:val="center"/>
              <w:rPr>
                <w:kern w:val="0"/>
                <w:sz w:val="24"/>
              </w:rPr>
            </w:pPr>
          </w:p>
          <w:p w14:paraId="0F9499F1">
            <w:pPr>
              <w:adjustRightInd w:val="0"/>
              <w:snapToGrid w:val="0"/>
              <w:jc w:val="center"/>
              <w:rPr>
                <w:kern w:val="0"/>
                <w:sz w:val="24"/>
              </w:rPr>
            </w:pPr>
          </w:p>
          <w:p w14:paraId="120DD530">
            <w:pPr>
              <w:adjustRightInd w:val="0"/>
              <w:snapToGrid w:val="0"/>
              <w:jc w:val="center"/>
              <w:rPr>
                <w:kern w:val="0"/>
                <w:sz w:val="24"/>
              </w:rPr>
            </w:pPr>
          </w:p>
          <w:p w14:paraId="2EB02DF7">
            <w:pPr>
              <w:adjustRightInd w:val="0"/>
              <w:snapToGrid w:val="0"/>
              <w:jc w:val="center"/>
              <w:rPr>
                <w:kern w:val="0"/>
                <w:sz w:val="24"/>
              </w:rPr>
            </w:pPr>
          </w:p>
          <w:p w14:paraId="5886BBB2">
            <w:pPr>
              <w:adjustRightInd w:val="0"/>
              <w:snapToGrid w:val="0"/>
              <w:jc w:val="center"/>
              <w:rPr>
                <w:kern w:val="0"/>
                <w:sz w:val="24"/>
              </w:rPr>
            </w:pPr>
          </w:p>
          <w:p w14:paraId="19F51689">
            <w:pPr>
              <w:adjustRightInd w:val="0"/>
              <w:snapToGrid w:val="0"/>
              <w:jc w:val="center"/>
              <w:rPr>
                <w:kern w:val="0"/>
                <w:sz w:val="24"/>
              </w:rPr>
            </w:pPr>
          </w:p>
          <w:p w14:paraId="70F1DE45">
            <w:pPr>
              <w:adjustRightInd w:val="0"/>
              <w:snapToGrid w:val="0"/>
              <w:jc w:val="center"/>
              <w:rPr>
                <w:kern w:val="0"/>
                <w:sz w:val="24"/>
              </w:rPr>
            </w:pPr>
          </w:p>
          <w:p w14:paraId="0D1E7275">
            <w:pPr>
              <w:adjustRightInd w:val="0"/>
              <w:snapToGrid w:val="0"/>
              <w:jc w:val="center"/>
              <w:rPr>
                <w:kern w:val="0"/>
                <w:sz w:val="24"/>
              </w:rPr>
            </w:pPr>
          </w:p>
          <w:p w14:paraId="443A4F68">
            <w:pPr>
              <w:adjustRightInd w:val="0"/>
              <w:snapToGrid w:val="0"/>
              <w:jc w:val="center"/>
              <w:rPr>
                <w:rFonts w:hint="default" w:eastAsia="宋体"/>
                <w:kern w:val="0"/>
                <w:sz w:val="24"/>
                <w:lang w:val="en-US" w:eastAsia="zh-CN"/>
              </w:rPr>
            </w:pPr>
          </w:p>
        </w:tc>
      </w:tr>
    </w:tbl>
    <w:p w14:paraId="1137D71F">
      <w:pPr>
        <w:pStyle w:val="25"/>
        <w:spacing w:before="0" w:beforeAutospacing="0" w:after="0" w:afterAutospacing="0"/>
        <w:jc w:val="center"/>
        <w:outlineLvl w:val="0"/>
        <w:rPr>
          <w:rStyle w:val="42"/>
          <w:rFonts w:ascii="Times New Roman" w:hAnsi="Times New Roman"/>
          <w:color w:val="auto"/>
        </w:rPr>
      </w:pPr>
      <w:r>
        <w:rPr>
          <w:rFonts w:ascii="Times New Roman" w:hAnsi="Times New Roman"/>
          <w:b/>
          <w:bCs/>
        </w:rPr>
        <w:br w:type="page"/>
      </w:r>
      <w:bookmarkStart w:id="20" w:name="_Toc30359"/>
      <w:bookmarkStart w:id="21" w:name="_Toc22083"/>
      <w:r>
        <w:rPr>
          <w:rStyle w:val="42"/>
          <w:rFonts w:ascii="Times New Roman" w:hAnsi="Times New Roman"/>
          <w:color w:val="auto"/>
        </w:rPr>
        <w:t>三、生态环境现状、保护目标及评价标准</w:t>
      </w:r>
      <w:bookmarkEnd w:id="20"/>
      <w:bookmarkEnd w:id="21"/>
    </w:p>
    <w:tbl>
      <w:tblPr>
        <w:tblStyle w:val="29"/>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8730"/>
      </w:tblGrid>
      <w:tr w14:paraId="29553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17" w:type="dxa"/>
            <w:vAlign w:val="center"/>
          </w:tcPr>
          <w:p w14:paraId="0F2B8533">
            <w:pPr>
              <w:adjustRightInd w:val="0"/>
              <w:snapToGrid w:val="0"/>
              <w:jc w:val="center"/>
              <w:rPr>
                <w:kern w:val="0"/>
                <w:szCs w:val="21"/>
              </w:rPr>
            </w:pPr>
            <w:r>
              <w:rPr>
                <w:kern w:val="0"/>
                <w:sz w:val="24"/>
              </w:rPr>
              <w:t>生态环境现状</w:t>
            </w:r>
          </w:p>
        </w:tc>
        <w:tc>
          <w:tcPr>
            <w:tcW w:w="8440" w:type="dxa"/>
            <w:vAlign w:val="center"/>
          </w:tcPr>
          <w:p w14:paraId="061C91D7">
            <w:pPr>
              <w:tabs>
                <w:tab w:val="left" w:pos="600"/>
              </w:tabs>
              <w:adjustRightInd w:val="0"/>
              <w:spacing w:line="360" w:lineRule="auto"/>
              <w:ind w:firstLine="482" w:firstLineChars="200"/>
              <w:textAlignment w:val="baseline"/>
              <w:rPr>
                <w:b/>
                <w:bCs/>
                <w:kern w:val="0"/>
                <w:sz w:val="24"/>
              </w:rPr>
            </w:pPr>
            <w:r>
              <w:rPr>
                <w:b/>
                <w:bCs/>
                <w:kern w:val="0"/>
                <w:sz w:val="24"/>
              </w:rPr>
              <w:t>1、生态环境现状</w:t>
            </w:r>
          </w:p>
          <w:p w14:paraId="747DF9FB">
            <w:pPr>
              <w:pStyle w:val="88"/>
              <w:rPr>
                <w:rFonts w:hAnsi="Times New Roman"/>
                <w:bCs/>
              </w:rPr>
            </w:pPr>
            <w:r>
              <w:rPr>
                <w:rFonts w:hAnsi="Times New Roman"/>
                <w:bCs/>
              </w:rPr>
              <w:t>（1）主体功能区规划</w:t>
            </w:r>
          </w:p>
          <w:p w14:paraId="280FCF78">
            <w:pPr>
              <w:pStyle w:val="88"/>
              <w:rPr>
                <w:rFonts w:hAnsi="Times New Roman"/>
              </w:rPr>
            </w:pPr>
            <w:r>
              <w:rPr>
                <w:rFonts w:hAnsi="Times New Roman"/>
              </w:rPr>
              <w:t>根据《市政府关于印发连云港市主体功能区实施规划的通知》（连政发〔2016〕70号），项目所在区域周边属于重点拓展区域。</w:t>
            </w:r>
          </w:p>
          <w:p w14:paraId="4FE986C1">
            <w:pPr>
              <w:pStyle w:val="88"/>
              <w:rPr>
                <w:rFonts w:hAnsi="Times New Roman"/>
              </w:rPr>
            </w:pPr>
            <w:r>
              <w:rPr>
                <w:rFonts w:hAnsi="Times New Roman"/>
              </w:rPr>
              <w:t>重点发展区域依托港口资源和园区发展基础，重点发展先进制造业和现代物流等生产性服务业，促进产业集群发展，引导重大制造业项目布局，壮大经济规模。推进港产城融合，完善基础设施和公共服务，增强城镇服务功能，创造更多的就业岗位。重点保障新增建设用地供给，同时整合存量用地，推进产业和人口集聚，加快工业化和城市化进程，建成为支撑全市经济发展的重点区域。</w:t>
            </w:r>
          </w:p>
          <w:p w14:paraId="7610A233">
            <w:pPr>
              <w:pStyle w:val="88"/>
              <w:rPr>
                <w:rFonts w:hAnsi="Times New Roman"/>
              </w:rPr>
            </w:pPr>
            <w:r>
              <w:rPr>
                <w:rFonts w:hAnsi="Times New Roman"/>
              </w:rPr>
              <w:t>本项目为太阳能发电项目，属于清洁能源项目，本工程的实施有助于完善基础设施和公共服务，最终助力</w:t>
            </w:r>
            <w:r>
              <w:rPr>
                <w:rFonts w:hint="eastAsia" w:hAnsi="Times New Roman"/>
                <w:lang w:val="en-US" w:eastAsia="zh-CN"/>
              </w:rPr>
              <w:t>连云</w:t>
            </w:r>
            <w:r>
              <w:rPr>
                <w:rFonts w:hAnsi="Times New Roman"/>
              </w:rPr>
              <w:t>及连云港市经济社会发展。</w:t>
            </w:r>
          </w:p>
          <w:p w14:paraId="2A01D9C1">
            <w:pPr>
              <w:pStyle w:val="88"/>
              <w:rPr>
                <w:rFonts w:hAnsi="Times New Roman"/>
              </w:rPr>
            </w:pPr>
            <w:r>
              <w:rPr>
                <w:rFonts w:hAnsi="Times New Roman"/>
              </w:rPr>
              <w:t>综上所述，本项目与重点拓展区域发展方向相符。</w:t>
            </w:r>
          </w:p>
          <w:p w14:paraId="0CC336C8">
            <w:pPr>
              <w:pStyle w:val="88"/>
              <w:ind w:firstLine="0" w:firstLineChars="0"/>
              <w:rPr>
                <w:rFonts w:hAnsi="Times New Roman"/>
                <w:bCs/>
              </w:rPr>
            </w:pPr>
            <w:r>
              <w:rPr>
                <w:rFonts w:hAnsi="Times New Roman"/>
              </w:rPr>
              <mc:AlternateContent>
                <mc:Choice Requires="wps">
                  <w:drawing>
                    <wp:anchor distT="0" distB="0" distL="114300" distR="114300" simplePos="0" relativeHeight="251661312" behindDoc="0" locked="0" layoutInCell="1" allowOverlap="1">
                      <wp:simplePos x="0" y="0"/>
                      <wp:positionH relativeFrom="column">
                        <wp:posOffset>2936875</wp:posOffset>
                      </wp:positionH>
                      <wp:positionV relativeFrom="paragraph">
                        <wp:posOffset>652145</wp:posOffset>
                      </wp:positionV>
                      <wp:extent cx="971550" cy="381000"/>
                      <wp:effectExtent l="320675" t="12700" r="15875" b="330200"/>
                      <wp:wrapNone/>
                      <wp:docPr id="5" name="矩形标注 5"/>
                      <wp:cNvGraphicFramePr/>
                      <a:graphic xmlns:a="http://schemas.openxmlformats.org/drawingml/2006/main">
                        <a:graphicData uri="http://schemas.microsoft.com/office/word/2010/wordprocessingShape">
                          <wps:wsp>
                            <wps:cNvSpPr/>
                            <wps:spPr>
                              <a:xfrm>
                                <a:off x="3642360" y="5288280"/>
                                <a:ext cx="971550" cy="381000"/>
                              </a:xfrm>
                              <a:prstGeom prst="wedgeRectCallout">
                                <a:avLst>
                                  <a:gd name="adj1" fmla="val -81699"/>
                                  <a:gd name="adj2" fmla="val 132166"/>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832C38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1.25pt;margin-top:51.35pt;height:30pt;width:76.5pt;z-index:251661312;v-text-anchor:middle;mso-width-relative:page;mso-height-relative:page;" filled="f" stroked="t" coordsize="21600,21600" o:gfxdata="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gqG7zWAAAACwEAAA8AAAAAAAAAAQAgAAAAIgAAAGRycy9kb3ducmV2Lnht&#10;bFBLAQIUABQAAAAIAIdO4kC116e0pgIAAC8FAAAOAAAAAAAAAAEAIAAAACUBAABkcnMvZTJvRG9j&#10;LnhtbFBLBQYAAAAABgAGAFkBAAA9BgAAAAA=&#10;" adj="-6847,39348">
                      <v:fill on="f" focussize="0,0"/>
                      <v:stroke weight="2pt" color="#000000 [3213]" joinstyle="round"/>
                      <v:imagedata o:title=""/>
                      <o:lock v:ext="edit" aspectratio="f"/>
                      <v:textbox>
                        <w:txbxContent>
                          <w:p w14:paraId="5832C38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项目地</w:t>
                            </w:r>
                          </w:p>
                        </w:txbxContent>
                      </v:textbox>
                    </v:shape>
                  </w:pict>
                </mc:Fallback>
              </mc:AlternateContent>
            </w:r>
            <w:r>
              <w:rPr>
                <w:rFonts w:hAnsi="Times New Roman"/>
              </w:rPr>
              <w:drawing>
                <wp:inline distT="0" distB="0" distL="114300" distR="114300">
                  <wp:extent cx="5329555" cy="4420235"/>
                  <wp:effectExtent l="0" t="0" r="444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329555" cy="4420235"/>
                          </a:xfrm>
                          <a:prstGeom prst="rect">
                            <a:avLst/>
                          </a:prstGeom>
                          <a:noFill/>
                          <a:ln>
                            <a:noFill/>
                          </a:ln>
                        </pic:spPr>
                      </pic:pic>
                    </a:graphicData>
                  </a:graphic>
                </wp:inline>
              </w:drawing>
            </w:r>
          </w:p>
          <w:p w14:paraId="31B0E431">
            <w:pPr>
              <w:pStyle w:val="88"/>
              <w:ind w:firstLine="482"/>
              <w:jc w:val="center"/>
              <w:rPr>
                <w:rFonts w:hAnsi="Times New Roman"/>
                <w:b/>
              </w:rPr>
            </w:pPr>
            <w:r>
              <w:rPr>
                <w:rFonts w:hAnsi="Times New Roman"/>
                <w:b/>
              </w:rPr>
              <w:t>图3-1 主体功能区划图</w:t>
            </w:r>
          </w:p>
          <w:p w14:paraId="14554A88">
            <w:pPr>
              <w:pStyle w:val="88"/>
              <w:rPr>
                <w:rFonts w:hAnsi="Times New Roman"/>
                <w:bCs/>
              </w:rPr>
            </w:pPr>
            <w:r>
              <w:rPr>
                <w:rFonts w:hAnsi="Times New Roman"/>
                <w:bCs/>
              </w:rPr>
              <w:t>（2）生态功能区划</w:t>
            </w:r>
          </w:p>
          <w:p w14:paraId="6A0B8665">
            <w:pPr>
              <w:pStyle w:val="88"/>
              <w:rPr>
                <w:rFonts w:hAnsi="Times New Roman"/>
              </w:rPr>
            </w:pPr>
            <w:r>
              <w:rPr>
                <w:rFonts w:hAnsi="Times New Roman"/>
              </w:rPr>
              <w:t>对照《关于印发&lt;全国生态功能区划（修编版）&gt;的公告》（环境保护部中国科学院公告2015年第61号），本项目所在区域的生态功能大类为产品提供功能，生态功能类型为农产品提供功能区，农产品提供功能区主要是指以提供粮食、肉类、蛋、奶、水产品和棉、油等农产品为主的长期从事农业生产的地区，包括全国商品粮基地和集中联片的农业用地，以及畜产品和水产品提供的区域。</w:t>
            </w:r>
          </w:p>
          <w:p w14:paraId="2716FA9E">
            <w:pPr>
              <w:pStyle w:val="88"/>
              <w:rPr>
                <w:rFonts w:hAnsi="Times New Roman"/>
              </w:rPr>
            </w:pPr>
            <w:r>
              <w:rPr>
                <w:rFonts w:hAnsi="Times New Roman"/>
              </w:rPr>
              <w:t>本项目为渔光互补光伏发电项目，评价范围内</w:t>
            </w:r>
            <w:r>
              <w:rPr>
                <w:rFonts w:hAnsi="Times New Roman"/>
                <w:kern w:val="0"/>
              </w:rPr>
              <w:t>不涉及《环境影响评价技术导则 生态影响》（HJ19-2022）中规定的</w:t>
            </w:r>
            <w:r>
              <w:rPr>
                <w:rFonts w:hAnsi="Times New Roman"/>
              </w:rPr>
              <w:t>自然保护地、世界自然遗产、生态保护红线等法定生态保护区域以及重要物种天然集中分布区、栖息地等重要生态环境区域，不占用永久基本农田，符合相关要求。</w:t>
            </w:r>
          </w:p>
          <w:p w14:paraId="44519A53">
            <w:pPr>
              <w:tabs>
                <w:tab w:val="left" w:pos="600"/>
              </w:tabs>
              <w:adjustRightInd w:val="0"/>
              <w:spacing w:line="360" w:lineRule="auto"/>
              <w:ind w:firstLine="480" w:firstLineChars="200"/>
              <w:textAlignment w:val="baseline"/>
              <w:rPr>
                <w:kern w:val="0"/>
                <w:sz w:val="24"/>
              </w:rPr>
            </w:pPr>
            <w:r>
              <w:rPr>
                <w:kern w:val="0"/>
                <w:sz w:val="24"/>
              </w:rPr>
              <w:t>（3）土地利用现状</w:t>
            </w:r>
          </w:p>
          <w:p w14:paraId="1A0FA3ED">
            <w:pPr>
              <w:tabs>
                <w:tab w:val="left" w:pos="600"/>
              </w:tabs>
              <w:adjustRightInd w:val="0"/>
              <w:spacing w:line="360" w:lineRule="auto"/>
              <w:ind w:firstLine="480" w:firstLineChars="200"/>
              <w:textAlignment w:val="baseline"/>
              <w:rPr>
                <w:kern w:val="0"/>
                <w:sz w:val="24"/>
              </w:rPr>
            </w:pPr>
            <w:r>
              <w:rPr>
                <w:kern w:val="0"/>
                <w:sz w:val="24"/>
              </w:rPr>
              <w:t>项目建设地点位于</w:t>
            </w:r>
            <w:r>
              <w:rPr>
                <w:rFonts w:hint="eastAsia"/>
                <w:sz w:val="24"/>
              </w:rPr>
              <w:t>江苏省连云港市连云港经济技术开发区青口盐场</w:t>
            </w:r>
            <w:r>
              <w:rPr>
                <w:kern w:val="0"/>
                <w:sz w:val="24"/>
              </w:rPr>
              <w:t>，土地性质为坑塘水面。项目区域内无珍稀濒危动植物，无军事设施和需要保护的文物古迹等保护单位。</w:t>
            </w:r>
          </w:p>
          <w:p w14:paraId="4505209D">
            <w:pPr>
              <w:tabs>
                <w:tab w:val="left" w:pos="600"/>
              </w:tabs>
              <w:adjustRightInd w:val="0"/>
              <w:spacing w:line="360" w:lineRule="auto"/>
              <w:ind w:firstLine="480" w:firstLineChars="200"/>
              <w:textAlignment w:val="baseline"/>
              <w:rPr>
                <w:kern w:val="0"/>
                <w:sz w:val="24"/>
              </w:rPr>
            </w:pPr>
            <w:r>
              <w:rPr>
                <w:kern w:val="0"/>
                <w:sz w:val="24"/>
              </w:rPr>
              <w:t>根据</w:t>
            </w:r>
            <w:r>
              <w:rPr>
                <w:rFonts w:hint="eastAsia"/>
                <w:kern w:val="0"/>
                <w:sz w:val="24"/>
              </w:rPr>
              <w:t>连云港市自然资源和规划局开发区分局</w:t>
            </w:r>
            <w:r>
              <w:rPr>
                <w:sz w:val="24"/>
              </w:rPr>
              <w:t>出具的</w:t>
            </w:r>
            <w:r>
              <w:rPr>
                <w:kern w:val="0"/>
                <w:sz w:val="24"/>
              </w:rPr>
              <w:t>《</w:t>
            </w:r>
            <w:r>
              <w:rPr>
                <w:rFonts w:hint="eastAsia"/>
                <w:kern w:val="0"/>
                <w:sz w:val="24"/>
              </w:rPr>
              <w:t>关于华润电力青口盐场240MW渔光万补项目用地性质的情况说明</w:t>
            </w:r>
            <w:r>
              <w:rPr>
                <w:kern w:val="0"/>
                <w:sz w:val="24"/>
              </w:rPr>
              <w:t>》、</w:t>
            </w:r>
            <w:r>
              <w:rPr>
                <w:rFonts w:hint="eastAsia"/>
                <w:kern w:val="0"/>
                <w:sz w:val="24"/>
              </w:rPr>
              <w:t>连云港经济技术开发区社会事业局</w:t>
            </w:r>
            <w:r>
              <w:rPr>
                <w:kern w:val="0"/>
                <w:sz w:val="24"/>
              </w:rPr>
              <w:t>《</w:t>
            </w:r>
            <w:r>
              <w:rPr>
                <w:rFonts w:hint="eastAsia"/>
                <w:kern w:val="0"/>
                <w:sz w:val="24"/>
              </w:rPr>
              <w:t>关于华润电力青口盐场240MW渔光互补项目选址意见的复函</w:t>
            </w:r>
            <w:r>
              <w:rPr>
                <w:kern w:val="0"/>
                <w:sz w:val="24"/>
              </w:rPr>
              <w:t>》</w:t>
            </w:r>
            <w:r>
              <w:rPr>
                <w:rFonts w:hint="eastAsia"/>
                <w:kern w:val="0"/>
                <w:sz w:val="24"/>
                <w:lang w:eastAsia="zh-CN"/>
              </w:rPr>
              <w:t>（</w:t>
            </w:r>
            <w:r>
              <w:rPr>
                <w:rFonts w:hint="eastAsia"/>
                <w:kern w:val="0"/>
                <w:sz w:val="24"/>
                <w:lang w:val="en-US" w:eastAsia="zh-CN"/>
              </w:rPr>
              <w:t>见附件6</w:t>
            </w:r>
            <w:r>
              <w:rPr>
                <w:rFonts w:hint="eastAsia"/>
                <w:kern w:val="0"/>
                <w:sz w:val="24"/>
                <w:lang w:eastAsia="zh-CN"/>
              </w:rPr>
              <w:t>）</w:t>
            </w:r>
            <w:r>
              <w:rPr>
                <w:kern w:val="0"/>
                <w:sz w:val="24"/>
              </w:rPr>
              <w:t>，本项目用地地类为坑塘水面，地块范围不涉及耕地、永久基本农田、不涉及生态保护红线和生态空间管控区。</w:t>
            </w:r>
          </w:p>
          <w:p w14:paraId="0253C306">
            <w:pPr>
              <w:tabs>
                <w:tab w:val="left" w:pos="600"/>
              </w:tabs>
              <w:adjustRightInd w:val="0"/>
              <w:spacing w:line="360" w:lineRule="auto"/>
              <w:ind w:firstLine="480" w:firstLineChars="200"/>
              <w:textAlignment w:val="baseline"/>
              <w:rPr>
                <w:kern w:val="0"/>
                <w:sz w:val="24"/>
              </w:rPr>
            </w:pPr>
            <w:r>
              <w:rPr>
                <w:kern w:val="0"/>
                <w:sz w:val="24"/>
              </w:rPr>
              <w:t>光伏组件在坑塘水面上安装，不占耕地；开工建设时进行土地平整，对地表植被会产生轻微的影响，在施工结束后，对生态环境进行修复，生态环境现状很快得到恢复。</w:t>
            </w:r>
          </w:p>
          <w:p w14:paraId="1E9F8410">
            <w:pPr>
              <w:keepNext w:val="0"/>
              <w:keepLines w:val="0"/>
              <w:pageBreakBefore w:val="0"/>
              <w:widowControl w:val="0"/>
              <w:tabs>
                <w:tab w:val="left" w:pos="600"/>
              </w:tabs>
              <w:kinsoku/>
              <w:wordWrap/>
              <w:overflowPunct/>
              <w:topLinePunct w:val="0"/>
              <w:autoSpaceDE/>
              <w:autoSpaceDN/>
              <w:bidi w:val="0"/>
              <w:adjustRightInd w:val="0"/>
              <w:spacing w:line="360" w:lineRule="auto"/>
              <w:ind w:firstLine="480" w:firstLineChars="200"/>
              <w:textAlignment w:val="baseline"/>
              <w:rPr>
                <w:kern w:val="0"/>
                <w:sz w:val="24"/>
              </w:rPr>
            </w:pPr>
            <w:r>
              <w:rPr>
                <w:kern w:val="0"/>
                <w:sz w:val="24"/>
              </w:rPr>
              <w:t>（4）生态环境现状调查</w:t>
            </w:r>
          </w:p>
          <w:p w14:paraId="7B0EDE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①地形地貌</w:t>
            </w:r>
          </w:p>
          <w:p w14:paraId="4E880823">
            <w:pPr>
              <w:pStyle w:val="167"/>
              <w:keepNext w:val="0"/>
              <w:keepLines w:val="0"/>
              <w:pageBreakBefore w:val="0"/>
              <w:widowControl w:val="0"/>
              <w:kinsoku/>
              <w:wordWrap/>
              <w:overflowPunct/>
              <w:topLinePunct w:val="0"/>
              <w:autoSpaceDE/>
              <w:autoSpaceDN/>
              <w:bidi w:val="0"/>
              <w:spacing w:line="360" w:lineRule="auto"/>
              <w:ind w:right="4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连云港位于鲁中南丘陵与淮北平原的结合部，境内山海齐观，平原、大海、高山齐全，河湖、丘陵、滩涂、湿地、海岛俱备。地势由西北向东南倾斜，形如一只飞向海洋的彩蝶。地貌基本分布为西部岗岭区、中部平原区、东部沿海区和云台山区四大部分。西部丘陵海拔100米～200米。中部平原海拔3米～5米，主要是山前倾斜平原、洪水冲积平原、及滨海平原3类，总面积5409平方千米。拥有耕地面积3797.9平方千米。</w:t>
            </w:r>
          </w:p>
          <w:p w14:paraId="521B0ECF">
            <w:pPr>
              <w:pStyle w:val="167"/>
              <w:keepNext w:val="0"/>
              <w:keepLines w:val="0"/>
              <w:pageBreakBefore w:val="0"/>
              <w:widowControl w:val="0"/>
              <w:kinsoku/>
              <w:wordWrap/>
              <w:overflowPunct/>
              <w:topLinePunct w:val="0"/>
              <w:autoSpaceDE/>
              <w:autoSpaceDN/>
              <w:bidi w:val="0"/>
              <w:spacing w:line="360" w:lineRule="auto"/>
              <w:ind w:right="4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连云港市经济技术开发区隶属于江苏省连云港市，位于长江三角洲北部，江苏省东北部，地处黄海之滨，总面积836平方千米，实际管辖面积243平方千米。境内绝大部分为山地，主要由后云台山、北固山和东西连岛组成，地势呈中间高四周低。</w:t>
            </w:r>
          </w:p>
          <w:p w14:paraId="23B68CEE">
            <w:pPr>
              <w:pStyle w:val="167"/>
              <w:keepNext w:val="0"/>
              <w:keepLines w:val="0"/>
              <w:pageBreakBefore w:val="0"/>
              <w:widowControl w:val="0"/>
              <w:kinsoku/>
              <w:wordWrap/>
              <w:overflowPunct/>
              <w:topLinePunct w:val="0"/>
              <w:autoSpaceDE/>
              <w:autoSpaceDN/>
              <w:bidi w:val="0"/>
              <w:spacing w:line="360" w:lineRule="auto"/>
              <w:ind w:right="40" w:firstLine="480" w:firstLineChars="20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连云港市经济技术开发区地貌单元主要为海积平原区。连云港市经济技术开发区位于鲁中南丘陵山区与淮北平原的结合部，境内地形复杂，山地主要由前云台山北麓、中云台山和后云台山组成，地势呈中间高四周低。区内有后云台山、北崮山等大小 70 多座山峰</w:t>
            </w:r>
            <w:r>
              <w:rPr>
                <w:rFonts w:ascii="Times New Roman" w:hAnsi="Times New Roman" w:eastAsia="宋体" w:cs="Times New Roman"/>
                <w:kern w:val="2"/>
                <w:sz w:val="24"/>
                <w:szCs w:val="24"/>
                <w:lang w:val="en-US" w:eastAsia="zh-CN" w:bidi="ar-SA"/>
              </w:rPr>
              <w:t>。</w:t>
            </w:r>
          </w:p>
          <w:p w14:paraId="1000D431">
            <w:pPr>
              <w:pStyle w:val="167"/>
              <w:keepNext w:val="0"/>
              <w:keepLines w:val="0"/>
              <w:pageBreakBefore w:val="0"/>
              <w:widowControl w:val="0"/>
              <w:kinsoku/>
              <w:wordWrap/>
              <w:overflowPunct/>
              <w:topLinePunct w:val="0"/>
              <w:autoSpaceDE/>
              <w:autoSpaceDN/>
              <w:bidi w:val="0"/>
              <w:spacing w:line="360" w:lineRule="auto"/>
              <w:ind w:left="108" w:right="40" w:firstLine="480" w:firstLineChars="200"/>
              <w:rPr>
                <w:rFonts w:hint="eastAsia" w:ascii="Times New Roman" w:hAnsi="Times New Roman" w:eastAsia="宋体" w:cs="Times New Roman"/>
                <w:b w:val="0"/>
                <w:bCs w:val="0"/>
                <w:kern w:val="0"/>
                <w:sz w:val="24"/>
                <w:szCs w:val="24"/>
                <w:lang w:val="en-US" w:eastAsia="zh-CN" w:bidi="ar-SA"/>
              </w:rPr>
            </w:pPr>
            <w:r>
              <w:rPr>
                <w:rFonts w:hint="eastAsia" w:ascii="宋体" w:hAnsi="宋体" w:cs="宋体"/>
                <w:sz w:val="24"/>
              </w:rPr>
              <w:t>②</w:t>
            </w:r>
            <w:r>
              <w:rPr>
                <w:rFonts w:hint="eastAsia" w:ascii="Times New Roman" w:hAnsi="Times New Roman" w:eastAsia="宋体" w:cs="Times New Roman"/>
                <w:b w:val="0"/>
                <w:bCs w:val="0"/>
                <w:kern w:val="0"/>
                <w:sz w:val="24"/>
                <w:szCs w:val="24"/>
                <w:lang w:val="en-US" w:eastAsia="zh-CN" w:bidi="ar-SA"/>
              </w:rPr>
              <w:t>气候气象</w:t>
            </w:r>
          </w:p>
          <w:p w14:paraId="478300BA">
            <w:pPr>
              <w:pStyle w:val="167"/>
              <w:keepNext w:val="0"/>
              <w:keepLines w:val="0"/>
              <w:pageBreakBefore w:val="0"/>
              <w:widowControl w:val="0"/>
              <w:kinsoku/>
              <w:wordWrap/>
              <w:overflowPunct/>
              <w:topLinePunct w:val="0"/>
              <w:autoSpaceDE/>
              <w:autoSpaceDN/>
              <w:bidi w:val="0"/>
              <w:spacing w:line="360" w:lineRule="auto"/>
              <w:ind w:right="40" w:firstLine="480" w:firstLineChars="200"/>
              <w:jc w:val="both"/>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区域地处我国沿海南北过渡地带，属暖温带季风气候，四季分明，光照充足，雨量适中，气候温和，夏无酷暑，冬无严寒，春秋多旱。由于受海洋气候影响较大，故冬、夏季较长，春、秋季较短。项目所在地气象气候特征见表3-1。</w:t>
            </w:r>
          </w:p>
          <w:p w14:paraId="26621A15">
            <w:pPr>
              <w:pStyle w:val="167"/>
              <w:keepNext w:val="0"/>
              <w:keepLines w:val="0"/>
              <w:pageBreakBefore w:val="0"/>
              <w:widowControl w:val="0"/>
              <w:kinsoku/>
              <w:wordWrap/>
              <w:overflowPunct/>
              <w:topLinePunct w:val="0"/>
              <w:autoSpaceDE/>
              <w:autoSpaceDN/>
              <w:bidi w:val="0"/>
              <w:spacing w:line="360" w:lineRule="auto"/>
              <w:ind w:right="4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表 3-1 主要气象气候特征表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2803"/>
              <w:gridCol w:w="2804"/>
            </w:tblGrid>
            <w:tr w14:paraId="282B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5" w:type="dxa"/>
                  <w:gridSpan w:val="2"/>
                  <w:vAlign w:val="top"/>
                </w:tcPr>
                <w:p w14:paraId="51990BB5">
                  <w:pPr>
                    <w:widowControl/>
                    <w:adjustRightInd w:val="0"/>
                    <w:snapToGrid w:val="0"/>
                    <w:spacing w:line="240" w:lineRule="atLeast"/>
                    <w:jc w:val="center"/>
                    <w:rPr>
                      <w:rFonts w:hint="eastAsia"/>
                      <w:b/>
                      <w:bCs/>
                      <w:szCs w:val="21"/>
                      <w:lang w:val="en-US" w:eastAsia="zh-CN"/>
                    </w:rPr>
                  </w:pPr>
                  <w:r>
                    <w:rPr>
                      <w:b/>
                      <w:bCs/>
                      <w:szCs w:val="21"/>
                    </w:rPr>
                    <w:t>项目</w:t>
                  </w:r>
                </w:p>
              </w:tc>
              <w:tc>
                <w:tcPr>
                  <w:tcW w:w="2804" w:type="dxa"/>
                  <w:vAlign w:val="top"/>
                </w:tcPr>
                <w:p w14:paraId="3385794D">
                  <w:pPr>
                    <w:widowControl/>
                    <w:adjustRightInd w:val="0"/>
                    <w:snapToGrid w:val="0"/>
                    <w:spacing w:line="240" w:lineRule="atLeast"/>
                    <w:jc w:val="center"/>
                    <w:rPr>
                      <w:rFonts w:hint="eastAsia"/>
                      <w:b/>
                      <w:bCs/>
                      <w:szCs w:val="21"/>
                      <w:lang w:val="en-US" w:eastAsia="zh-CN"/>
                    </w:rPr>
                  </w:pPr>
                  <w:r>
                    <w:rPr>
                      <w:b/>
                      <w:bCs/>
                      <w:szCs w:val="21"/>
                    </w:rPr>
                    <w:t>数值</w:t>
                  </w:r>
                </w:p>
              </w:tc>
            </w:tr>
            <w:tr w14:paraId="1420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restart"/>
                  <w:vAlign w:val="center"/>
                </w:tcPr>
                <w:p w14:paraId="2905587B">
                  <w:pPr>
                    <w:widowControl/>
                    <w:adjustRightInd w:val="0"/>
                    <w:snapToGrid w:val="0"/>
                    <w:spacing w:line="240" w:lineRule="atLeast"/>
                    <w:jc w:val="center"/>
                    <w:rPr>
                      <w:rFonts w:hint="eastAsia"/>
                      <w:szCs w:val="21"/>
                      <w:lang w:val="en-US" w:eastAsia="zh-CN"/>
                    </w:rPr>
                  </w:pPr>
                  <w:r>
                    <w:rPr>
                      <w:szCs w:val="21"/>
                    </w:rPr>
                    <w:t>气温</w:t>
                  </w:r>
                </w:p>
              </w:tc>
              <w:tc>
                <w:tcPr>
                  <w:tcW w:w="2803" w:type="dxa"/>
                  <w:vAlign w:val="center"/>
                </w:tcPr>
                <w:p w14:paraId="1B886739">
                  <w:pPr>
                    <w:widowControl/>
                    <w:adjustRightInd w:val="0"/>
                    <w:snapToGrid w:val="0"/>
                    <w:spacing w:line="240" w:lineRule="atLeast"/>
                    <w:jc w:val="center"/>
                    <w:rPr>
                      <w:rFonts w:hint="eastAsia"/>
                      <w:szCs w:val="21"/>
                      <w:lang w:val="en-US" w:eastAsia="zh-CN"/>
                    </w:rPr>
                  </w:pPr>
                  <w:r>
                    <w:rPr>
                      <w:szCs w:val="21"/>
                    </w:rPr>
                    <w:t>年平均气温</w:t>
                  </w:r>
                </w:p>
              </w:tc>
              <w:tc>
                <w:tcPr>
                  <w:tcW w:w="2804" w:type="dxa"/>
                  <w:vAlign w:val="center"/>
                </w:tcPr>
                <w:p w14:paraId="19DDB550">
                  <w:pPr>
                    <w:widowControl/>
                    <w:adjustRightInd w:val="0"/>
                    <w:snapToGrid w:val="0"/>
                    <w:spacing w:line="240" w:lineRule="atLeast"/>
                    <w:jc w:val="center"/>
                    <w:rPr>
                      <w:rFonts w:hint="eastAsia"/>
                      <w:szCs w:val="21"/>
                      <w:lang w:val="en-US" w:eastAsia="zh-CN"/>
                    </w:rPr>
                  </w:pPr>
                  <w:r>
                    <w:rPr>
                      <w:szCs w:val="21"/>
                    </w:rPr>
                    <w:t>14.3℃</w:t>
                  </w:r>
                </w:p>
              </w:tc>
            </w:tr>
            <w:tr w14:paraId="00F3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43CCBE32">
                  <w:pPr>
                    <w:widowControl/>
                    <w:adjustRightInd w:val="0"/>
                    <w:snapToGrid w:val="0"/>
                    <w:spacing w:line="240" w:lineRule="atLeast"/>
                    <w:jc w:val="center"/>
                    <w:rPr>
                      <w:rFonts w:hint="eastAsia"/>
                      <w:szCs w:val="21"/>
                      <w:lang w:val="en-US" w:eastAsia="zh-CN"/>
                    </w:rPr>
                  </w:pPr>
                </w:p>
              </w:tc>
              <w:tc>
                <w:tcPr>
                  <w:tcW w:w="2803" w:type="dxa"/>
                  <w:vAlign w:val="center"/>
                </w:tcPr>
                <w:p w14:paraId="43A1723B">
                  <w:pPr>
                    <w:widowControl/>
                    <w:adjustRightInd w:val="0"/>
                    <w:snapToGrid w:val="0"/>
                    <w:spacing w:line="240" w:lineRule="atLeast"/>
                    <w:jc w:val="center"/>
                    <w:rPr>
                      <w:rFonts w:hint="eastAsia"/>
                      <w:szCs w:val="21"/>
                      <w:lang w:val="en-US" w:eastAsia="zh-CN"/>
                    </w:rPr>
                  </w:pPr>
                  <w:r>
                    <w:rPr>
                      <w:szCs w:val="21"/>
                    </w:rPr>
                    <w:t>极端最高温度</w:t>
                  </w:r>
                </w:p>
              </w:tc>
              <w:tc>
                <w:tcPr>
                  <w:tcW w:w="2804" w:type="dxa"/>
                  <w:vAlign w:val="center"/>
                </w:tcPr>
                <w:p w14:paraId="6F34F3ED">
                  <w:pPr>
                    <w:widowControl/>
                    <w:adjustRightInd w:val="0"/>
                    <w:snapToGrid w:val="0"/>
                    <w:spacing w:line="240" w:lineRule="atLeast"/>
                    <w:jc w:val="center"/>
                    <w:rPr>
                      <w:rFonts w:hint="eastAsia"/>
                      <w:szCs w:val="21"/>
                      <w:lang w:val="en-US" w:eastAsia="zh-CN"/>
                    </w:rPr>
                  </w:pPr>
                  <w:r>
                    <w:rPr>
                      <w:szCs w:val="21"/>
                    </w:rPr>
                    <w:t>36.6℃</w:t>
                  </w:r>
                </w:p>
              </w:tc>
            </w:tr>
            <w:tr w14:paraId="1108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4C8CF081">
                  <w:pPr>
                    <w:widowControl/>
                    <w:adjustRightInd w:val="0"/>
                    <w:snapToGrid w:val="0"/>
                    <w:spacing w:line="240" w:lineRule="atLeast"/>
                    <w:jc w:val="center"/>
                    <w:rPr>
                      <w:rFonts w:hint="eastAsia"/>
                      <w:szCs w:val="21"/>
                      <w:lang w:val="en-US" w:eastAsia="zh-CN"/>
                    </w:rPr>
                  </w:pPr>
                </w:p>
              </w:tc>
              <w:tc>
                <w:tcPr>
                  <w:tcW w:w="2803" w:type="dxa"/>
                  <w:vAlign w:val="center"/>
                </w:tcPr>
                <w:p w14:paraId="033164CC">
                  <w:pPr>
                    <w:widowControl/>
                    <w:adjustRightInd w:val="0"/>
                    <w:snapToGrid w:val="0"/>
                    <w:spacing w:line="240" w:lineRule="atLeast"/>
                    <w:jc w:val="center"/>
                    <w:rPr>
                      <w:rFonts w:hint="eastAsia"/>
                      <w:szCs w:val="21"/>
                      <w:lang w:val="en-US" w:eastAsia="zh-CN"/>
                    </w:rPr>
                  </w:pPr>
                  <w:r>
                    <w:rPr>
                      <w:szCs w:val="21"/>
                    </w:rPr>
                    <w:t>极端最低温度</w:t>
                  </w:r>
                </w:p>
              </w:tc>
              <w:tc>
                <w:tcPr>
                  <w:tcW w:w="2804" w:type="dxa"/>
                  <w:vAlign w:val="center"/>
                </w:tcPr>
                <w:p w14:paraId="0CB8B77D">
                  <w:pPr>
                    <w:widowControl/>
                    <w:adjustRightInd w:val="0"/>
                    <w:snapToGrid w:val="0"/>
                    <w:spacing w:line="240" w:lineRule="atLeast"/>
                    <w:jc w:val="center"/>
                    <w:rPr>
                      <w:rFonts w:hint="eastAsia"/>
                      <w:szCs w:val="21"/>
                      <w:lang w:val="en-US" w:eastAsia="zh-CN"/>
                    </w:rPr>
                  </w:pPr>
                  <w:r>
                    <w:rPr>
                      <w:szCs w:val="21"/>
                    </w:rPr>
                    <w:t>-10.0℃</w:t>
                  </w:r>
                </w:p>
              </w:tc>
            </w:tr>
            <w:tr w14:paraId="1184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5123B3CB">
                  <w:pPr>
                    <w:widowControl/>
                    <w:adjustRightInd w:val="0"/>
                    <w:snapToGrid w:val="0"/>
                    <w:spacing w:line="240" w:lineRule="atLeast"/>
                    <w:jc w:val="center"/>
                    <w:rPr>
                      <w:rFonts w:hint="eastAsia"/>
                      <w:szCs w:val="21"/>
                      <w:lang w:val="en-US" w:eastAsia="zh-CN"/>
                    </w:rPr>
                  </w:pPr>
                </w:p>
              </w:tc>
              <w:tc>
                <w:tcPr>
                  <w:tcW w:w="2803" w:type="dxa"/>
                  <w:vAlign w:val="center"/>
                </w:tcPr>
                <w:p w14:paraId="4664366E">
                  <w:pPr>
                    <w:widowControl/>
                    <w:adjustRightInd w:val="0"/>
                    <w:snapToGrid w:val="0"/>
                    <w:spacing w:line="240" w:lineRule="atLeast"/>
                    <w:jc w:val="center"/>
                    <w:rPr>
                      <w:rFonts w:hint="eastAsia"/>
                      <w:szCs w:val="21"/>
                      <w:lang w:val="en-US" w:eastAsia="zh-CN"/>
                    </w:rPr>
                  </w:pPr>
                  <w:r>
                    <w:rPr>
                      <w:szCs w:val="21"/>
                    </w:rPr>
                    <w:t>最热月平均气温</w:t>
                  </w:r>
                </w:p>
              </w:tc>
              <w:tc>
                <w:tcPr>
                  <w:tcW w:w="2804" w:type="dxa"/>
                  <w:vAlign w:val="center"/>
                </w:tcPr>
                <w:p w14:paraId="29A79594">
                  <w:pPr>
                    <w:widowControl/>
                    <w:adjustRightInd w:val="0"/>
                    <w:snapToGrid w:val="0"/>
                    <w:spacing w:line="240" w:lineRule="atLeast"/>
                    <w:jc w:val="center"/>
                    <w:rPr>
                      <w:rFonts w:hint="eastAsia"/>
                      <w:szCs w:val="21"/>
                      <w:lang w:val="en-US" w:eastAsia="zh-CN"/>
                    </w:rPr>
                  </w:pPr>
                  <w:r>
                    <w:rPr>
                      <w:szCs w:val="21"/>
                    </w:rPr>
                    <w:t>26.7℃</w:t>
                  </w:r>
                </w:p>
              </w:tc>
            </w:tr>
            <w:tr w14:paraId="7D58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7957A53E">
                  <w:pPr>
                    <w:widowControl/>
                    <w:adjustRightInd w:val="0"/>
                    <w:snapToGrid w:val="0"/>
                    <w:spacing w:line="240" w:lineRule="atLeast"/>
                    <w:jc w:val="center"/>
                    <w:rPr>
                      <w:rFonts w:hint="eastAsia"/>
                      <w:szCs w:val="21"/>
                      <w:lang w:val="en-US" w:eastAsia="zh-CN"/>
                    </w:rPr>
                  </w:pPr>
                </w:p>
              </w:tc>
              <w:tc>
                <w:tcPr>
                  <w:tcW w:w="2803" w:type="dxa"/>
                  <w:vAlign w:val="center"/>
                </w:tcPr>
                <w:p w14:paraId="015A2876">
                  <w:pPr>
                    <w:widowControl/>
                    <w:adjustRightInd w:val="0"/>
                    <w:snapToGrid w:val="0"/>
                    <w:spacing w:line="240" w:lineRule="atLeast"/>
                    <w:jc w:val="center"/>
                    <w:rPr>
                      <w:rFonts w:hint="eastAsia"/>
                      <w:szCs w:val="21"/>
                      <w:lang w:val="en-US" w:eastAsia="zh-CN"/>
                    </w:rPr>
                  </w:pPr>
                  <w:r>
                    <w:rPr>
                      <w:szCs w:val="21"/>
                    </w:rPr>
                    <w:t>最冷月平均气温</w:t>
                  </w:r>
                </w:p>
              </w:tc>
              <w:tc>
                <w:tcPr>
                  <w:tcW w:w="2804" w:type="dxa"/>
                  <w:vAlign w:val="center"/>
                </w:tcPr>
                <w:p w14:paraId="21E6771E">
                  <w:pPr>
                    <w:widowControl/>
                    <w:adjustRightInd w:val="0"/>
                    <w:snapToGrid w:val="0"/>
                    <w:spacing w:line="240" w:lineRule="atLeast"/>
                    <w:jc w:val="center"/>
                    <w:rPr>
                      <w:rFonts w:hint="eastAsia"/>
                      <w:szCs w:val="21"/>
                      <w:lang w:val="en-US" w:eastAsia="zh-CN"/>
                    </w:rPr>
                  </w:pPr>
                  <w:r>
                    <w:rPr>
                      <w:szCs w:val="21"/>
                    </w:rPr>
                    <w:t>0.3℃</w:t>
                  </w:r>
                </w:p>
              </w:tc>
            </w:tr>
            <w:tr w14:paraId="62EB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restart"/>
                  <w:vAlign w:val="center"/>
                </w:tcPr>
                <w:p w14:paraId="2280F661">
                  <w:pPr>
                    <w:widowControl/>
                    <w:adjustRightInd w:val="0"/>
                    <w:snapToGrid w:val="0"/>
                    <w:spacing w:line="240" w:lineRule="atLeast"/>
                    <w:jc w:val="center"/>
                    <w:rPr>
                      <w:rFonts w:hint="eastAsia"/>
                      <w:szCs w:val="21"/>
                      <w:lang w:val="en-US" w:eastAsia="zh-CN"/>
                    </w:rPr>
                  </w:pPr>
                  <w:r>
                    <w:rPr>
                      <w:szCs w:val="21"/>
                    </w:rPr>
                    <w:t>风速</w:t>
                  </w:r>
                </w:p>
              </w:tc>
              <w:tc>
                <w:tcPr>
                  <w:tcW w:w="2803" w:type="dxa"/>
                  <w:vAlign w:val="center"/>
                </w:tcPr>
                <w:p w14:paraId="453F31CA">
                  <w:pPr>
                    <w:widowControl/>
                    <w:adjustRightInd w:val="0"/>
                    <w:snapToGrid w:val="0"/>
                    <w:spacing w:line="240" w:lineRule="atLeast"/>
                    <w:jc w:val="center"/>
                    <w:rPr>
                      <w:rFonts w:hint="eastAsia"/>
                      <w:szCs w:val="21"/>
                      <w:lang w:val="en-US" w:eastAsia="zh-CN"/>
                    </w:rPr>
                  </w:pPr>
                  <w:r>
                    <w:rPr>
                      <w:szCs w:val="21"/>
                    </w:rPr>
                    <w:t>年平均风速</w:t>
                  </w:r>
                </w:p>
              </w:tc>
              <w:tc>
                <w:tcPr>
                  <w:tcW w:w="2804" w:type="dxa"/>
                  <w:vAlign w:val="center"/>
                </w:tcPr>
                <w:p w14:paraId="4BB31B07">
                  <w:pPr>
                    <w:widowControl/>
                    <w:adjustRightInd w:val="0"/>
                    <w:snapToGrid w:val="0"/>
                    <w:spacing w:line="240" w:lineRule="atLeast"/>
                    <w:jc w:val="center"/>
                    <w:rPr>
                      <w:rFonts w:hint="eastAsia"/>
                      <w:szCs w:val="21"/>
                      <w:lang w:val="en-US" w:eastAsia="zh-CN"/>
                    </w:rPr>
                  </w:pPr>
                  <w:r>
                    <w:rPr>
                      <w:szCs w:val="21"/>
                    </w:rPr>
                    <w:t>2.3m/s</w:t>
                  </w:r>
                </w:p>
              </w:tc>
            </w:tr>
            <w:tr w14:paraId="7F3E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584FA597">
                  <w:pPr>
                    <w:widowControl/>
                    <w:adjustRightInd w:val="0"/>
                    <w:snapToGrid w:val="0"/>
                    <w:spacing w:line="240" w:lineRule="atLeast"/>
                    <w:jc w:val="center"/>
                    <w:rPr>
                      <w:rFonts w:hint="eastAsia"/>
                      <w:szCs w:val="21"/>
                      <w:lang w:val="en-US" w:eastAsia="zh-CN"/>
                    </w:rPr>
                  </w:pPr>
                </w:p>
              </w:tc>
              <w:tc>
                <w:tcPr>
                  <w:tcW w:w="2803" w:type="dxa"/>
                  <w:vAlign w:val="center"/>
                </w:tcPr>
                <w:p w14:paraId="58D5B49A">
                  <w:pPr>
                    <w:widowControl/>
                    <w:adjustRightInd w:val="0"/>
                    <w:snapToGrid w:val="0"/>
                    <w:spacing w:line="240" w:lineRule="atLeast"/>
                    <w:jc w:val="center"/>
                    <w:rPr>
                      <w:rFonts w:hint="eastAsia"/>
                      <w:szCs w:val="21"/>
                      <w:lang w:val="en-US" w:eastAsia="zh-CN"/>
                    </w:rPr>
                  </w:pPr>
                  <w:r>
                    <w:rPr>
                      <w:szCs w:val="21"/>
                    </w:rPr>
                    <w:t>最大风速</w:t>
                  </w:r>
                </w:p>
              </w:tc>
              <w:tc>
                <w:tcPr>
                  <w:tcW w:w="2804" w:type="dxa"/>
                  <w:vAlign w:val="center"/>
                </w:tcPr>
                <w:p w14:paraId="0049076B">
                  <w:pPr>
                    <w:widowControl/>
                    <w:adjustRightInd w:val="0"/>
                    <w:snapToGrid w:val="0"/>
                    <w:spacing w:line="240" w:lineRule="atLeast"/>
                    <w:jc w:val="center"/>
                    <w:rPr>
                      <w:rFonts w:hint="eastAsia"/>
                      <w:szCs w:val="21"/>
                      <w:lang w:val="en-US" w:eastAsia="zh-CN"/>
                    </w:rPr>
                  </w:pPr>
                  <w:r>
                    <w:rPr>
                      <w:szCs w:val="21"/>
                    </w:rPr>
                    <w:t>20.9m/s</w:t>
                  </w:r>
                </w:p>
              </w:tc>
            </w:tr>
            <w:tr w14:paraId="17B6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4EBBE3E9">
                  <w:pPr>
                    <w:widowControl/>
                    <w:adjustRightInd w:val="0"/>
                    <w:snapToGrid w:val="0"/>
                    <w:spacing w:line="240" w:lineRule="atLeast"/>
                    <w:jc w:val="center"/>
                    <w:rPr>
                      <w:rFonts w:hint="eastAsia"/>
                      <w:szCs w:val="21"/>
                      <w:lang w:val="en-US" w:eastAsia="zh-CN"/>
                    </w:rPr>
                  </w:pPr>
                  <w:r>
                    <w:rPr>
                      <w:szCs w:val="21"/>
                    </w:rPr>
                    <w:t>气压</w:t>
                  </w:r>
                </w:p>
              </w:tc>
              <w:tc>
                <w:tcPr>
                  <w:tcW w:w="2803" w:type="dxa"/>
                  <w:vAlign w:val="center"/>
                </w:tcPr>
                <w:p w14:paraId="3AED4F0B">
                  <w:pPr>
                    <w:widowControl/>
                    <w:adjustRightInd w:val="0"/>
                    <w:snapToGrid w:val="0"/>
                    <w:spacing w:line="240" w:lineRule="atLeast"/>
                    <w:jc w:val="center"/>
                    <w:rPr>
                      <w:rFonts w:hint="eastAsia"/>
                      <w:szCs w:val="21"/>
                      <w:lang w:val="en-US" w:eastAsia="zh-CN"/>
                    </w:rPr>
                  </w:pPr>
                  <w:r>
                    <w:rPr>
                      <w:szCs w:val="21"/>
                    </w:rPr>
                    <w:t>年平均大气压</w:t>
                  </w:r>
                </w:p>
              </w:tc>
              <w:tc>
                <w:tcPr>
                  <w:tcW w:w="2804" w:type="dxa"/>
                  <w:vAlign w:val="center"/>
                </w:tcPr>
                <w:p w14:paraId="26F2775F">
                  <w:pPr>
                    <w:widowControl/>
                    <w:adjustRightInd w:val="0"/>
                    <w:snapToGrid w:val="0"/>
                    <w:spacing w:line="240" w:lineRule="atLeast"/>
                    <w:jc w:val="center"/>
                    <w:rPr>
                      <w:rFonts w:hint="eastAsia"/>
                      <w:szCs w:val="21"/>
                      <w:lang w:val="en-US" w:eastAsia="zh-CN"/>
                    </w:rPr>
                  </w:pPr>
                  <w:r>
                    <w:rPr>
                      <w:szCs w:val="21"/>
                    </w:rPr>
                    <w:t>101.6Kpa</w:t>
                  </w:r>
                </w:p>
              </w:tc>
            </w:tr>
            <w:tr w14:paraId="147E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restart"/>
                  <w:vAlign w:val="center"/>
                </w:tcPr>
                <w:p w14:paraId="3D54D344">
                  <w:pPr>
                    <w:widowControl/>
                    <w:adjustRightInd w:val="0"/>
                    <w:snapToGrid w:val="0"/>
                    <w:spacing w:line="240" w:lineRule="atLeast"/>
                    <w:jc w:val="center"/>
                    <w:rPr>
                      <w:rFonts w:hint="eastAsia"/>
                      <w:szCs w:val="21"/>
                      <w:lang w:val="en-US" w:eastAsia="zh-CN"/>
                    </w:rPr>
                  </w:pPr>
                  <w:r>
                    <w:rPr>
                      <w:szCs w:val="21"/>
                    </w:rPr>
                    <w:t>空气湿度</w:t>
                  </w:r>
                </w:p>
              </w:tc>
              <w:tc>
                <w:tcPr>
                  <w:tcW w:w="2803" w:type="dxa"/>
                  <w:vAlign w:val="center"/>
                </w:tcPr>
                <w:p w14:paraId="283BE243">
                  <w:pPr>
                    <w:widowControl/>
                    <w:adjustRightInd w:val="0"/>
                    <w:snapToGrid w:val="0"/>
                    <w:spacing w:line="240" w:lineRule="atLeast"/>
                    <w:jc w:val="center"/>
                    <w:rPr>
                      <w:rFonts w:hint="eastAsia"/>
                      <w:szCs w:val="21"/>
                      <w:lang w:val="en-US" w:eastAsia="zh-CN"/>
                    </w:rPr>
                  </w:pPr>
                  <w:r>
                    <w:rPr>
                      <w:szCs w:val="21"/>
                    </w:rPr>
                    <w:t>年平均相对湿度</w:t>
                  </w:r>
                </w:p>
              </w:tc>
              <w:tc>
                <w:tcPr>
                  <w:tcW w:w="2804" w:type="dxa"/>
                  <w:vAlign w:val="center"/>
                </w:tcPr>
                <w:p w14:paraId="5DB37960">
                  <w:pPr>
                    <w:widowControl/>
                    <w:adjustRightInd w:val="0"/>
                    <w:snapToGrid w:val="0"/>
                    <w:spacing w:line="240" w:lineRule="atLeast"/>
                    <w:jc w:val="center"/>
                    <w:rPr>
                      <w:rFonts w:hint="eastAsia"/>
                      <w:szCs w:val="21"/>
                      <w:lang w:val="en-US" w:eastAsia="zh-CN"/>
                    </w:rPr>
                  </w:pPr>
                  <w:r>
                    <w:rPr>
                      <w:szCs w:val="21"/>
                    </w:rPr>
                    <w:t>71.9%</w:t>
                  </w:r>
                </w:p>
              </w:tc>
            </w:tr>
            <w:tr w14:paraId="33F7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3BE5F390">
                  <w:pPr>
                    <w:widowControl/>
                    <w:adjustRightInd w:val="0"/>
                    <w:snapToGrid w:val="0"/>
                    <w:spacing w:line="240" w:lineRule="atLeast"/>
                    <w:jc w:val="center"/>
                    <w:rPr>
                      <w:rFonts w:hint="eastAsia"/>
                      <w:szCs w:val="21"/>
                      <w:lang w:val="en-US" w:eastAsia="zh-CN"/>
                    </w:rPr>
                  </w:pPr>
                </w:p>
              </w:tc>
              <w:tc>
                <w:tcPr>
                  <w:tcW w:w="2803" w:type="dxa"/>
                  <w:vAlign w:val="center"/>
                </w:tcPr>
                <w:p w14:paraId="5546937F">
                  <w:pPr>
                    <w:widowControl/>
                    <w:adjustRightInd w:val="0"/>
                    <w:snapToGrid w:val="0"/>
                    <w:spacing w:line="240" w:lineRule="atLeast"/>
                    <w:jc w:val="center"/>
                    <w:rPr>
                      <w:rFonts w:hint="eastAsia"/>
                      <w:szCs w:val="21"/>
                      <w:lang w:val="en-US" w:eastAsia="zh-CN"/>
                    </w:rPr>
                  </w:pPr>
                  <w:r>
                    <w:rPr>
                      <w:szCs w:val="21"/>
                    </w:rPr>
                    <w:t>最热平均相对湿度</w:t>
                  </w:r>
                </w:p>
              </w:tc>
              <w:tc>
                <w:tcPr>
                  <w:tcW w:w="2804" w:type="dxa"/>
                  <w:vAlign w:val="center"/>
                </w:tcPr>
                <w:p w14:paraId="335F61FC">
                  <w:pPr>
                    <w:widowControl/>
                    <w:adjustRightInd w:val="0"/>
                    <w:snapToGrid w:val="0"/>
                    <w:spacing w:line="240" w:lineRule="atLeast"/>
                    <w:jc w:val="center"/>
                    <w:rPr>
                      <w:rFonts w:hint="eastAsia"/>
                      <w:szCs w:val="21"/>
                      <w:lang w:val="en-US" w:eastAsia="zh-CN"/>
                    </w:rPr>
                  </w:pPr>
                  <w:r>
                    <w:rPr>
                      <w:szCs w:val="21"/>
                    </w:rPr>
                    <w:t>75%</w:t>
                  </w:r>
                </w:p>
              </w:tc>
            </w:tr>
            <w:tr w14:paraId="3A87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7B3EC106">
                  <w:pPr>
                    <w:widowControl/>
                    <w:adjustRightInd w:val="0"/>
                    <w:snapToGrid w:val="0"/>
                    <w:spacing w:line="240" w:lineRule="atLeast"/>
                    <w:jc w:val="center"/>
                    <w:rPr>
                      <w:rFonts w:hint="eastAsia"/>
                      <w:szCs w:val="21"/>
                      <w:lang w:val="en-US" w:eastAsia="zh-CN"/>
                    </w:rPr>
                  </w:pPr>
                </w:p>
              </w:tc>
              <w:tc>
                <w:tcPr>
                  <w:tcW w:w="2803" w:type="dxa"/>
                  <w:vAlign w:val="center"/>
                </w:tcPr>
                <w:p w14:paraId="79B557F7">
                  <w:pPr>
                    <w:widowControl/>
                    <w:adjustRightInd w:val="0"/>
                    <w:snapToGrid w:val="0"/>
                    <w:spacing w:line="240" w:lineRule="atLeast"/>
                    <w:jc w:val="center"/>
                    <w:rPr>
                      <w:rFonts w:hint="eastAsia"/>
                      <w:szCs w:val="21"/>
                      <w:lang w:val="en-US" w:eastAsia="zh-CN"/>
                    </w:rPr>
                  </w:pPr>
                  <w:r>
                    <w:rPr>
                      <w:szCs w:val="21"/>
                    </w:rPr>
                    <w:t>最冷平均相对湿度</w:t>
                  </w:r>
                </w:p>
              </w:tc>
              <w:tc>
                <w:tcPr>
                  <w:tcW w:w="2804" w:type="dxa"/>
                  <w:vAlign w:val="center"/>
                </w:tcPr>
                <w:p w14:paraId="5B88F12E">
                  <w:pPr>
                    <w:widowControl/>
                    <w:adjustRightInd w:val="0"/>
                    <w:snapToGrid w:val="0"/>
                    <w:spacing w:line="240" w:lineRule="atLeast"/>
                    <w:jc w:val="center"/>
                    <w:rPr>
                      <w:rFonts w:hint="eastAsia"/>
                      <w:szCs w:val="21"/>
                      <w:lang w:val="en-US" w:eastAsia="zh-CN"/>
                    </w:rPr>
                  </w:pPr>
                  <w:r>
                    <w:rPr>
                      <w:szCs w:val="21"/>
                    </w:rPr>
                    <w:t>68%</w:t>
                  </w:r>
                </w:p>
              </w:tc>
            </w:tr>
            <w:tr w14:paraId="2030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restart"/>
                  <w:vAlign w:val="center"/>
                </w:tcPr>
                <w:p w14:paraId="0913CC25">
                  <w:pPr>
                    <w:widowControl/>
                    <w:adjustRightInd w:val="0"/>
                    <w:snapToGrid w:val="0"/>
                    <w:spacing w:line="240" w:lineRule="atLeast"/>
                    <w:jc w:val="center"/>
                    <w:rPr>
                      <w:rFonts w:hint="eastAsia"/>
                      <w:szCs w:val="21"/>
                      <w:lang w:val="en-US" w:eastAsia="zh-CN"/>
                    </w:rPr>
                  </w:pPr>
                  <w:r>
                    <w:rPr>
                      <w:szCs w:val="21"/>
                    </w:rPr>
                    <w:t>降雨量</w:t>
                  </w:r>
                </w:p>
              </w:tc>
              <w:tc>
                <w:tcPr>
                  <w:tcW w:w="2803" w:type="dxa"/>
                  <w:vAlign w:val="center"/>
                </w:tcPr>
                <w:p w14:paraId="578BD38D">
                  <w:pPr>
                    <w:widowControl/>
                    <w:adjustRightInd w:val="0"/>
                    <w:snapToGrid w:val="0"/>
                    <w:spacing w:line="240" w:lineRule="atLeast"/>
                    <w:jc w:val="center"/>
                    <w:rPr>
                      <w:rFonts w:hint="eastAsia"/>
                      <w:szCs w:val="21"/>
                      <w:lang w:val="en-US" w:eastAsia="zh-CN"/>
                    </w:rPr>
                  </w:pPr>
                  <w:r>
                    <w:rPr>
                      <w:szCs w:val="21"/>
                    </w:rPr>
                    <w:t>年平均降水量</w:t>
                  </w:r>
                </w:p>
              </w:tc>
              <w:tc>
                <w:tcPr>
                  <w:tcW w:w="2804" w:type="dxa"/>
                  <w:vAlign w:val="center"/>
                </w:tcPr>
                <w:p w14:paraId="4109D69F">
                  <w:pPr>
                    <w:widowControl/>
                    <w:adjustRightInd w:val="0"/>
                    <w:snapToGrid w:val="0"/>
                    <w:spacing w:line="240" w:lineRule="atLeast"/>
                    <w:jc w:val="center"/>
                    <w:rPr>
                      <w:rFonts w:hint="eastAsia"/>
                      <w:szCs w:val="21"/>
                      <w:lang w:val="en-US" w:eastAsia="zh-CN"/>
                    </w:rPr>
                  </w:pPr>
                  <w:r>
                    <w:rPr>
                      <w:szCs w:val="21"/>
                    </w:rPr>
                    <w:t>935.2mm</w:t>
                  </w:r>
                </w:p>
              </w:tc>
            </w:tr>
            <w:tr w14:paraId="05CD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20F67BE7">
                  <w:pPr>
                    <w:widowControl/>
                    <w:adjustRightInd w:val="0"/>
                    <w:snapToGrid w:val="0"/>
                    <w:spacing w:line="240" w:lineRule="atLeast"/>
                    <w:jc w:val="center"/>
                    <w:rPr>
                      <w:rFonts w:hint="eastAsia"/>
                      <w:szCs w:val="21"/>
                      <w:lang w:val="en-US" w:eastAsia="zh-CN"/>
                    </w:rPr>
                  </w:pPr>
                </w:p>
              </w:tc>
              <w:tc>
                <w:tcPr>
                  <w:tcW w:w="2803" w:type="dxa"/>
                  <w:vAlign w:val="center"/>
                </w:tcPr>
                <w:p w14:paraId="4AE43BCA">
                  <w:pPr>
                    <w:widowControl/>
                    <w:adjustRightInd w:val="0"/>
                    <w:snapToGrid w:val="0"/>
                    <w:spacing w:line="240" w:lineRule="atLeast"/>
                    <w:jc w:val="center"/>
                    <w:rPr>
                      <w:rFonts w:hint="eastAsia"/>
                      <w:szCs w:val="21"/>
                      <w:lang w:val="en-US" w:eastAsia="zh-CN"/>
                    </w:rPr>
                  </w:pPr>
                  <w:r>
                    <w:rPr>
                      <w:szCs w:val="21"/>
                    </w:rPr>
                    <w:t>年最大降水量</w:t>
                  </w:r>
                </w:p>
              </w:tc>
              <w:tc>
                <w:tcPr>
                  <w:tcW w:w="2804" w:type="dxa"/>
                  <w:vAlign w:val="center"/>
                </w:tcPr>
                <w:p w14:paraId="6D3F5EA3">
                  <w:pPr>
                    <w:widowControl/>
                    <w:adjustRightInd w:val="0"/>
                    <w:snapToGrid w:val="0"/>
                    <w:spacing w:line="240" w:lineRule="atLeast"/>
                    <w:jc w:val="center"/>
                    <w:rPr>
                      <w:rFonts w:hint="eastAsia"/>
                      <w:szCs w:val="21"/>
                      <w:lang w:val="en-US" w:eastAsia="zh-CN"/>
                    </w:rPr>
                  </w:pPr>
                  <w:r>
                    <w:rPr>
                      <w:szCs w:val="21"/>
                    </w:rPr>
                    <w:t>1237.5mm</w:t>
                  </w:r>
                </w:p>
              </w:tc>
            </w:tr>
            <w:tr w14:paraId="7539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Merge w:val="continue"/>
                  <w:vAlign w:val="center"/>
                </w:tcPr>
                <w:p w14:paraId="70AC9D9E">
                  <w:pPr>
                    <w:widowControl/>
                    <w:adjustRightInd w:val="0"/>
                    <w:snapToGrid w:val="0"/>
                    <w:spacing w:line="240" w:lineRule="atLeast"/>
                    <w:jc w:val="center"/>
                    <w:rPr>
                      <w:rFonts w:hint="eastAsia"/>
                      <w:szCs w:val="21"/>
                      <w:lang w:val="en-US" w:eastAsia="zh-CN"/>
                    </w:rPr>
                  </w:pPr>
                </w:p>
              </w:tc>
              <w:tc>
                <w:tcPr>
                  <w:tcW w:w="2803" w:type="dxa"/>
                  <w:vAlign w:val="center"/>
                </w:tcPr>
                <w:p w14:paraId="5A9F9573">
                  <w:pPr>
                    <w:widowControl/>
                    <w:adjustRightInd w:val="0"/>
                    <w:snapToGrid w:val="0"/>
                    <w:spacing w:line="240" w:lineRule="atLeast"/>
                    <w:jc w:val="center"/>
                    <w:rPr>
                      <w:rFonts w:hint="eastAsia"/>
                      <w:szCs w:val="21"/>
                      <w:lang w:val="en-US" w:eastAsia="zh-CN"/>
                    </w:rPr>
                  </w:pPr>
                  <w:r>
                    <w:rPr>
                      <w:szCs w:val="21"/>
                    </w:rPr>
                    <w:t>日最大降水量</w:t>
                  </w:r>
                </w:p>
              </w:tc>
              <w:tc>
                <w:tcPr>
                  <w:tcW w:w="2804" w:type="dxa"/>
                  <w:vAlign w:val="center"/>
                </w:tcPr>
                <w:p w14:paraId="77C14F37">
                  <w:pPr>
                    <w:widowControl/>
                    <w:adjustRightInd w:val="0"/>
                    <w:snapToGrid w:val="0"/>
                    <w:spacing w:line="240" w:lineRule="atLeast"/>
                    <w:jc w:val="center"/>
                    <w:rPr>
                      <w:rFonts w:hint="eastAsia"/>
                      <w:szCs w:val="21"/>
                      <w:lang w:val="en-US" w:eastAsia="zh-CN"/>
                    </w:rPr>
                  </w:pPr>
                  <w:r>
                    <w:rPr>
                      <w:szCs w:val="21"/>
                    </w:rPr>
                    <w:t>181.0mm</w:t>
                  </w:r>
                </w:p>
              </w:tc>
            </w:tr>
          </w:tbl>
          <w:p w14:paraId="4286C82C">
            <w:pPr>
              <w:pStyle w:val="167"/>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③</w:t>
            </w:r>
            <w:r>
              <w:rPr>
                <w:rFonts w:hint="eastAsia" w:ascii="宋体" w:hAnsi="宋体" w:eastAsia="宋体" w:cs="宋体"/>
                <w:kern w:val="2"/>
                <w:sz w:val="24"/>
                <w:szCs w:val="24"/>
                <w:lang w:val="en-US" w:eastAsia="zh-CN" w:bidi="ar-SA"/>
              </w:rPr>
              <w:t>水文</w:t>
            </w:r>
          </w:p>
          <w:p w14:paraId="0B446484">
            <w:pPr>
              <w:pStyle w:val="167"/>
              <w:keepNext w:val="0"/>
              <w:keepLines w:val="0"/>
              <w:pageBreakBefore w:val="0"/>
              <w:widowControl w:val="0"/>
              <w:kinsoku/>
              <w:wordWrap/>
              <w:overflowPunct/>
              <w:topLinePunct w:val="0"/>
              <w:autoSpaceDE/>
              <w:autoSpaceDN/>
              <w:bidi w:val="0"/>
              <w:spacing w:line="360" w:lineRule="auto"/>
              <w:ind w:right="22"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连云港水系基本属于淮河流域沂沭泗水系，沂沭地区的主要排洪河道新沂河、新沭河等均从市内入海，故有“洪水走廊”之称。境内还有玉带河、龙尾河、兴庄河、青口河、锈针河、柴米河、蔷薇河、善后河、盐河等大小干支河道40余条，有17条为直接入海河流，有盐河等河直接与运河及长江相通。连云港共有水库168座，其中石梁河、小塔山、安峰山水库较大。</w:t>
            </w:r>
          </w:p>
          <w:p w14:paraId="549E48C2">
            <w:pPr>
              <w:pStyle w:val="167"/>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cs="宋体"/>
                <w:sz w:val="24"/>
              </w:rPr>
              <w:t>④</w:t>
            </w:r>
            <w:r>
              <w:rPr>
                <w:rFonts w:hint="eastAsia" w:ascii="宋体" w:hAnsi="宋体" w:eastAsia="宋体" w:cs="宋体"/>
                <w:kern w:val="2"/>
                <w:sz w:val="24"/>
                <w:szCs w:val="24"/>
                <w:lang w:val="en-US" w:eastAsia="zh-CN" w:bidi="ar-SA"/>
              </w:rPr>
              <w:t>动、植物</w:t>
            </w:r>
          </w:p>
          <w:p w14:paraId="2B657A12">
            <w:pPr>
              <w:pStyle w:val="167"/>
              <w:keepNext w:val="0"/>
              <w:keepLines w:val="0"/>
              <w:pageBreakBefore w:val="0"/>
              <w:widowControl w:val="0"/>
              <w:kinsoku/>
              <w:wordWrap/>
              <w:overflowPunct/>
              <w:topLinePunct w:val="0"/>
              <w:autoSpaceDE/>
              <w:autoSpaceDN/>
              <w:bidi w:val="0"/>
              <w:spacing w:line="360" w:lineRule="auto"/>
              <w:ind w:right="219"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本项目评价区内主要分布的为小型动物，尤其是啮齿类动物较多，当地常见动物种类有老鼠、麻雀、野兔、蛇及各种常见昆虫等。</w:t>
            </w:r>
          </w:p>
          <w:p w14:paraId="7299D05D">
            <w:pPr>
              <w:pStyle w:val="167"/>
              <w:keepNext w:val="0"/>
              <w:keepLines w:val="0"/>
              <w:pageBreakBefore w:val="0"/>
              <w:widowControl w:val="0"/>
              <w:kinsoku/>
              <w:wordWrap/>
              <w:overflowPunct/>
              <w:topLinePunct w:val="0"/>
              <w:autoSpaceDE/>
              <w:autoSpaceDN/>
              <w:bidi w:val="0"/>
              <w:spacing w:line="360" w:lineRule="auto"/>
              <w:ind w:right="219"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按照中国植被区划，连云港市处于亚热带常绿阔叶林带向温带落叶阔叶林带过渡地带。</w:t>
            </w:r>
          </w:p>
          <w:p w14:paraId="1EA773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eastAsia="宋体" w:cs="宋体"/>
                <w:kern w:val="2"/>
                <w:sz w:val="24"/>
                <w:szCs w:val="24"/>
                <w:lang w:val="en-US" w:eastAsia="zh-CN" w:bidi="ar-SA"/>
              </w:rPr>
              <w:t>本工程地块内目前主要为开挖的人工鱼塘。周边植被类型为人工种植的农作物及野生杂草，无原生植被。项目建设完成后保留现有作物种植类型及生长习性</w:t>
            </w:r>
            <w:r>
              <w:rPr>
                <w:rFonts w:hint="eastAsia" w:ascii="宋体" w:hAnsi="宋体" w:cs="宋体"/>
                <w:kern w:val="2"/>
                <w:sz w:val="24"/>
                <w:szCs w:val="24"/>
                <w:lang w:val="en-US" w:eastAsia="zh-CN" w:bidi="ar-SA"/>
              </w:rPr>
              <w:t>。</w:t>
            </w:r>
          </w:p>
          <w:p w14:paraId="58265DA7">
            <w:pPr>
              <w:adjustRightInd w:val="0"/>
              <w:snapToGrid w:val="0"/>
              <w:spacing w:line="360" w:lineRule="auto"/>
              <w:ind w:firstLine="480" w:firstLineChars="200"/>
              <w:rPr>
                <w:sz w:val="24"/>
              </w:rPr>
            </w:pPr>
            <w:r>
              <w:rPr>
                <w:rFonts w:hint="eastAsia"/>
                <w:sz w:val="24"/>
                <w:lang w:val="en-US" w:eastAsia="zh-CN"/>
              </w:rPr>
              <w:t>且</w:t>
            </w:r>
            <w:r>
              <w:rPr>
                <w:sz w:val="24"/>
              </w:rPr>
              <w:t>由于人为活动频繁，野生动物的原始生境已不存在，因此基本可以排除在评价范围内有大型野生动物分布的可能。据调查了解，本项目对鸟类主要迁徙通道和迁徙地影响较小，同时也未发现受保护的国家一、二级野生动物。</w:t>
            </w:r>
          </w:p>
          <w:p w14:paraId="49A69976">
            <w:pPr>
              <w:adjustRightInd w:val="0"/>
              <w:snapToGrid w:val="0"/>
              <w:spacing w:line="360" w:lineRule="auto"/>
              <w:ind w:firstLine="482" w:firstLineChars="200"/>
              <w:rPr>
                <w:b/>
                <w:bCs/>
                <w:kern w:val="0"/>
                <w:sz w:val="24"/>
                <w:szCs w:val="21"/>
              </w:rPr>
            </w:pPr>
            <w:r>
              <w:rPr>
                <w:b/>
                <w:bCs/>
                <w:kern w:val="0"/>
                <w:sz w:val="24"/>
                <w:szCs w:val="21"/>
              </w:rPr>
              <w:t>2、地表水环境</w:t>
            </w:r>
            <w:r>
              <w:rPr>
                <w:b/>
                <w:kern w:val="0"/>
                <w:sz w:val="24"/>
                <w:lang w:val="zh-CN"/>
              </w:rPr>
              <w:t>质量现状</w:t>
            </w:r>
          </w:p>
          <w:p w14:paraId="40803D70">
            <w:pPr>
              <w:adjustRightInd w:val="0"/>
              <w:snapToGrid w:val="0"/>
              <w:spacing w:line="360" w:lineRule="auto"/>
              <w:ind w:firstLine="480" w:firstLineChars="200"/>
              <w:rPr>
                <w:sz w:val="24"/>
              </w:rPr>
            </w:pPr>
            <w:r>
              <w:rPr>
                <w:sz w:val="24"/>
              </w:rPr>
              <w:t>本项目位于</w:t>
            </w:r>
            <w:r>
              <w:rPr>
                <w:rFonts w:hint="eastAsia"/>
                <w:sz w:val="24"/>
              </w:rPr>
              <w:t>连云港市经济技术开发区</w:t>
            </w:r>
            <w:r>
              <w:rPr>
                <w:sz w:val="24"/>
              </w:rPr>
              <w:t>，属淮河流域。项目附近较近的地表水体有通榆河。根据连云港市生态环境局2024年1月11日发布的《2023年12月连云港市地表水质量状况》中关于对通榆沭南闸断面的2023年12月的监测结果：通榆河沭南闸断面2023年12月平均水质类别为Ⅲ类水质，满足《地表水环境质量标准（GB3838-2002）》中Ⅲ类水质标准要求。</w:t>
            </w:r>
          </w:p>
          <w:p w14:paraId="7E771A9D">
            <w:pPr>
              <w:adjustRightInd w:val="0"/>
              <w:snapToGrid w:val="0"/>
              <w:spacing w:line="360" w:lineRule="auto"/>
              <w:ind w:firstLine="482" w:firstLineChars="200"/>
              <w:rPr>
                <w:b/>
                <w:bCs/>
                <w:kern w:val="0"/>
                <w:sz w:val="24"/>
                <w:szCs w:val="21"/>
              </w:rPr>
            </w:pPr>
            <w:r>
              <w:rPr>
                <w:b/>
                <w:bCs/>
                <w:kern w:val="0"/>
                <w:sz w:val="24"/>
                <w:szCs w:val="21"/>
              </w:rPr>
              <w:t>3、大气环境</w:t>
            </w:r>
            <w:r>
              <w:rPr>
                <w:b/>
                <w:kern w:val="0"/>
                <w:sz w:val="24"/>
                <w:lang w:val="zh-CN"/>
              </w:rPr>
              <w:t>质量现状</w:t>
            </w:r>
          </w:p>
          <w:p w14:paraId="75C13E90">
            <w:pPr>
              <w:pStyle w:val="10"/>
              <w:adjustRightInd w:val="0"/>
              <w:spacing w:before="0" w:after="0" w:line="360" w:lineRule="auto"/>
              <w:ind w:right="0" w:firstLine="480" w:firstLineChars="200"/>
              <w:rPr>
                <w:sz w:val="24"/>
                <w:szCs w:val="24"/>
              </w:rPr>
            </w:pPr>
            <w:r>
              <w:rPr>
                <w:sz w:val="24"/>
                <w:szCs w:val="24"/>
              </w:rPr>
              <w:t>根据《202</w:t>
            </w:r>
            <w:r>
              <w:rPr>
                <w:rFonts w:hint="eastAsia"/>
                <w:sz w:val="24"/>
                <w:szCs w:val="24"/>
              </w:rPr>
              <w:t>3</w:t>
            </w:r>
            <w:r>
              <w:rPr>
                <w:sz w:val="24"/>
                <w:szCs w:val="24"/>
              </w:rPr>
              <w:t>年度连云港市生态环境质量状况公报》，</w:t>
            </w:r>
            <w:r>
              <w:rPr>
                <w:sz w:val="24"/>
                <w:szCs w:val="24"/>
                <w:lang w:bidi="ar"/>
              </w:rPr>
              <w:t>2023年，连云港市环境空气中二氧化硫、二氧化氮、可吸入颗粒物（PM</w:t>
            </w:r>
            <w:r>
              <w:rPr>
                <w:sz w:val="24"/>
                <w:szCs w:val="24"/>
                <w:vertAlign w:val="subscript"/>
                <w:lang w:bidi="ar"/>
              </w:rPr>
              <w:t>10</w:t>
            </w:r>
            <w:r>
              <w:rPr>
                <w:sz w:val="24"/>
                <w:szCs w:val="24"/>
                <w:lang w:bidi="ar"/>
              </w:rPr>
              <w:t>）和细颗粒物（PM</w:t>
            </w:r>
            <w:r>
              <w:rPr>
                <w:sz w:val="24"/>
                <w:szCs w:val="24"/>
                <w:vertAlign w:val="subscript"/>
                <w:lang w:bidi="ar"/>
              </w:rPr>
              <w:t>2.5</w:t>
            </w:r>
            <w:r>
              <w:rPr>
                <w:sz w:val="24"/>
                <w:szCs w:val="24"/>
                <w:lang w:bidi="ar"/>
              </w:rPr>
              <w:t>）的年均浓度分别为8微克/立方米、24微克/立方米、58微克/立方米和32微克/立方米，一氧化碳24小时平均第95百分位数浓度为1.0毫克/立方米，臭氧日最大8小时滑动平均值的第90百分位数浓度为164微克/立方米。六项污染物浓度同比均上升，同比增幅分别为14.3%、9.1%、7.4%、6.7%、11.1%、3.1%；</w:t>
            </w:r>
            <w:r>
              <w:rPr>
                <w:sz w:val="24"/>
                <w:szCs w:val="24"/>
              </w:rPr>
              <w:t>年度综合评价表明，二氧化硫、二氧化氮、可吸入颗粒物、细颗粒物年均浓度值均满足《环境空气质量标准》（GB3095-2012）二级标准要求；一氧化碳24小时平均第95百分位数浓度满足《环境空气质量标准》（GB3095-2012）二级标准要求；臭氧日最大8小时滑动平均值的第90百分位数浓度超过《环境空气质量标准》（GB3095-2012）二级标准要求。</w:t>
            </w:r>
            <w:r>
              <w:rPr>
                <w:rFonts w:hint="eastAsia"/>
                <w:sz w:val="24"/>
                <w:szCs w:val="24"/>
              </w:rPr>
              <w:t>项目所在区域为环境空气质量不达标区。</w:t>
            </w:r>
          </w:p>
          <w:p w14:paraId="42FD6689">
            <w:pPr>
              <w:jc w:val="center"/>
              <w:rPr>
                <w:b/>
                <w:bCs/>
                <w:sz w:val="24"/>
              </w:rPr>
            </w:pPr>
            <w:r>
              <w:rPr>
                <w:b/>
                <w:bCs/>
                <w:sz w:val="24"/>
              </w:rPr>
              <w:t>表3-</w:t>
            </w:r>
            <w:r>
              <w:rPr>
                <w:rFonts w:hint="eastAsia"/>
                <w:b/>
                <w:bCs/>
                <w:sz w:val="24"/>
                <w:lang w:val="en-US" w:eastAsia="zh-CN"/>
              </w:rPr>
              <w:t>2</w:t>
            </w:r>
            <w:r>
              <w:rPr>
                <w:b/>
                <w:bCs/>
                <w:sz w:val="24"/>
              </w:rPr>
              <w:t xml:space="preserve">  202</w:t>
            </w:r>
            <w:r>
              <w:rPr>
                <w:rFonts w:hint="eastAsia"/>
                <w:b/>
                <w:bCs/>
                <w:sz w:val="24"/>
                <w:lang w:val="en-US" w:eastAsia="zh-CN"/>
              </w:rPr>
              <w:t>3</w:t>
            </w:r>
            <w:r>
              <w:rPr>
                <w:b/>
                <w:bCs/>
                <w:sz w:val="24"/>
              </w:rPr>
              <w:t>年度连云港市空气质量现状评价表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608"/>
              <w:gridCol w:w="1417"/>
              <w:gridCol w:w="1417"/>
              <w:gridCol w:w="1417"/>
              <w:gridCol w:w="1420"/>
            </w:tblGrid>
            <w:tr w14:paraId="0511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0" w:type="pct"/>
                  <w:vAlign w:val="center"/>
                </w:tcPr>
                <w:p w14:paraId="52907CDC">
                  <w:pPr>
                    <w:widowControl/>
                    <w:adjustRightInd w:val="0"/>
                    <w:snapToGrid w:val="0"/>
                    <w:spacing w:line="240" w:lineRule="atLeast"/>
                    <w:jc w:val="center"/>
                    <w:rPr>
                      <w:b/>
                      <w:bCs/>
                      <w:szCs w:val="21"/>
                    </w:rPr>
                  </w:pPr>
                  <w:r>
                    <w:rPr>
                      <w:b/>
                      <w:bCs/>
                      <w:szCs w:val="21"/>
                    </w:rPr>
                    <w:t>污染物</w:t>
                  </w:r>
                </w:p>
              </w:tc>
              <w:tc>
                <w:tcPr>
                  <w:tcW w:w="945" w:type="pct"/>
                  <w:vAlign w:val="center"/>
                </w:tcPr>
                <w:p w14:paraId="65FABB00">
                  <w:pPr>
                    <w:widowControl/>
                    <w:adjustRightInd w:val="0"/>
                    <w:snapToGrid w:val="0"/>
                    <w:spacing w:line="240" w:lineRule="atLeast"/>
                    <w:jc w:val="center"/>
                    <w:rPr>
                      <w:b/>
                      <w:bCs/>
                      <w:szCs w:val="21"/>
                    </w:rPr>
                  </w:pPr>
                  <w:r>
                    <w:rPr>
                      <w:b/>
                      <w:bCs/>
                      <w:szCs w:val="21"/>
                    </w:rPr>
                    <w:t>年评价指标</w:t>
                  </w:r>
                </w:p>
              </w:tc>
              <w:tc>
                <w:tcPr>
                  <w:tcW w:w="833" w:type="pct"/>
                  <w:vAlign w:val="center"/>
                </w:tcPr>
                <w:p w14:paraId="213DBEBF">
                  <w:pPr>
                    <w:widowControl/>
                    <w:adjustRightInd w:val="0"/>
                    <w:snapToGrid w:val="0"/>
                    <w:spacing w:line="240" w:lineRule="atLeast"/>
                    <w:jc w:val="center"/>
                    <w:rPr>
                      <w:b/>
                      <w:bCs/>
                      <w:szCs w:val="21"/>
                    </w:rPr>
                  </w:pPr>
                  <w:r>
                    <w:rPr>
                      <w:b/>
                      <w:bCs/>
                      <w:szCs w:val="21"/>
                    </w:rPr>
                    <w:t>现状浓度（µg/m</w:t>
                  </w:r>
                  <w:r>
                    <w:rPr>
                      <w:b/>
                      <w:bCs/>
                      <w:szCs w:val="21"/>
                      <w:vertAlign w:val="superscript"/>
                    </w:rPr>
                    <w:t>3</w:t>
                  </w:r>
                  <w:r>
                    <w:rPr>
                      <w:b/>
                      <w:bCs/>
                      <w:szCs w:val="21"/>
                    </w:rPr>
                    <w:t>）</w:t>
                  </w:r>
                </w:p>
              </w:tc>
              <w:tc>
                <w:tcPr>
                  <w:tcW w:w="833" w:type="pct"/>
                  <w:vAlign w:val="center"/>
                </w:tcPr>
                <w:p w14:paraId="49E9B63E">
                  <w:pPr>
                    <w:widowControl/>
                    <w:adjustRightInd w:val="0"/>
                    <w:snapToGrid w:val="0"/>
                    <w:spacing w:line="240" w:lineRule="atLeast"/>
                    <w:jc w:val="center"/>
                    <w:rPr>
                      <w:b/>
                      <w:bCs/>
                      <w:szCs w:val="21"/>
                    </w:rPr>
                  </w:pPr>
                  <w:r>
                    <w:rPr>
                      <w:b/>
                      <w:bCs/>
                      <w:szCs w:val="21"/>
                    </w:rPr>
                    <w:t>标准值（µg/m</w:t>
                  </w:r>
                  <w:r>
                    <w:rPr>
                      <w:b/>
                      <w:bCs/>
                      <w:szCs w:val="21"/>
                      <w:vertAlign w:val="superscript"/>
                    </w:rPr>
                    <w:t>3</w:t>
                  </w:r>
                  <w:r>
                    <w:rPr>
                      <w:b/>
                      <w:bCs/>
                      <w:szCs w:val="21"/>
                    </w:rPr>
                    <w:t>）</w:t>
                  </w:r>
                </w:p>
              </w:tc>
              <w:tc>
                <w:tcPr>
                  <w:tcW w:w="833" w:type="pct"/>
                  <w:vAlign w:val="center"/>
                </w:tcPr>
                <w:p w14:paraId="569F04E5">
                  <w:pPr>
                    <w:widowControl/>
                    <w:adjustRightInd w:val="0"/>
                    <w:snapToGrid w:val="0"/>
                    <w:spacing w:line="240" w:lineRule="atLeast"/>
                    <w:jc w:val="center"/>
                    <w:rPr>
                      <w:b/>
                      <w:bCs/>
                      <w:szCs w:val="21"/>
                    </w:rPr>
                  </w:pPr>
                  <w:r>
                    <w:rPr>
                      <w:b/>
                      <w:bCs/>
                      <w:szCs w:val="21"/>
                    </w:rPr>
                    <w:t>占标率（%）</w:t>
                  </w:r>
                </w:p>
              </w:tc>
              <w:tc>
                <w:tcPr>
                  <w:tcW w:w="834" w:type="pct"/>
                  <w:vAlign w:val="center"/>
                </w:tcPr>
                <w:p w14:paraId="06CB1EF6">
                  <w:pPr>
                    <w:widowControl/>
                    <w:adjustRightInd w:val="0"/>
                    <w:snapToGrid w:val="0"/>
                    <w:spacing w:line="240" w:lineRule="atLeast"/>
                    <w:jc w:val="center"/>
                    <w:rPr>
                      <w:b/>
                      <w:bCs/>
                      <w:szCs w:val="21"/>
                    </w:rPr>
                  </w:pPr>
                  <w:r>
                    <w:rPr>
                      <w:b/>
                      <w:bCs/>
                      <w:szCs w:val="21"/>
                    </w:rPr>
                    <w:t>达标</w:t>
                  </w:r>
                </w:p>
                <w:p w14:paraId="7F346876">
                  <w:pPr>
                    <w:widowControl/>
                    <w:adjustRightInd w:val="0"/>
                    <w:snapToGrid w:val="0"/>
                    <w:spacing w:line="240" w:lineRule="atLeast"/>
                    <w:jc w:val="center"/>
                    <w:rPr>
                      <w:b/>
                      <w:bCs/>
                      <w:szCs w:val="21"/>
                    </w:rPr>
                  </w:pPr>
                  <w:r>
                    <w:rPr>
                      <w:b/>
                      <w:bCs/>
                      <w:szCs w:val="21"/>
                    </w:rPr>
                    <w:t>情况</w:t>
                  </w:r>
                </w:p>
              </w:tc>
            </w:tr>
            <w:tr w14:paraId="0FBB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20" w:type="pct"/>
                  <w:vAlign w:val="center"/>
                </w:tcPr>
                <w:p w14:paraId="5046FCF1">
                  <w:pPr>
                    <w:widowControl/>
                    <w:adjustRightInd w:val="0"/>
                    <w:snapToGrid w:val="0"/>
                    <w:spacing w:line="240" w:lineRule="atLeast"/>
                    <w:jc w:val="center"/>
                    <w:rPr>
                      <w:szCs w:val="21"/>
                    </w:rPr>
                  </w:pPr>
                  <w:r>
                    <w:rPr>
                      <w:szCs w:val="21"/>
                    </w:rPr>
                    <w:t>SO</w:t>
                  </w:r>
                  <w:r>
                    <w:rPr>
                      <w:szCs w:val="21"/>
                      <w:vertAlign w:val="subscript"/>
                    </w:rPr>
                    <w:t>2</w:t>
                  </w:r>
                </w:p>
              </w:tc>
              <w:tc>
                <w:tcPr>
                  <w:tcW w:w="945" w:type="pct"/>
                  <w:vAlign w:val="center"/>
                </w:tcPr>
                <w:p w14:paraId="36340C9A">
                  <w:pPr>
                    <w:widowControl/>
                    <w:adjustRightInd w:val="0"/>
                    <w:snapToGrid w:val="0"/>
                    <w:spacing w:line="240" w:lineRule="atLeast"/>
                    <w:jc w:val="center"/>
                    <w:rPr>
                      <w:szCs w:val="21"/>
                    </w:rPr>
                  </w:pPr>
                  <w:r>
                    <w:rPr>
                      <w:szCs w:val="21"/>
                    </w:rPr>
                    <w:t>年平均质量浓度</w:t>
                  </w:r>
                </w:p>
              </w:tc>
              <w:tc>
                <w:tcPr>
                  <w:tcW w:w="833" w:type="pct"/>
                  <w:vAlign w:val="center"/>
                </w:tcPr>
                <w:p w14:paraId="7BE258E3">
                  <w:pPr>
                    <w:widowControl/>
                    <w:adjustRightInd w:val="0"/>
                    <w:snapToGrid w:val="0"/>
                    <w:spacing w:line="240" w:lineRule="atLeast"/>
                    <w:jc w:val="center"/>
                    <w:rPr>
                      <w:szCs w:val="21"/>
                    </w:rPr>
                  </w:pPr>
                  <w:r>
                    <w:rPr>
                      <w:rFonts w:hint="eastAsia"/>
                      <w:szCs w:val="21"/>
                    </w:rPr>
                    <w:t>8</w:t>
                  </w:r>
                </w:p>
              </w:tc>
              <w:tc>
                <w:tcPr>
                  <w:tcW w:w="833" w:type="pct"/>
                  <w:vAlign w:val="center"/>
                </w:tcPr>
                <w:p w14:paraId="269D159A">
                  <w:pPr>
                    <w:widowControl/>
                    <w:adjustRightInd w:val="0"/>
                    <w:snapToGrid w:val="0"/>
                    <w:spacing w:line="240" w:lineRule="atLeast"/>
                    <w:jc w:val="center"/>
                    <w:rPr>
                      <w:szCs w:val="21"/>
                    </w:rPr>
                  </w:pPr>
                  <w:r>
                    <w:rPr>
                      <w:szCs w:val="21"/>
                    </w:rPr>
                    <w:t>60</w:t>
                  </w:r>
                </w:p>
              </w:tc>
              <w:tc>
                <w:tcPr>
                  <w:tcW w:w="833" w:type="pct"/>
                  <w:vAlign w:val="center"/>
                </w:tcPr>
                <w:p w14:paraId="6B3DDDCF">
                  <w:pPr>
                    <w:widowControl/>
                    <w:adjustRightInd w:val="0"/>
                    <w:snapToGrid w:val="0"/>
                    <w:spacing w:line="240" w:lineRule="atLeast"/>
                    <w:jc w:val="center"/>
                    <w:rPr>
                      <w:szCs w:val="21"/>
                    </w:rPr>
                  </w:pPr>
                  <w:r>
                    <w:rPr>
                      <w:rFonts w:hint="eastAsia"/>
                      <w:szCs w:val="21"/>
                    </w:rPr>
                    <w:t>13.3</w:t>
                  </w:r>
                </w:p>
              </w:tc>
              <w:tc>
                <w:tcPr>
                  <w:tcW w:w="834" w:type="pct"/>
                  <w:vAlign w:val="center"/>
                </w:tcPr>
                <w:p w14:paraId="3ED1D19F">
                  <w:pPr>
                    <w:widowControl/>
                    <w:adjustRightInd w:val="0"/>
                    <w:snapToGrid w:val="0"/>
                    <w:spacing w:line="240" w:lineRule="atLeast"/>
                    <w:jc w:val="center"/>
                    <w:rPr>
                      <w:szCs w:val="21"/>
                    </w:rPr>
                  </w:pPr>
                  <w:r>
                    <w:rPr>
                      <w:szCs w:val="21"/>
                    </w:rPr>
                    <w:t>达标</w:t>
                  </w:r>
                </w:p>
              </w:tc>
            </w:tr>
            <w:tr w14:paraId="4371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0" w:type="pct"/>
                  <w:vAlign w:val="center"/>
                </w:tcPr>
                <w:p w14:paraId="6B06A19A">
                  <w:pPr>
                    <w:widowControl/>
                    <w:adjustRightInd w:val="0"/>
                    <w:snapToGrid w:val="0"/>
                    <w:spacing w:line="240" w:lineRule="atLeast"/>
                    <w:jc w:val="center"/>
                    <w:rPr>
                      <w:szCs w:val="21"/>
                    </w:rPr>
                  </w:pPr>
                  <w:r>
                    <w:rPr>
                      <w:szCs w:val="21"/>
                    </w:rPr>
                    <w:t>NO</w:t>
                  </w:r>
                  <w:r>
                    <w:rPr>
                      <w:szCs w:val="21"/>
                      <w:vertAlign w:val="subscript"/>
                    </w:rPr>
                    <w:t>2</w:t>
                  </w:r>
                </w:p>
              </w:tc>
              <w:tc>
                <w:tcPr>
                  <w:tcW w:w="945" w:type="pct"/>
                  <w:vAlign w:val="center"/>
                </w:tcPr>
                <w:p w14:paraId="2B9C8EF5">
                  <w:pPr>
                    <w:widowControl/>
                    <w:adjustRightInd w:val="0"/>
                    <w:snapToGrid w:val="0"/>
                    <w:spacing w:line="240" w:lineRule="atLeast"/>
                    <w:jc w:val="center"/>
                    <w:rPr>
                      <w:szCs w:val="21"/>
                    </w:rPr>
                  </w:pPr>
                  <w:r>
                    <w:rPr>
                      <w:szCs w:val="21"/>
                    </w:rPr>
                    <w:t>年平均质量浓度</w:t>
                  </w:r>
                </w:p>
              </w:tc>
              <w:tc>
                <w:tcPr>
                  <w:tcW w:w="833" w:type="pct"/>
                  <w:vAlign w:val="center"/>
                </w:tcPr>
                <w:p w14:paraId="6544F007">
                  <w:pPr>
                    <w:widowControl/>
                    <w:adjustRightInd w:val="0"/>
                    <w:snapToGrid w:val="0"/>
                    <w:spacing w:line="240" w:lineRule="atLeast"/>
                    <w:jc w:val="center"/>
                    <w:rPr>
                      <w:szCs w:val="21"/>
                    </w:rPr>
                  </w:pPr>
                  <w:r>
                    <w:rPr>
                      <w:rFonts w:hint="eastAsia"/>
                      <w:szCs w:val="21"/>
                    </w:rPr>
                    <w:t>24</w:t>
                  </w:r>
                </w:p>
              </w:tc>
              <w:tc>
                <w:tcPr>
                  <w:tcW w:w="833" w:type="pct"/>
                  <w:vAlign w:val="center"/>
                </w:tcPr>
                <w:p w14:paraId="3CB8FD75">
                  <w:pPr>
                    <w:widowControl/>
                    <w:adjustRightInd w:val="0"/>
                    <w:snapToGrid w:val="0"/>
                    <w:spacing w:line="240" w:lineRule="atLeast"/>
                    <w:jc w:val="center"/>
                    <w:rPr>
                      <w:szCs w:val="21"/>
                    </w:rPr>
                  </w:pPr>
                  <w:r>
                    <w:rPr>
                      <w:szCs w:val="21"/>
                    </w:rPr>
                    <w:t>40</w:t>
                  </w:r>
                </w:p>
              </w:tc>
              <w:tc>
                <w:tcPr>
                  <w:tcW w:w="833" w:type="pct"/>
                  <w:vAlign w:val="center"/>
                </w:tcPr>
                <w:p w14:paraId="1FE67F4D">
                  <w:pPr>
                    <w:widowControl/>
                    <w:adjustRightInd w:val="0"/>
                    <w:snapToGrid w:val="0"/>
                    <w:spacing w:line="240" w:lineRule="atLeast"/>
                    <w:jc w:val="center"/>
                    <w:rPr>
                      <w:szCs w:val="21"/>
                    </w:rPr>
                  </w:pPr>
                  <w:r>
                    <w:rPr>
                      <w:rFonts w:hint="eastAsia"/>
                      <w:szCs w:val="21"/>
                    </w:rPr>
                    <w:t>60.0</w:t>
                  </w:r>
                </w:p>
              </w:tc>
              <w:tc>
                <w:tcPr>
                  <w:tcW w:w="834" w:type="pct"/>
                  <w:vAlign w:val="center"/>
                </w:tcPr>
                <w:p w14:paraId="5CA9C761">
                  <w:pPr>
                    <w:widowControl/>
                    <w:adjustRightInd w:val="0"/>
                    <w:snapToGrid w:val="0"/>
                    <w:spacing w:line="240" w:lineRule="atLeast"/>
                    <w:jc w:val="center"/>
                    <w:rPr>
                      <w:szCs w:val="21"/>
                    </w:rPr>
                  </w:pPr>
                  <w:r>
                    <w:rPr>
                      <w:szCs w:val="21"/>
                    </w:rPr>
                    <w:t>达标</w:t>
                  </w:r>
                </w:p>
              </w:tc>
            </w:tr>
            <w:tr w14:paraId="1FF2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720" w:type="pct"/>
                  <w:vAlign w:val="center"/>
                </w:tcPr>
                <w:p w14:paraId="7AC13B89">
                  <w:pPr>
                    <w:widowControl/>
                    <w:adjustRightInd w:val="0"/>
                    <w:snapToGrid w:val="0"/>
                    <w:spacing w:line="240" w:lineRule="atLeast"/>
                    <w:jc w:val="center"/>
                    <w:rPr>
                      <w:szCs w:val="21"/>
                    </w:rPr>
                  </w:pPr>
                  <w:r>
                    <w:rPr>
                      <w:szCs w:val="21"/>
                    </w:rPr>
                    <w:t>PM</w:t>
                  </w:r>
                  <w:r>
                    <w:rPr>
                      <w:szCs w:val="21"/>
                      <w:vertAlign w:val="subscript"/>
                    </w:rPr>
                    <w:t>10</w:t>
                  </w:r>
                </w:p>
              </w:tc>
              <w:tc>
                <w:tcPr>
                  <w:tcW w:w="945" w:type="pct"/>
                  <w:vAlign w:val="center"/>
                </w:tcPr>
                <w:p w14:paraId="4CF6850B">
                  <w:pPr>
                    <w:widowControl/>
                    <w:adjustRightInd w:val="0"/>
                    <w:snapToGrid w:val="0"/>
                    <w:spacing w:line="240" w:lineRule="atLeast"/>
                    <w:jc w:val="center"/>
                    <w:rPr>
                      <w:szCs w:val="21"/>
                    </w:rPr>
                  </w:pPr>
                  <w:r>
                    <w:rPr>
                      <w:szCs w:val="21"/>
                    </w:rPr>
                    <w:t>年平均质量浓度</w:t>
                  </w:r>
                </w:p>
              </w:tc>
              <w:tc>
                <w:tcPr>
                  <w:tcW w:w="833" w:type="pct"/>
                  <w:vAlign w:val="center"/>
                </w:tcPr>
                <w:p w14:paraId="297FA7EF">
                  <w:pPr>
                    <w:widowControl/>
                    <w:adjustRightInd w:val="0"/>
                    <w:snapToGrid w:val="0"/>
                    <w:spacing w:line="240" w:lineRule="atLeast"/>
                    <w:jc w:val="center"/>
                    <w:rPr>
                      <w:szCs w:val="21"/>
                    </w:rPr>
                  </w:pPr>
                  <w:r>
                    <w:rPr>
                      <w:rFonts w:hint="eastAsia"/>
                      <w:szCs w:val="21"/>
                    </w:rPr>
                    <w:t>58</w:t>
                  </w:r>
                </w:p>
              </w:tc>
              <w:tc>
                <w:tcPr>
                  <w:tcW w:w="833" w:type="pct"/>
                  <w:vAlign w:val="center"/>
                </w:tcPr>
                <w:p w14:paraId="7761DEA9">
                  <w:pPr>
                    <w:widowControl/>
                    <w:adjustRightInd w:val="0"/>
                    <w:snapToGrid w:val="0"/>
                    <w:spacing w:line="240" w:lineRule="atLeast"/>
                    <w:jc w:val="center"/>
                    <w:rPr>
                      <w:szCs w:val="21"/>
                    </w:rPr>
                  </w:pPr>
                  <w:r>
                    <w:rPr>
                      <w:szCs w:val="21"/>
                    </w:rPr>
                    <w:t>70</w:t>
                  </w:r>
                </w:p>
              </w:tc>
              <w:tc>
                <w:tcPr>
                  <w:tcW w:w="833" w:type="pct"/>
                  <w:vAlign w:val="center"/>
                </w:tcPr>
                <w:p w14:paraId="5A7B35C5">
                  <w:pPr>
                    <w:widowControl/>
                    <w:adjustRightInd w:val="0"/>
                    <w:snapToGrid w:val="0"/>
                    <w:spacing w:line="240" w:lineRule="atLeast"/>
                    <w:jc w:val="center"/>
                    <w:rPr>
                      <w:szCs w:val="21"/>
                    </w:rPr>
                  </w:pPr>
                  <w:r>
                    <w:rPr>
                      <w:rFonts w:hint="eastAsia"/>
                      <w:szCs w:val="21"/>
                    </w:rPr>
                    <w:t>82.8</w:t>
                  </w:r>
                </w:p>
              </w:tc>
              <w:tc>
                <w:tcPr>
                  <w:tcW w:w="834" w:type="pct"/>
                  <w:vAlign w:val="center"/>
                </w:tcPr>
                <w:p w14:paraId="1E48C8DD">
                  <w:pPr>
                    <w:widowControl/>
                    <w:adjustRightInd w:val="0"/>
                    <w:snapToGrid w:val="0"/>
                    <w:spacing w:line="240" w:lineRule="atLeast"/>
                    <w:jc w:val="center"/>
                    <w:rPr>
                      <w:szCs w:val="21"/>
                    </w:rPr>
                  </w:pPr>
                  <w:r>
                    <w:rPr>
                      <w:szCs w:val="21"/>
                    </w:rPr>
                    <w:t>达标</w:t>
                  </w:r>
                </w:p>
              </w:tc>
            </w:tr>
            <w:tr w14:paraId="46A7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20" w:type="pct"/>
                  <w:vAlign w:val="center"/>
                </w:tcPr>
                <w:p w14:paraId="2D0CA913">
                  <w:pPr>
                    <w:widowControl/>
                    <w:adjustRightInd w:val="0"/>
                    <w:snapToGrid w:val="0"/>
                    <w:spacing w:line="240" w:lineRule="atLeast"/>
                    <w:jc w:val="center"/>
                    <w:rPr>
                      <w:szCs w:val="21"/>
                    </w:rPr>
                  </w:pPr>
                  <w:r>
                    <w:rPr>
                      <w:szCs w:val="21"/>
                    </w:rPr>
                    <w:t>PM</w:t>
                  </w:r>
                  <w:r>
                    <w:rPr>
                      <w:szCs w:val="21"/>
                      <w:vertAlign w:val="subscript"/>
                    </w:rPr>
                    <w:t>2.5</w:t>
                  </w:r>
                </w:p>
              </w:tc>
              <w:tc>
                <w:tcPr>
                  <w:tcW w:w="945" w:type="pct"/>
                  <w:vAlign w:val="center"/>
                </w:tcPr>
                <w:p w14:paraId="2BF96BA6">
                  <w:pPr>
                    <w:widowControl/>
                    <w:adjustRightInd w:val="0"/>
                    <w:snapToGrid w:val="0"/>
                    <w:spacing w:line="240" w:lineRule="atLeast"/>
                    <w:jc w:val="center"/>
                    <w:rPr>
                      <w:szCs w:val="21"/>
                    </w:rPr>
                  </w:pPr>
                  <w:r>
                    <w:rPr>
                      <w:szCs w:val="21"/>
                    </w:rPr>
                    <w:t>年平均质量浓度</w:t>
                  </w:r>
                </w:p>
              </w:tc>
              <w:tc>
                <w:tcPr>
                  <w:tcW w:w="833" w:type="pct"/>
                  <w:vAlign w:val="center"/>
                </w:tcPr>
                <w:p w14:paraId="42983DDA">
                  <w:pPr>
                    <w:widowControl/>
                    <w:adjustRightInd w:val="0"/>
                    <w:snapToGrid w:val="0"/>
                    <w:spacing w:line="240" w:lineRule="atLeast"/>
                    <w:jc w:val="center"/>
                    <w:rPr>
                      <w:szCs w:val="21"/>
                    </w:rPr>
                  </w:pPr>
                  <w:r>
                    <w:rPr>
                      <w:rFonts w:hint="eastAsia"/>
                      <w:szCs w:val="21"/>
                    </w:rPr>
                    <w:t>32</w:t>
                  </w:r>
                </w:p>
              </w:tc>
              <w:tc>
                <w:tcPr>
                  <w:tcW w:w="833" w:type="pct"/>
                  <w:vAlign w:val="center"/>
                </w:tcPr>
                <w:p w14:paraId="7965CEC4">
                  <w:pPr>
                    <w:widowControl/>
                    <w:adjustRightInd w:val="0"/>
                    <w:snapToGrid w:val="0"/>
                    <w:spacing w:line="240" w:lineRule="atLeast"/>
                    <w:jc w:val="center"/>
                    <w:rPr>
                      <w:szCs w:val="21"/>
                    </w:rPr>
                  </w:pPr>
                  <w:r>
                    <w:rPr>
                      <w:szCs w:val="21"/>
                    </w:rPr>
                    <w:t>35</w:t>
                  </w:r>
                </w:p>
              </w:tc>
              <w:tc>
                <w:tcPr>
                  <w:tcW w:w="833" w:type="pct"/>
                  <w:vAlign w:val="center"/>
                </w:tcPr>
                <w:p w14:paraId="78A6F406">
                  <w:pPr>
                    <w:widowControl/>
                    <w:adjustRightInd w:val="0"/>
                    <w:snapToGrid w:val="0"/>
                    <w:spacing w:line="240" w:lineRule="atLeast"/>
                    <w:jc w:val="center"/>
                    <w:rPr>
                      <w:szCs w:val="21"/>
                    </w:rPr>
                  </w:pPr>
                  <w:r>
                    <w:rPr>
                      <w:rFonts w:hint="eastAsia"/>
                      <w:szCs w:val="21"/>
                    </w:rPr>
                    <w:t>91.4</w:t>
                  </w:r>
                </w:p>
              </w:tc>
              <w:tc>
                <w:tcPr>
                  <w:tcW w:w="834" w:type="pct"/>
                  <w:vAlign w:val="center"/>
                </w:tcPr>
                <w:p w14:paraId="3DD340D0">
                  <w:pPr>
                    <w:widowControl/>
                    <w:adjustRightInd w:val="0"/>
                    <w:snapToGrid w:val="0"/>
                    <w:spacing w:line="240" w:lineRule="atLeast"/>
                    <w:jc w:val="center"/>
                    <w:rPr>
                      <w:szCs w:val="21"/>
                    </w:rPr>
                  </w:pPr>
                  <w:r>
                    <w:rPr>
                      <w:szCs w:val="21"/>
                    </w:rPr>
                    <w:t>达标</w:t>
                  </w:r>
                </w:p>
              </w:tc>
            </w:tr>
            <w:tr w14:paraId="5D13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20" w:type="pct"/>
                  <w:vAlign w:val="center"/>
                </w:tcPr>
                <w:p w14:paraId="065F9F34">
                  <w:pPr>
                    <w:widowControl/>
                    <w:adjustRightInd w:val="0"/>
                    <w:snapToGrid w:val="0"/>
                    <w:spacing w:line="240" w:lineRule="atLeast"/>
                    <w:jc w:val="center"/>
                    <w:rPr>
                      <w:szCs w:val="21"/>
                    </w:rPr>
                  </w:pPr>
                  <w:r>
                    <w:rPr>
                      <w:szCs w:val="21"/>
                    </w:rPr>
                    <w:t>CO</w:t>
                  </w:r>
                </w:p>
              </w:tc>
              <w:tc>
                <w:tcPr>
                  <w:tcW w:w="945" w:type="pct"/>
                  <w:vAlign w:val="center"/>
                </w:tcPr>
                <w:p w14:paraId="740A8EEC">
                  <w:pPr>
                    <w:widowControl/>
                    <w:adjustRightInd w:val="0"/>
                    <w:snapToGrid w:val="0"/>
                    <w:spacing w:line="240" w:lineRule="atLeast"/>
                    <w:jc w:val="center"/>
                    <w:rPr>
                      <w:szCs w:val="21"/>
                    </w:rPr>
                  </w:pPr>
                  <w:r>
                    <w:rPr>
                      <w:szCs w:val="21"/>
                    </w:rPr>
                    <w:t>日平均第95百分位数</w:t>
                  </w:r>
                </w:p>
              </w:tc>
              <w:tc>
                <w:tcPr>
                  <w:tcW w:w="833" w:type="pct"/>
                  <w:vAlign w:val="center"/>
                </w:tcPr>
                <w:p w14:paraId="0179B02A">
                  <w:pPr>
                    <w:widowControl/>
                    <w:adjustRightInd w:val="0"/>
                    <w:snapToGrid w:val="0"/>
                    <w:spacing w:line="240" w:lineRule="atLeast"/>
                    <w:jc w:val="center"/>
                    <w:rPr>
                      <w:szCs w:val="21"/>
                    </w:rPr>
                  </w:pPr>
                  <w:r>
                    <w:rPr>
                      <w:rFonts w:hint="eastAsia"/>
                      <w:szCs w:val="21"/>
                    </w:rPr>
                    <w:t>1000</w:t>
                  </w:r>
                </w:p>
              </w:tc>
              <w:tc>
                <w:tcPr>
                  <w:tcW w:w="833" w:type="pct"/>
                  <w:vAlign w:val="center"/>
                </w:tcPr>
                <w:p w14:paraId="12A5C15C">
                  <w:pPr>
                    <w:widowControl/>
                    <w:adjustRightInd w:val="0"/>
                    <w:snapToGrid w:val="0"/>
                    <w:spacing w:line="240" w:lineRule="atLeast"/>
                    <w:jc w:val="center"/>
                    <w:rPr>
                      <w:szCs w:val="21"/>
                    </w:rPr>
                  </w:pPr>
                  <w:r>
                    <w:rPr>
                      <w:szCs w:val="21"/>
                    </w:rPr>
                    <w:t>4000</w:t>
                  </w:r>
                </w:p>
              </w:tc>
              <w:tc>
                <w:tcPr>
                  <w:tcW w:w="833" w:type="pct"/>
                  <w:vAlign w:val="center"/>
                </w:tcPr>
                <w:p w14:paraId="76B6AA25">
                  <w:pPr>
                    <w:widowControl/>
                    <w:adjustRightInd w:val="0"/>
                    <w:snapToGrid w:val="0"/>
                    <w:spacing w:line="240" w:lineRule="atLeast"/>
                    <w:jc w:val="center"/>
                    <w:rPr>
                      <w:szCs w:val="21"/>
                    </w:rPr>
                  </w:pPr>
                  <w:r>
                    <w:rPr>
                      <w:rFonts w:hint="eastAsia"/>
                      <w:szCs w:val="21"/>
                    </w:rPr>
                    <w:t>25</w:t>
                  </w:r>
                </w:p>
              </w:tc>
              <w:tc>
                <w:tcPr>
                  <w:tcW w:w="834" w:type="pct"/>
                  <w:vAlign w:val="center"/>
                </w:tcPr>
                <w:p w14:paraId="25D8D98A">
                  <w:pPr>
                    <w:widowControl/>
                    <w:adjustRightInd w:val="0"/>
                    <w:snapToGrid w:val="0"/>
                    <w:spacing w:line="240" w:lineRule="atLeast"/>
                    <w:jc w:val="center"/>
                    <w:rPr>
                      <w:szCs w:val="21"/>
                    </w:rPr>
                  </w:pPr>
                  <w:r>
                    <w:rPr>
                      <w:szCs w:val="21"/>
                    </w:rPr>
                    <w:t>达标</w:t>
                  </w:r>
                </w:p>
              </w:tc>
            </w:tr>
            <w:tr w14:paraId="7327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20" w:type="pct"/>
                  <w:vAlign w:val="center"/>
                </w:tcPr>
                <w:p w14:paraId="20CA263E">
                  <w:pPr>
                    <w:widowControl/>
                    <w:adjustRightInd w:val="0"/>
                    <w:snapToGrid w:val="0"/>
                    <w:spacing w:line="240" w:lineRule="atLeast"/>
                    <w:jc w:val="center"/>
                    <w:rPr>
                      <w:szCs w:val="21"/>
                    </w:rPr>
                  </w:pPr>
                  <w:r>
                    <w:rPr>
                      <w:szCs w:val="21"/>
                    </w:rPr>
                    <w:t>O</w:t>
                  </w:r>
                  <w:r>
                    <w:rPr>
                      <w:szCs w:val="21"/>
                      <w:vertAlign w:val="subscript"/>
                    </w:rPr>
                    <w:t>3</w:t>
                  </w:r>
                </w:p>
              </w:tc>
              <w:tc>
                <w:tcPr>
                  <w:tcW w:w="945" w:type="pct"/>
                  <w:vAlign w:val="center"/>
                </w:tcPr>
                <w:p w14:paraId="0B3140BE">
                  <w:pPr>
                    <w:widowControl/>
                    <w:adjustRightInd w:val="0"/>
                    <w:snapToGrid w:val="0"/>
                    <w:spacing w:line="240" w:lineRule="atLeast"/>
                    <w:jc w:val="center"/>
                    <w:rPr>
                      <w:szCs w:val="21"/>
                    </w:rPr>
                  </w:pPr>
                  <w:r>
                    <w:rPr>
                      <w:szCs w:val="21"/>
                    </w:rPr>
                    <w:t>日最大8小时滑动平均值第90百分位数</w:t>
                  </w:r>
                </w:p>
              </w:tc>
              <w:tc>
                <w:tcPr>
                  <w:tcW w:w="833" w:type="pct"/>
                  <w:vAlign w:val="center"/>
                </w:tcPr>
                <w:p w14:paraId="3F0F450D">
                  <w:pPr>
                    <w:widowControl/>
                    <w:adjustRightInd w:val="0"/>
                    <w:snapToGrid w:val="0"/>
                    <w:spacing w:line="240" w:lineRule="atLeast"/>
                    <w:jc w:val="center"/>
                    <w:rPr>
                      <w:szCs w:val="21"/>
                    </w:rPr>
                  </w:pPr>
                  <w:r>
                    <w:rPr>
                      <w:rFonts w:hint="eastAsia"/>
                      <w:szCs w:val="21"/>
                    </w:rPr>
                    <w:t>164</w:t>
                  </w:r>
                </w:p>
              </w:tc>
              <w:tc>
                <w:tcPr>
                  <w:tcW w:w="833" w:type="pct"/>
                  <w:vAlign w:val="center"/>
                </w:tcPr>
                <w:p w14:paraId="1F7EF1CB">
                  <w:pPr>
                    <w:widowControl/>
                    <w:adjustRightInd w:val="0"/>
                    <w:snapToGrid w:val="0"/>
                    <w:spacing w:line="240" w:lineRule="atLeast"/>
                    <w:jc w:val="center"/>
                    <w:rPr>
                      <w:szCs w:val="21"/>
                    </w:rPr>
                  </w:pPr>
                  <w:r>
                    <w:rPr>
                      <w:szCs w:val="21"/>
                    </w:rPr>
                    <w:t>160</w:t>
                  </w:r>
                </w:p>
              </w:tc>
              <w:tc>
                <w:tcPr>
                  <w:tcW w:w="833" w:type="pct"/>
                  <w:vAlign w:val="center"/>
                </w:tcPr>
                <w:p w14:paraId="4FB37D9E">
                  <w:pPr>
                    <w:widowControl/>
                    <w:adjustRightInd w:val="0"/>
                    <w:snapToGrid w:val="0"/>
                    <w:spacing w:line="240" w:lineRule="atLeast"/>
                    <w:jc w:val="center"/>
                    <w:rPr>
                      <w:szCs w:val="21"/>
                    </w:rPr>
                  </w:pPr>
                  <w:r>
                    <w:rPr>
                      <w:rFonts w:hint="eastAsia"/>
                      <w:szCs w:val="21"/>
                    </w:rPr>
                    <w:t>102.5</w:t>
                  </w:r>
                </w:p>
              </w:tc>
              <w:tc>
                <w:tcPr>
                  <w:tcW w:w="834" w:type="pct"/>
                  <w:vAlign w:val="center"/>
                </w:tcPr>
                <w:p w14:paraId="48C2FE45">
                  <w:pPr>
                    <w:widowControl/>
                    <w:adjustRightInd w:val="0"/>
                    <w:snapToGrid w:val="0"/>
                    <w:spacing w:line="240" w:lineRule="atLeast"/>
                    <w:jc w:val="center"/>
                    <w:rPr>
                      <w:szCs w:val="21"/>
                    </w:rPr>
                  </w:pPr>
                  <w:r>
                    <w:rPr>
                      <w:rFonts w:hint="eastAsia"/>
                      <w:szCs w:val="21"/>
                    </w:rPr>
                    <w:t>超标</w:t>
                  </w:r>
                </w:p>
              </w:tc>
            </w:tr>
          </w:tbl>
          <w:p w14:paraId="7D6C3B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b w:val="0"/>
                <w:bCs w:val="0"/>
                <w:kern w:val="0"/>
                <w:sz w:val="24"/>
                <w:szCs w:val="21"/>
                <w:lang w:eastAsia="zh-CN"/>
              </w:rPr>
            </w:pPr>
            <w:r>
              <w:rPr>
                <w:rFonts w:hint="eastAsia"/>
                <w:b w:val="0"/>
                <w:bCs w:val="0"/>
                <w:kern w:val="0"/>
                <w:sz w:val="24"/>
                <w:szCs w:val="21"/>
              </w:rPr>
              <w:t>为加快改善环境空气质量，针对不达标问题，连云港市制定了《连云港市 2024 年大气污染物防治工作计划》（连污防指办〔2024〕34 号）等相关治理方案文件，文件提出了坚持源头治理、推动能源绿色低碳转型、优化调整交通结构、聚焦重点行业综合治理、强化 VOVs 综合治理、实施精细化扬尘治理、强化面源污染整治、深化监督帮扶、加强能力建设、落实各方责任等相关重点任务，并明确了相关空气质量改善目标：2024 年，全市 PM2.5浓度达 30 微克/立方米左右，优良天数比率达 82.1%左右，臭氧浓度增长趋势得到有效遏制；全市氮氧化物、挥发性有机物重点工程减排量完成省下达的指标要求。项目所在区域环境空气质量可得到改善</w:t>
            </w:r>
            <w:r>
              <w:rPr>
                <w:rFonts w:hint="eastAsia"/>
                <w:b w:val="0"/>
                <w:bCs w:val="0"/>
                <w:kern w:val="0"/>
                <w:sz w:val="24"/>
                <w:szCs w:val="21"/>
                <w:lang w:eastAsia="zh-CN"/>
              </w:rPr>
              <w:t>。</w:t>
            </w:r>
          </w:p>
          <w:p w14:paraId="021C3A55">
            <w:pPr>
              <w:adjustRightInd w:val="0"/>
              <w:snapToGrid w:val="0"/>
              <w:spacing w:line="360" w:lineRule="auto"/>
              <w:ind w:firstLine="482" w:firstLineChars="200"/>
              <w:rPr>
                <w:b/>
                <w:bCs/>
                <w:kern w:val="0"/>
                <w:sz w:val="24"/>
                <w:szCs w:val="21"/>
              </w:rPr>
            </w:pPr>
            <w:r>
              <w:rPr>
                <w:b/>
                <w:bCs/>
                <w:kern w:val="0"/>
                <w:sz w:val="24"/>
                <w:szCs w:val="21"/>
              </w:rPr>
              <w:t>4、声环境</w:t>
            </w:r>
          </w:p>
          <w:p w14:paraId="1F87C743">
            <w:pPr>
              <w:autoSpaceDE w:val="0"/>
              <w:autoSpaceDN w:val="0"/>
              <w:spacing w:line="360" w:lineRule="auto"/>
              <w:ind w:firstLine="480" w:firstLineChars="200"/>
              <w:rPr>
                <w:sz w:val="24"/>
              </w:rPr>
            </w:pPr>
            <w:r>
              <w:rPr>
                <w:sz w:val="24"/>
              </w:rPr>
              <w:t>根据《连云港市市区声环境质量功能区划分规定（2021年修订版）》（连政发〔2021〕24号附件）可知，本项目所在区域声环境执行《声环境质量标准》（GB3096-2008）</w:t>
            </w:r>
            <w:r>
              <w:rPr>
                <w:rFonts w:hint="eastAsia"/>
                <w:sz w:val="24"/>
                <w:lang w:val="en-US" w:eastAsia="zh-CN"/>
              </w:rPr>
              <w:t>4a</w:t>
            </w:r>
            <w:r>
              <w:rPr>
                <w:sz w:val="24"/>
              </w:rPr>
              <w:t>类标准。</w:t>
            </w:r>
          </w:p>
          <w:p w14:paraId="30C13ACA">
            <w:pPr>
              <w:autoSpaceDE w:val="0"/>
              <w:autoSpaceDN w:val="0"/>
              <w:spacing w:line="360" w:lineRule="auto"/>
              <w:ind w:firstLine="480" w:firstLineChars="200"/>
              <w:rPr>
                <w:kern w:val="0"/>
                <w:sz w:val="24"/>
              </w:rPr>
            </w:pPr>
            <w:r>
              <w:rPr>
                <w:kern w:val="0"/>
                <w:sz w:val="24"/>
              </w:rPr>
              <w:t>本项目委托</w:t>
            </w:r>
            <w:r>
              <w:rPr>
                <w:rFonts w:hint="eastAsia"/>
                <w:kern w:val="0"/>
                <w:sz w:val="24"/>
              </w:rPr>
              <w:t>青山绿水</w:t>
            </w:r>
            <w:r>
              <w:rPr>
                <w:rFonts w:hint="eastAsia"/>
                <w:kern w:val="0"/>
                <w:sz w:val="24"/>
                <w:lang w:eastAsia="zh-CN"/>
              </w:rPr>
              <w:t>（</w:t>
            </w:r>
            <w:r>
              <w:rPr>
                <w:rFonts w:hint="eastAsia"/>
                <w:kern w:val="0"/>
                <w:sz w:val="24"/>
              </w:rPr>
              <w:t>连云港</w:t>
            </w:r>
            <w:r>
              <w:rPr>
                <w:rFonts w:hint="eastAsia"/>
                <w:kern w:val="0"/>
                <w:sz w:val="24"/>
                <w:lang w:eastAsia="zh-CN"/>
              </w:rPr>
              <w:t>）</w:t>
            </w:r>
            <w:r>
              <w:rPr>
                <w:rFonts w:hint="eastAsia"/>
                <w:kern w:val="0"/>
                <w:sz w:val="24"/>
              </w:rPr>
              <w:t>检验</w:t>
            </w:r>
            <w:r>
              <w:rPr>
                <w:color w:val="000000" w:themeColor="text1"/>
                <w:kern w:val="0"/>
                <w:sz w:val="24"/>
                <w14:textFill>
                  <w14:solidFill>
                    <w14:schemeClr w14:val="tx1"/>
                  </w14:solidFill>
                </w14:textFill>
              </w:rPr>
              <w:t>检测有限公司于2024年</w:t>
            </w:r>
            <w:r>
              <w:rPr>
                <w:rFonts w:hint="eastAsia"/>
                <w:color w:val="000000" w:themeColor="text1"/>
                <w:kern w:val="0"/>
                <w:sz w:val="24"/>
                <w:lang w:val="en-US" w:eastAsia="zh-CN"/>
                <w14:textFill>
                  <w14:solidFill>
                    <w14:schemeClr w14:val="tx1"/>
                  </w14:solidFill>
                </w14:textFill>
              </w:rPr>
              <w:t>10</w:t>
            </w:r>
            <w:r>
              <w:rPr>
                <w:color w:val="000000" w:themeColor="text1"/>
                <w:kern w:val="0"/>
                <w:sz w:val="24"/>
                <w14:textFill>
                  <w14:solidFill>
                    <w14:schemeClr w14:val="tx1"/>
                  </w14:solidFill>
                </w14:textFill>
              </w:rPr>
              <w:t>月</w:t>
            </w:r>
            <w:r>
              <w:rPr>
                <w:rFonts w:hint="eastAsia"/>
                <w:color w:val="000000" w:themeColor="text1"/>
                <w:kern w:val="0"/>
                <w:sz w:val="24"/>
                <w:lang w:val="en-US" w:eastAsia="zh-CN"/>
                <w14:textFill>
                  <w14:solidFill>
                    <w14:schemeClr w14:val="tx1"/>
                  </w14:solidFill>
                </w14:textFill>
              </w:rPr>
              <w:t>15</w:t>
            </w:r>
            <w:r>
              <w:rPr>
                <w:color w:val="000000" w:themeColor="text1"/>
                <w:kern w:val="0"/>
                <w:sz w:val="24"/>
                <w14:textFill>
                  <w14:solidFill>
                    <w14:schemeClr w14:val="tx1"/>
                  </w14:solidFill>
                </w14:textFill>
              </w:rPr>
              <w:t>日~</w:t>
            </w:r>
            <w:r>
              <w:rPr>
                <w:rFonts w:hint="eastAsia"/>
                <w:color w:val="000000" w:themeColor="text1"/>
                <w:kern w:val="0"/>
                <w:sz w:val="24"/>
                <w:lang w:val="en-US" w:eastAsia="zh-CN"/>
                <w14:textFill>
                  <w14:solidFill>
                    <w14:schemeClr w14:val="tx1"/>
                  </w14:solidFill>
                </w14:textFill>
              </w:rPr>
              <w:t>10</w:t>
            </w:r>
            <w:r>
              <w:rPr>
                <w:color w:val="000000" w:themeColor="text1"/>
                <w:kern w:val="0"/>
                <w:sz w:val="24"/>
                <w14:textFill>
                  <w14:solidFill>
                    <w14:schemeClr w14:val="tx1"/>
                  </w14:solidFill>
                </w14:textFill>
              </w:rPr>
              <w:t>月</w:t>
            </w:r>
            <w:r>
              <w:rPr>
                <w:rFonts w:hint="eastAsia"/>
                <w:color w:val="000000" w:themeColor="text1"/>
                <w:kern w:val="0"/>
                <w:sz w:val="24"/>
                <w:lang w:val="en-US" w:eastAsia="zh-CN"/>
                <w14:textFill>
                  <w14:solidFill>
                    <w14:schemeClr w14:val="tx1"/>
                  </w14:solidFill>
                </w14:textFill>
              </w:rPr>
              <w:t>16</w:t>
            </w:r>
            <w:r>
              <w:rPr>
                <w:color w:val="000000" w:themeColor="text1"/>
                <w:kern w:val="0"/>
                <w:sz w:val="24"/>
                <w14:textFill>
                  <w14:solidFill>
                    <w14:schemeClr w14:val="tx1"/>
                  </w14:solidFill>
                </w14:textFill>
              </w:rPr>
              <w:t>日对现状声环境质量进行了监测。现状监测</w:t>
            </w:r>
            <w:r>
              <w:rPr>
                <w:kern w:val="0"/>
                <w:sz w:val="24"/>
              </w:rPr>
              <w:t>结果如表3-</w:t>
            </w:r>
            <w:r>
              <w:rPr>
                <w:rFonts w:hint="eastAsia"/>
                <w:kern w:val="0"/>
                <w:sz w:val="24"/>
                <w:lang w:val="en-US" w:eastAsia="zh-CN"/>
              </w:rPr>
              <w:t>3</w:t>
            </w:r>
            <w:r>
              <w:rPr>
                <w:kern w:val="0"/>
                <w:sz w:val="24"/>
              </w:rPr>
              <w:t>所示。</w:t>
            </w:r>
          </w:p>
          <w:p w14:paraId="2C61C153">
            <w:pPr>
              <w:pStyle w:val="10"/>
              <w:ind w:firstLine="482"/>
              <w:jc w:val="center"/>
              <w:rPr>
                <w:b/>
                <w:bCs/>
                <w:kern w:val="2"/>
                <w:sz w:val="24"/>
                <w:szCs w:val="24"/>
              </w:rPr>
            </w:pPr>
            <w:r>
              <w:rPr>
                <w:b/>
                <w:bCs/>
                <w:kern w:val="2"/>
                <w:sz w:val="24"/>
                <w:szCs w:val="24"/>
              </w:rPr>
              <w:t>表3-</w:t>
            </w:r>
            <w:r>
              <w:rPr>
                <w:rFonts w:hint="eastAsia"/>
                <w:b/>
                <w:bCs/>
                <w:kern w:val="2"/>
                <w:sz w:val="24"/>
                <w:szCs w:val="24"/>
                <w:lang w:val="en-US" w:eastAsia="zh-CN"/>
              </w:rPr>
              <w:t>3</w:t>
            </w:r>
            <w:r>
              <w:rPr>
                <w:b/>
                <w:bCs/>
                <w:kern w:val="2"/>
                <w:sz w:val="24"/>
                <w:szCs w:val="24"/>
              </w:rPr>
              <w:t xml:space="preserve"> 噪声现状监测结果  </w:t>
            </w:r>
            <w:r>
              <w:rPr>
                <w:b/>
                <w:bCs/>
                <w:kern w:val="21"/>
                <w:sz w:val="24"/>
              </w:rPr>
              <w:t>单位：dB(A)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4"/>
              <w:gridCol w:w="1157"/>
              <w:gridCol w:w="1116"/>
              <w:gridCol w:w="868"/>
              <w:gridCol w:w="900"/>
              <w:gridCol w:w="1409"/>
            </w:tblGrid>
            <w:tr w14:paraId="4551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Merge w:val="restart"/>
                  <w:vAlign w:val="center"/>
                </w:tcPr>
                <w:p w14:paraId="2715286A">
                  <w:pPr>
                    <w:adjustRightInd w:val="0"/>
                    <w:jc w:val="center"/>
                    <w:rPr>
                      <w:b/>
                      <w:bCs/>
                      <w:szCs w:val="21"/>
                    </w:rPr>
                  </w:pPr>
                  <w:r>
                    <w:rPr>
                      <w:b/>
                      <w:bCs/>
                      <w:szCs w:val="21"/>
                    </w:rPr>
                    <w:t>监测点位</w:t>
                  </w:r>
                </w:p>
              </w:tc>
              <w:tc>
                <w:tcPr>
                  <w:tcW w:w="1336" w:type="pct"/>
                  <w:gridSpan w:val="2"/>
                  <w:vAlign w:val="center"/>
                </w:tcPr>
                <w:p w14:paraId="44B8487E">
                  <w:pPr>
                    <w:adjustRightInd w:val="0"/>
                    <w:jc w:val="center"/>
                    <w:rPr>
                      <w:rFonts w:hint="eastAsia" w:eastAsia="宋体"/>
                      <w:b/>
                      <w:bCs/>
                      <w:szCs w:val="21"/>
                      <w:lang w:val="en-US" w:eastAsia="zh-CN"/>
                    </w:rPr>
                  </w:pPr>
                  <w:r>
                    <w:rPr>
                      <w:b/>
                      <w:bCs/>
                      <w:szCs w:val="21"/>
                    </w:rPr>
                    <w:t>监测</w:t>
                  </w:r>
                  <w:r>
                    <w:rPr>
                      <w:rFonts w:hint="eastAsia"/>
                      <w:b/>
                      <w:bCs/>
                      <w:szCs w:val="21"/>
                      <w:lang w:val="en-US" w:eastAsia="zh-CN"/>
                    </w:rPr>
                    <w:t>结果</w:t>
                  </w:r>
                </w:p>
              </w:tc>
              <w:tc>
                <w:tcPr>
                  <w:tcW w:w="1039" w:type="pct"/>
                  <w:gridSpan w:val="2"/>
                  <w:vAlign w:val="center"/>
                </w:tcPr>
                <w:p w14:paraId="395C297B">
                  <w:pPr>
                    <w:adjustRightInd w:val="0"/>
                    <w:jc w:val="center"/>
                    <w:rPr>
                      <w:b/>
                      <w:bCs/>
                      <w:szCs w:val="21"/>
                    </w:rPr>
                  </w:pPr>
                  <w:r>
                    <w:rPr>
                      <w:b/>
                      <w:bCs/>
                      <w:szCs w:val="21"/>
                    </w:rPr>
                    <w:t>评价标准</w:t>
                  </w:r>
                </w:p>
              </w:tc>
              <w:tc>
                <w:tcPr>
                  <w:tcW w:w="828" w:type="pct"/>
                  <w:vMerge w:val="restart"/>
                  <w:vAlign w:val="center"/>
                </w:tcPr>
                <w:p w14:paraId="5D59C0A4">
                  <w:pPr>
                    <w:adjustRightInd w:val="0"/>
                    <w:jc w:val="center"/>
                    <w:rPr>
                      <w:b/>
                      <w:bCs/>
                      <w:szCs w:val="21"/>
                    </w:rPr>
                  </w:pPr>
                  <w:r>
                    <w:rPr>
                      <w:b/>
                      <w:bCs/>
                      <w:szCs w:val="21"/>
                    </w:rPr>
                    <w:t>达标情况</w:t>
                  </w:r>
                </w:p>
              </w:tc>
            </w:tr>
            <w:tr w14:paraId="1DE7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Merge w:val="continue"/>
                  <w:vAlign w:val="center"/>
                </w:tcPr>
                <w:p w14:paraId="1D2C7E99">
                  <w:pPr>
                    <w:adjustRightInd w:val="0"/>
                    <w:jc w:val="center"/>
                    <w:rPr>
                      <w:b/>
                      <w:bCs/>
                      <w:szCs w:val="21"/>
                    </w:rPr>
                  </w:pPr>
                </w:p>
              </w:tc>
              <w:tc>
                <w:tcPr>
                  <w:tcW w:w="680" w:type="pct"/>
                  <w:vAlign w:val="center"/>
                </w:tcPr>
                <w:p w14:paraId="0090F0A0">
                  <w:pPr>
                    <w:adjustRightInd w:val="0"/>
                    <w:jc w:val="center"/>
                    <w:rPr>
                      <w:b/>
                      <w:bCs/>
                      <w:szCs w:val="21"/>
                    </w:rPr>
                  </w:pPr>
                  <w:r>
                    <w:rPr>
                      <w:b/>
                      <w:bCs/>
                      <w:szCs w:val="21"/>
                    </w:rPr>
                    <w:t>昼间</w:t>
                  </w:r>
                </w:p>
              </w:tc>
              <w:tc>
                <w:tcPr>
                  <w:tcW w:w="655" w:type="pct"/>
                  <w:vAlign w:val="center"/>
                </w:tcPr>
                <w:p w14:paraId="56D56321">
                  <w:pPr>
                    <w:adjustRightInd w:val="0"/>
                    <w:jc w:val="center"/>
                    <w:rPr>
                      <w:b/>
                      <w:bCs/>
                      <w:szCs w:val="21"/>
                    </w:rPr>
                  </w:pPr>
                  <w:r>
                    <w:rPr>
                      <w:b/>
                      <w:bCs/>
                      <w:szCs w:val="21"/>
                    </w:rPr>
                    <w:t>夜间</w:t>
                  </w:r>
                </w:p>
              </w:tc>
              <w:tc>
                <w:tcPr>
                  <w:tcW w:w="510" w:type="pct"/>
                  <w:vAlign w:val="center"/>
                </w:tcPr>
                <w:p w14:paraId="5753F97E">
                  <w:pPr>
                    <w:adjustRightInd w:val="0"/>
                    <w:jc w:val="center"/>
                    <w:rPr>
                      <w:b/>
                      <w:bCs/>
                      <w:szCs w:val="21"/>
                    </w:rPr>
                  </w:pPr>
                  <w:r>
                    <w:rPr>
                      <w:b/>
                      <w:bCs/>
                      <w:szCs w:val="21"/>
                    </w:rPr>
                    <w:t>昼间</w:t>
                  </w:r>
                </w:p>
              </w:tc>
              <w:tc>
                <w:tcPr>
                  <w:tcW w:w="529" w:type="pct"/>
                  <w:vAlign w:val="center"/>
                </w:tcPr>
                <w:p w14:paraId="280CD1D4">
                  <w:pPr>
                    <w:adjustRightInd w:val="0"/>
                    <w:jc w:val="center"/>
                    <w:rPr>
                      <w:b/>
                      <w:bCs/>
                      <w:szCs w:val="21"/>
                    </w:rPr>
                  </w:pPr>
                  <w:r>
                    <w:rPr>
                      <w:b/>
                      <w:bCs/>
                      <w:szCs w:val="21"/>
                    </w:rPr>
                    <w:t>夜间</w:t>
                  </w:r>
                </w:p>
              </w:tc>
              <w:tc>
                <w:tcPr>
                  <w:tcW w:w="828" w:type="pct"/>
                  <w:vMerge w:val="continue"/>
                  <w:vAlign w:val="center"/>
                </w:tcPr>
                <w:p w14:paraId="60B544D6">
                  <w:pPr>
                    <w:adjustRightInd w:val="0"/>
                    <w:jc w:val="center"/>
                    <w:rPr>
                      <w:b/>
                      <w:bCs/>
                      <w:szCs w:val="21"/>
                    </w:rPr>
                  </w:pPr>
                </w:p>
              </w:tc>
            </w:tr>
            <w:tr w14:paraId="6728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Align w:val="center"/>
                </w:tcPr>
                <w:p w14:paraId="00E822B5">
                  <w:pPr>
                    <w:adjustRightInd w:val="0"/>
                    <w:jc w:val="center"/>
                    <w:rPr>
                      <w:szCs w:val="21"/>
                    </w:rPr>
                  </w:pPr>
                  <w:r>
                    <w:rPr>
                      <w:rFonts w:hint="eastAsia"/>
                      <w:szCs w:val="21"/>
                      <w:lang w:val="en-US" w:eastAsia="zh-CN"/>
                    </w:rPr>
                    <w:t>青农一路南面N1</w:t>
                  </w:r>
                </w:p>
              </w:tc>
              <w:tc>
                <w:tcPr>
                  <w:tcW w:w="680" w:type="pct"/>
                  <w:vAlign w:val="center"/>
                </w:tcPr>
                <w:p w14:paraId="6D39AC23">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50.7</w:t>
                  </w:r>
                </w:p>
              </w:tc>
              <w:tc>
                <w:tcPr>
                  <w:tcW w:w="655" w:type="pct"/>
                  <w:vAlign w:val="center"/>
                </w:tcPr>
                <w:p w14:paraId="48991DC0">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41.3</w:t>
                  </w:r>
                </w:p>
              </w:tc>
              <w:tc>
                <w:tcPr>
                  <w:tcW w:w="510" w:type="pct"/>
                  <w:vAlign w:val="center"/>
                </w:tcPr>
                <w:p w14:paraId="5928A1FE">
                  <w:pPr>
                    <w:adjustRightInd w:val="0"/>
                    <w:jc w:val="center"/>
                    <w:rPr>
                      <w:rFonts w:hint="default" w:eastAsia="宋体"/>
                      <w:szCs w:val="21"/>
                      <w:lang w:val="en-US" w:eastAsia="zh-CN"/>
                    </w:rPr>
                  </w:pPr>
                  <w:r>
                    <w:rPr>
                      <w:rFonts w:hint="eastAsia"/>
                      <w:szCs w:val="21"/>
                      <w:lang w:val="en-US" w:eastAsia="zh-CN"/>
                    </w:rPr>
                    <w:t>70</w:t>
                  </w:r>
                </w:p>
              </w:tc>
              <w:tc>
                <w:tcPr>
                  <w:tcW w:w="529" w:type="pct"/>
                  <w:vAlign w:val="center"/>
                </w:tcPr>
                <w:p w14:paraId="7C9E9B76">
                  <w:pPr>
                    <w:jc w:val="center"/>
                    <w:rPr>
                      <w:szCs w:val="21"/>
                    </w:rPr>
                  </w:pPr>
                  <w:r>
                    <w:rPr>
                      <w:rFonts w:hint="eastAsia"/>
                      <w:szCs w:val="21"/>
                      <w:lang w:val="en-US" w:eastAsia="zh-CN"/>
                    </w:rPr>
                    <w:t>5</w:t>
                  </w:r>
                  <w:r>
                    <w:rPr>
                      <w:szCs w:val="21"/>
                    </w:rPr>
                    <w:t>5</w:t>
                  </w:r>
                </w:p>
              </w:tc>
              <w:tc>
                <w:tcPr>
                  <w:tcW w:w="828" w:type="pct"/>
                  <w:vAlign w:val="center"/>
                </w:tcPr>
                <w:p w14:paraId="5A36A179">
                  <w:pPr>
                    <w:adjustRightInd w:val="0"/>
                    <w:jc w:val="center"/>
                    <w:rPr>
                      <w:szCs w:val="21"/>
                    </w:rPr>
                  </w:pPr>
                  <w:r>
                    <w:rPr>
                      <w:szCs w:val="21"/>
                    </w:rPr>
                    <w:t>达标</w:t>
                  </w:r>
                </w:p>
              </w:tc>
            </w:tr>
            <w:tr w14:paraId="28E4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Align w:val="center"/>
                </w:tcPr>
                <w:p w14:paraId="5AD2DA95">
                  <w:pPr>
                    <w:adjustRightInd w:val="0"/>
                    <w:jc w:val="center"/>
                    <w:rPr>
                      <w:szCs w:val="21"/>
                    </w:rPr>
                  </w:pPr>
                  <w:r>
                    <w:rPr>
                      <w:rFonts w:hint="eastAsia"/>
                      <w:szCs w:val="21"/>
                      <w:lang w:val="en-US" w:eastAsia="zh-CN"/>
                    </w:rPr>
                    <w:t>青农一路南面N2</w:t>
                  </w:r>
                </w:p>
              </w:tc>
              <w:tc>
                <w:tcPr>
                  <w:tcW w:w="680" w:type="pct"/>
                  <w:vAlign w:val="center"/>
                </w:tcPr>
                <w:p w14:paraId="7E07C9C9">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50.5</w:t>
                  </w:r>
                </w:p>
              </w:tc>
              <w:tc>
                <w:tcPr>
                  <w:tcW w:w="655" w:type="pct"/>
                  <w:vAlign w:val="center"/>
                </w:tcPr>
                <w:p w14:paraId="2071C108">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40.4</w:t>
                  </w:r>
                </w:p>
              </w:tc>
              <w:tc>
                <w:tcPr>
                  <w:tcW w:w="858" w:type="dxa"/>
                  <w:vAlign w:val="center"/>
                </w:tcPr>
                <w:p w14:paraId="32586C6B">
                  <w:pPr>
                    <w:adjustRightInd w:val="0"/>
                    <w:jc w:val="center"/>
                    <w:rPr>
                      <w:szCs w:val="21"/>
                    </w:rPr>
                  </w:pPr>
                  <w:r>
                    <w:rPr>
                      <w:rFonts w:hint="eastAsia"/>
                      <w:szCs w:val="21"/>
                      <w:lang w:val="en-US" w:eastAsia="zh-CN"/>
                    </w:rPr>
                    <w:t>70</w:t>
                  </w:r>
                </w:p>
              </w:tc>
              <w:tc>
                <w:tcPr>
                  <w:tcW w:w="890" w:type="dxa"/>
                  <w:vAlign w:val="center"/>
                </w:tcPr>
                <w:p w14:paraId="4B7B45D9">
                  <w:pPr>
                    <w:jc w:val="center"/>
                    <w:rPr>
                      <w:szCs w:val="21"/>
                    </w:rPr>
                  </w:pPr>
                  <w:r>
                    <w:rPr>
                      <w:rFonts w:hint="eastAsia"/>
                      <w:szCs w:val="21"/>
                      <w:lang w:val="en-US" w:eastAsia="zh-CN"/>
                    </w:rPr>
                    <w:t>5</w:t>
                  </w:r>
                  <w:r>
                    <w:rPr>
                      <w:szCs w:val="21"/>
                    </w:rPr>
                    <w:t>5</w:t>
                  </w:r>
                </w:p>
              </w:tc>
              <w:tc>
                <w:tcPr>
                  <w:tcW w:w="828" w:type="pct"/>
                  <w:vAlign w:val="center"/>
                </w:tcPr>
                <w:p w14:paraId="080B1655">
                  <w:pPr>
                    <w:adjustRightInd w:val="0"/>
                    <w:jc w:val="center"/>
                    <w:rPr>
                      <w:szCs w:val="21"/>
                    </w:rPr>
                  </w:pPr>
                  <w:r>
                    <w:rPr>
                      <w:szCs w:val="21"/>
                    </w:rPr>
                    <w:t>达标</w:t>
                  </w:r>
                </w:p>
              </w:tc>
            </w:tr>
            <w:tr w14:paraId="097F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Align w:val="center"/>
                </w:tcPr>
                <w:p w14:paraId="71BF4761">
                  <w:pPr>
                    <w:adjustRightInd w:val="0"/>
                    <w:jc w:val="center"/>
                    <w:rPr>
                      <w:szCs w:val="21"/>
                    </w:rPr>
                  </w:pPr>
                  <w:r>
                    <w:rPr>
                      <w:rFonts w:hint="eastAsia"/>
                      <w:szCs w:val="21"/>
                      <w:lang w:val="en-US" w:eastAsia="zh-CN"/>
                    </w:rPr>
                    <w:t>青农一路南面N3</w:t>
                  </w:r>
                </w:p>
              </w:tc>
              <w:tc>
                <w:tcPr>
                  <w:tcW w:w="680" w:type="pct"/>
                  <w:vAlign w:val="center"/>
                </w:tcPr>
                <w:p w14:paraId="30AA6C08">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51.6</w:t>
                  </w:r>
                </w:p>
              </w:tc>
              <w:tc>
                <w:tcPr>
                  <w:tcW w:w="655" w:type="pct"/>
                  <w:vAlign w:val="center"/>
                </w:tcPr>
                <w:p w14:paraId="18C9C7C9">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42.7</w:t>
                  </w:r>
                </w:p>
              </w:tc>
              <w:tc>
                <w:tcPr>
                  <w:tcW w:w="858" w:type="dxa"/>
                  <w:vAlign w:val="center"/>
                </w:tcPr>
                <w:p w14:paraId="75654278">
                  <w:pPr>
                    <w:adjustRightInd w:val="0"/>
                    <w:jc w:val="center"/>
                    <w:rPr>
                      <w:szCs w:val="21"/>
                    </w:rPr>
                  </w:pPr>
                  <w:r>
                    <w:rPr>
                      <w:rFonts w:hint="eastAsia"/>
                      <w:szCs w:val="21"/>
                      <w:lang w:val="en-US" w:eastAsia="zh-CN"/>
                    </w:rPr>
                    <w:t>70</w:t>
                  </w:r>
                </w:p>
              </w:tc>
              <w:tc>
                <w:tcPr>
                  <w:tcW w:w="890" w:type="dxa"/>
                  <w:vAlign w:val="center"/>
                </w:tcPr>
                <w:p w14:paraId="0A99D43F">
                  <w:pPr>
                    <w:jc w:val="center"/>
                    <w:rPr>
                      <w:szCs w:val="21"/>
                    </w:rPr>
                  </w:pPr>
                  <w:r>
                    <w:rPr>
                      <w:rFonts w:hint="eastAsia"/>
                      <w:szCs w:val="21"/>
                      <w:lang w:val="en-US" w:eastAsia="zh-CN"/>
                    </w:rPr>
                    <w:t>5</w:t>
                  </w:r>
                  <w:r>
                    <w:rPr>
                      <w:szCs w:val="21"/>
                    </w:rPr>
                    <w:t>5</w:t>
                  </w:r>
                </w:p>
              </w:tc>
              <w:tc>
                <w:tcPr>
                  <w:tcW w:w="828" w:type="pct"/>
                  <w:vAlign w:val="center"/>
                </w:tcPr>
                <w:p w14:paraId="5C8256B9">
                  <w:pPr>
                    <w:adjustRightInd w:val="0"/>
                    <w:jc w:val="center"/>
                    <w:rPr>
                      <w:szCs w:val="21"/>
                    </w:rPr>
                  </w:pPr>
                  <w:r>
                    <w:rPr>
                      <w:szCs w:val="21"/>
                    </w:rPr>
                    <w:t>达标</w:t>
                  </w:r>
                </w:p>
              </w:tc>
            </w:tr>
            <w:tr w14:paraId="0739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Align w:val="center"/>
                </w:tcPr>
                <w:p w14:paraId="5CC84B36">
                  <w:pPr>
                    <w:adjustRightInd w:val="0"/>
                    <w:jc w:val="center"/>
                    <w:rPr>
                      <w:szCs w:val="21"/>
                    </w:rPr>
                  </w:pPr>
                  <w:r>
                    <w:rPr>
                      <w:rFonts w:hint="eastAsia"/>
                      <w:szCs w:val="21"/>
                      <w:lang w:val="en-US" w:eastAsia="zh-CN"/>
                    </w:rPr>
                    <w:t>青农一路北面N4</w:t>
                  </w:r>
                </w:p>
              </w:tc>
              <w:tc>
                <w:tcPr>
                  <w:tcW w:w="680" w:type="pct"/>
                  <w:vAlign w:val="center"/>
                </w:tcPr>
                <w:p w14:paraId="734F659F">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52.1</w:t>
                  </w:r>
                </w:p>
              </w:tc>
              <w:tc>
                <w:tcPr>
                  <w:tcW w:w="655" w:type="pct"/>
                  <w:vAlign w:val="center"/>
                </w:tcPr>
                <w:p w14:paraId="46CC5C6E">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38.5</w:t>
                  </w:r>
                </w:p>
              </w:tc>
              <w:tc>
                <w:tcPr>
                  <w:tcW w:w="858" w:type="dxa"/>
                  <w:vAlign w:val="center"/>
                </w:tcPr>
                <w:p w14:paraId="408BA504">
                  <w:pPr>
                    <w:adjustRightInd w:val="0"/>
                    <w:jc w:val="center"/>
                    <w:rPr>
                      <w:szCs w:val="21"/>
                    </w:rPr>
                  </w:pPr>
                  <w:r>
                    <w:rPr>
                      <w:rFonts w:hint="eastAsia"/>
                      <w:szCs w:val="21"/>
                      <w:lang w:val="en-US" w:eastAsia="zh-CN"/>
                    </w:rPr>
                    <w:t>70</w:t>
                  </w:r>
                </w:p>
              </w:tc>
              <w:tc>
                <w:tcPr>
                  <w:tcW w:w="890" w:type="dxa"/>
                  <w:vAlign w:val="center"/>
                </w:tcPr>
                <w:p w14:paraId="1856521D">
                  <w:pPr>
                    <w:jc w:val="center"/>
                    <w:rPr>
                      <w:szCs w:val="21"/>
                    </w:rPr>
                  </w:pPr>
                  <w:r>
                    <w:rPr>
                      <w:rFonts w:hint="eastAsia"/>
                      <w:szCs w:val="21"/>
                      <w:lang w:val="en-US" w:eastAsia="zh-CN"/>
                    </w:rPr>
                    <w:t>5</w:t>
                  </w:r>
                  <w:r>
                    <w:rPr>
                      <w:szCs w:val="21"/>
                    </w:rPr>
                    <w:t>5</w:t>
                  </w:r>
                </w:p>
              </w:tc>
              <w:tc>
                <w:tcPr>
                  <w:tcW w:w="828" w:type="pct"/>
                  <w:vAlign w:val="center"/>
                </w:tcPr>
                <w:p w14:paraId="31088408">
                  <w:pPr>
                    <w:adjustRightInd w:val="0"/>
                    <w:jc w:val="center"/>
                    <w:rPr>
                      <w:szCs w:val="21"/>
                    </w:rPr>
                  </w:pPr>
                  <w:r>
                    <w:rPr>
                      <w:szCs w:val="21"/>
                    </w:rPr>
                    <w:t>达标</w:t>
                  </w:r>
                </w:p>
              </w:tc>
            </w:tr>
            <w:tr w14:paraId="5978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Align w:val="center"/>
                </w:tcPr>
                <w:p w14:paraId="1C44D789">
                  <w:pPr>
                    <w:adjustRightInd w:val="0"/>
                    <w:jc w:val="center"/>
                    <w:rPr>
                      <w:szCs w:val="21"/>
                    </w:rPr>
                  </w:pPr>
                  <w:r>
                    <w:rPr>
                      <w:rFonts w:hint="eastAsia"/>
                      <w:szCs w:val="21"/>
                      <w:lang w:val="en-US" w:eastAsia="zh-CN"/>
                    </w:rPr>
                    <w:t>青农一路北面N5</w:t>
                  </w:r>
                </w:p>
              </w:tc>
              <w:tc>
                <w:tcPr>
                  <w:tcW w:w="680" w:type="pct"/>
                  <w:vAlign w:val="center"/>
                </w:tcPr>
                <w:p w14:paraId="276D5594">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49.1</w:t>
                  </w:r>
                </w:p>
              </w:tc>
              <w:tc>
                <w:tcPr>
                  <w:tcW w:w="655" w:type="pct"/>
                  <w:vAlign w:val="center"/>
                </w:tcPr>
                <w:p w14:paraId="3DD94178">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41.4</w:t>
                  </w:r>
                </w:p>
              </w:tc>
              <w:tc>
                <w:tcPr>
                  <w:tcW w:w="858" w:type="dxa"/>
                  <w:vAlign w:val="center"/>
                </w:tcPr>
                <w:p w14:paraId="7312D383">
                  <w:pPr>
                    <w:adjustRightInd w:val="0"/>
                    <w:jc w:val="center"/>
                    <w:rPr>
                      <w:szCs w:val="21"/>
                    </w:rPr>
                  </w:pPr>
                  <w:r>
                    <w:rPr>
                      <w:rFonts w:hint="eastAsia"/>
                      <w:szCs w:val="21"/>
                      <w:lang w:val="en-US" w:eastAsia="zh-CN"/>
                    </w:rPr>
                    <w:t>70</w:t>
                  </w:r>
                </w:p>
              </w:tc>
              <w:tc>
                <w:tcPr>
                  <w:tcW w:w="890" w:type="dxa"/>
                  <w:vAlign w:val="center"/>
                </w:tcPr>
                <w:p w14:paraId="707D3C83">
                  <w:pPr>
                    <w:jc w:val="center"/>
                    <w:rPr>
                      <w:szCs w:val="21"/>
                    </w:rPr>
                  </w:pPr>
                  <w:r>
                    <w:rPr>
                      <w:rFonts w:hint="eastAsia"/>
                      <w:szCs w:val="21"/>
                      <w:lang w:val="en-US" w:eastAsia="zh-CN"/>
                    </w:rPr>
                    <w:t>5</w:t>
                  </w:r>
                  <w:r>
                    <w:rPr>
                      <w:szCs w:val="21"/>
                    </w:rPr>
                    <w:t>5</w:t>
                  </w:r>
                </w:p>
              </w:tc>
              <w:tc>
                <w:tcPr>
                  <w:tcW w:w="828" w:type="pct"/>
                  <w:vAlign w:val="center"/>
                </w:tcPr>
                <w:p w14:paraId="014DD7B6">
                  <w:pPr>
                    <w:adjustRightInd w:val="0"/>
                    <w:jc w:val="center"/>
                    <w:rPr>
                      <w:szCs w:val="21"/>
                    </w:rPr>
                  </w:pPr>
                  <w:r>
                    <w:rPr>
                      <w:szCs w:val="21"/>
                    </w:rPr>
                    <w:t>达标</w:t>
                  </w:r>
                </w:p>
              </w:tc>
            </w:tr>
            <w:tr w14:paraId="6634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Align w:val="center"/>
                </w:tcPr>
                <w:p w14:paraId="1C793B02">
                  <w:pPr>
                    <w:adjustRightInd w:val="0"/>
                    <w:jc w:val="center"/>
                    <w:rPr>
                      <w:szCs w:val="21"/>
                    </w:rPr>
                  </w:pPr>
                  <w:r>
                    <w:rPr>
                      <w:rFonts w:hint="eastAsia"/>
                      <w:szCs w:val="21"/>
                      <w:lang w:val="en-US" w:eastAsia="zh-CN"/>
                    </w:rPr>
                    <w:t>文卫村N6</w:t>
                  </w:r>
                </w:p>
              </w:tc>
              <w:tc>
                <w:tcPr>
                  <w:tcW w:w="680" w:type="pct"/>
                  <w:vAlign w:val="center"/>
                </w:tcPr>
                <w:p w14:paraId="19A423DB">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44.6</w:t>
                  </w:r>
                </w:p>
              </w:tc>
              <w:tc>
                <w:tcPr>
                  <w:tcW w:w="655" w:type="pct"/>
                  <w:vAlign w:val="center"/>
                </w:tcPr>
                <w:p w14:paraId="4F14BC35">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43.2</w:t>
                  </w:r>
                </w:p>
              </w:tc>
              <w:tc>
                <w:tcPr>
                  <w:tcW w:w="858" w:type="dxa"/>
                  <w:vAlign w:val="center"/>
                </w:tcPr>
                <w:p w14:paraId="689E9FCC">
                  <w:pPr>
                    <w:adjustRightInd w:val="0"/>
                    <w:jc w:val="center"/>
                    <w:rPr>
                      <w:szCs w:val="21"/>
                    </w:rPr>
                  </w:pPr>
                  <w:r>
                    <w:rPr>
                      <w:rFonts w:hint="eastAsia"/>
                      <w:szCs w:val="21"/>
                      <w:lang w:val="en-US" w:eastAsia="zh-CN"/>
                    </w:rPr>
                    <w:t>70</w:t>
                  </w:r>
                </w:p>
              </w:tc>
              <w:tc>
                <w:tcPr>
                  <w:tcW w:w="890" w:type="dxa"/>
                  <w:vAlign w:val="center"/>
                </w:tcPr>
                <w:p w14:paraId="49097E73">
                  <w:pPr>
                    <w:jc w:val="center"/>
                    <w:rPr>
                      <w:szCs w:val="21"/>
                    </w:rPr>
                  </w:pPr>
                  <w:r>
                    <w:rPr>
                      <w:rFonts w:hint="eastAsia"/>
                      <w:szCs w:val="21"/>
                      <w:lang w:val="en-US" w:eastAsia="zh-CN"/>
                    </w:rPr>
                    <w:t>5</w:t>
                  </w:r>
                  <w:r>
                    <w:rPr>
                      <w:szCs w:val="21"/>
                    </w:rPr>
                    <w:t>5</w:t>
                  </w:r>
                </w:p>
              </w:tc>
              <w:tc>
                <w:tcPr>
                  <w:tcW w:w="828" w:type="pct"/>
                  <w:vAlign w:val="center"/>
                </w:tcPr>
                <w:p w14:paraId="27F51433">
                  <w:pPr>
                    <w:adjustRightInd w:val="0"/>
                    <w:jc w:val="center"/>
                    <w:rPr>
                      <w:szCs w:val="21"/>
                    </w:rPr>
                  </w:pPr>
                  <w:r>
                    <w:rPr>
                      <w:szCs w:val="21"/>
                    </w:rPr>
                    <w:t>达标</w:t>
                  </w:r>
                </w:p>
              </w:tc>
            </w:tr>
            <w:tr w14:paraId="7C7B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5" w:type="pct"/>
                  <w:vAlign w:val="center"/>
                </w:tcPr>
                <w:p w14:paraId="0F376DB2">
                  <w:pPr>
                    <w:adjustRightInd w:val="0"/>
                    <w:jc w:val="center"/>
                    <w:rPr>
                      <w:szCs w:val="21"/>
                    </w:rPr>
                  </w:pPr>
                  <w:r>
                    <w:rPr>
                      <w:rFonts w:hint="eastAsia"/>
                      <w:szCs w:val="21"/>
                      <w:lang w:val="en-US" w:eastAsia="zh-CN"/>
                    </w:rPr>
                    <w:t>十六圩N7</w:t>
                  </w:r>
                </w:p>
              </w:tc>
              <w:tc>
                <w:tcPr>
                  <w:tcW w:w="680" w:type="pct"/>
                  <w:vAlign w:val="center"/>
                </w:tcPr>
                <w:p w14:paraId="4D76C5AA">
                  <w:pPr>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52.1</w:t>
                  </w:r>
                </w:p>
              </w:tc>
              <w:tc>
                <w:tcPr>
                  <w:tcW w:w="655" w:type="pct"/>
                  <w:vAlign w:val="center"/>
                </w:tcPr>
                <w:p w14:paraId="6F552B25">
                  <w:pPr>
                    <w:adjustRightInd w:val="0"/>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41.2</w:t>
                  </w:r>
                </w:p>
              </w:tc>
              <w:tc>
                <w:tcPr>
                  <w:tcW w:w="858" w:type="dxa"/>
                  <w:vAlign w:val="center"/>
                </w:tcPr>
                <w:p w14:paraId="21FD5EC6">
                  <w:pPr>
                    <w:adjustRightInd w:val="0"/>
                    <w:jc w:val="center"/>
                    <w:rPr>
                      <w:szCs w:val="21"/>
                    </w:rPr>
                  </w:pPr>
                  <w:r>
                    <w:rPr>
                      <w:rFonts w:hint="eastAsia"/>
                      <w:szCs w:val="21"/>
                      <w:lang w:val="en-US" w:eastAsia="zh-CN"/>
                    </w:rPr>
                    <w:t>70</w:t>
                  </w:r>
                </w:p>
              </w:tc>
              <w:tc>
                <w:tcPr>
                  <w:tcW w:w="890" w:type="dxa"/>
                  <w:vAlign w:val="center"/>
                </w:tcPr>
                <w:p w14:paraId="4973CAAB">
                  <w:pPr>
                    <w:jc w:val="center"/>
                    <w:rPr>
                      <w:szCs w:val="21"/>
                    </w:rPr>
                  </w:pPr>
                  <w:r>
                    <w:rPr>
                      <w:rFonts w:hint="eastAsia"/>
                      <w:szCs w:val="21"/>
                      <w:lang w:val="en-US" w:eastAsia="zh-CN"/>
                    </w:rPr>
                    <w:t>5</w:t>
                  </w:r>
                  <w:r>
                    <w:rPr>
                      <w:szCs w:val="21"/>
                    </w:rPr>
                    <w:t>5</w:t>
                  </w:r>
                </w:p>
              </w:tc>
              <w:tc>
                <w:tcPr>
                  <w:tcW w:w="828" w:type="pct"/>
                  <w:vAlign w:val="center"/>
                </w:tcPr>
                <w:p w14:paraId="1B3C85DC">
                  <w:pPr>
                    <w:adjustRightInd w:val="0"/>
                    <w:jc w:val="center"/>
                    <w:rPr>
                      <w:szCs w:val="21"/>
                    </w:rPr>
                  </w:pPr>
                  <w:r>
                    <w:rPr>
                      <w:szCs w:val="21"/>
                    </w:rPr>
                    <w:t>达标</w:t>
                  </w:r>
                </w:p>
              </w:tc>
            </w:tr>
          </w:tbl>
          <w:p w14:paraId="64CF5B48">
            <w:pPr>
              <w:pStyle w:val="10"/>
              <w:spacing w:before="0" w:after="0" w:line="360" w:lineRule="auto"/>
              <w:ind w:right="0"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根据监测结果可知，目前项目所在区域声环境质量较好，能够满足《声环境质量标准》（GB3096-2008）</w:t>
            </w:r>
            <w:r>
              <w:rPr>
                <w:rFonts w:hint="eastAsia"/>
                <w:sz w:val="24"/>
                <w:lang w:val="en-US" w:eastAsia="zh-CN"/>
              </w:rPr>
              <w:t>4a</w:t>
            </w:r>
            <w:r>
              <w:rPr>
                <w:color w:val="000000" w:themeColor="text1"/>
                <w:sz w:val="24"/>
                <w14:textFill>
                  <w14:solidFill>
                    <w14:schemeClr w14:val="tx1"/>
                  </w14:solidFill>
                </w14:textFill>
              </w:rPr>
              <w:t>类标准的要求。</w:t>
            </w:r>
          </w:p>
          <w:p w14:paraId="09D3ACE5">
            <w:pPr>
              <w:adjustRightInd w:val="0"/>
              <w:snapToGrid w:val="0"/>
              <w:spacing w:line="360" w:lineRule="auto"/>
              <w:ind w:firstLine="482" w:firstLineChars="200"/>
              <w:rPr>
                <w:b/>
                <w:bCs/>
                <w:kern w:val="0"/>
                <w:sz w:val="24"/>
                <w:szCs w:val="21"/>
              </w:rPr>
            </w:pPr>
            <w:r>
              <w:rPr>
                <w:b/>
                <w:bCs/>
                <w:kern w:val="0"/>
                <w:sz w:val="24"/>
                <w:szCs w:val="21"/>
              </w:rPr>
              <w:t>5、土壤环境质量现状</w:t>
            </w:r>
          </w:p>
          <w:p w14:paraId="2B3A1DCD">
            <w:pPr>
              <w:adjustRightInd w:val="0"/>
              <w:snapToGrid w:val="0"/>
              <w:spacing w:line="360" w:lineRule="auto"/>
              <w:ind w:firstLine="480" w:firstLineChars="200"/>
              <w:rPr>
                <w:sz w:val="24"/>
              </w:rPr>
            </w:pPr>
            <w:r>
              <w:rPr>
                <w:rFonts w:hint="default" w:ascii="Times New Roman" w:hAnsi="Times New Roman" w:cs="Times New Roman"/>
                <w:sz w:val="24"/>
              </w:rPr>
              <w:t>根据《环境影响评价技术导则 土壤环境》（HJ964-2018）附录A土壤环境影响评价项目类别，本项目属于“五十、核与辐射”中“181 输变电工程”中“其他（100千伏以下除外）”，属于Ⅳ类项目，可不开展土壤环境影响评</w:t>
            </w:r>
            <w:r>
              <w:rPr>
                <w:rFonts w:hint="eastAsia"/>
                <w:sz w:val="24"/>
              </w:rPr>
              <w:t>价工作。</w:t>
            </w:r>
          </w:p>
          <w:p w14:paraId="652FFFF0">
            <w:pPr>
              <w:adjustRightInd w:val="0"/>
              <w:snapToGrid w:val="0"/>
              <w:spacing w:line="360" w:lineRule="auto"/>
              <w:ind w:firstLine="482" w:firstLineChars="200"/>
              <w:rPr>
                <w:b/>
                <w:bCs/>
                <w:kern w:val="0"/>
                <w:sz w:val="24"/>
                <w:szCs w:val="21"/>
              </w:rPr>
            </w:pPr>
            <w:r>
              <w:rPr>
                <w:rFonts w:hint="eastAsia"/>
                <w:b/>
                <w:bCs/>
                <w:kern w:val="0"/>
                <w:sz w:val="24"/>
                <w:szCs w:val="21"/>
              </w:rPr>
              <w:t>6、地下水环境质量现状</w:t>
            </w:r>
          </w:p>
          <w:p w14:paraId="46732684">
            <w:pPr>
              <w:pStyle w:val="10"/>
              <w:spacing w:before="0" w:after="0" w:line="360" w:lineRule="auto"/>
              <w:ind w:right="0" w:firstLine="480" w:firstLineChars="200"/>
              <w:jc w:val="left"/>
              <w:rPr>
                <w:szCs w:val="21"/>
              </w:rPr>
            </w:pPr>
            <w:r>
              <w:rPr>
                <w:rFonts w:hint="eastAsia"/>
                <w:sz w:val="24"/>
              </w:rPr>
              <w:t>根据《建设项目环境影响评价技术导则 地下水环境》（HJ610-2016）附录A地下水环境影响评价行业分类表，本项目属于Ⅳ类建设项目，可不开展地下水环境影响评价。</w:t>
            </w:r>
          </w:p>
        </w:tc>
      </w:tr>
      <w:tr w14:paraId="68E97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1" w:hRule="atLeast"/>
          <w:jc w:val="center"/>
        </w:trPr>
        <w:tc>
          <w:tcPr>
            <w:tcW w:w="717" w:type="dxa"/>
            <w:vAlign w:val="center"/>
          </w:tcPr>
          <w:p w14:paraId="21AB0D8D">
            <w:pPr>
              <w:adjustRightInd w:val="0"/>
              <w:snapToGrid w:val="0"/>
              <w:jc w:val="center"/>
              <w:rPr>
                <w:kern w:val="0"/>
                <w:sz w:val="24"/>
              </w:rPr>
            </w:pPr>
            <w:r>
              <w:rPr>
                <w:kern w:val="0"/>
                <w:sz w:val="24"/>
              </w:rPr>
              <w:t>与项目有关的原有环境污染和生态破坏问题</w:t>
            </w:r>
          </w:p>
        </w:tc>
        <w:tc>
          <w:tcPr>
            <w:tcW w:w="8440" w:type="dxa"/>
            <w:vAlign w:val="center"/>
          </w:tcPr>
          <w:p w14:paraId="62C33CBD">
            <w:pPr>
              <w:adjustRightInd w:val="0"/>
              <w:snapToGrid w:val="0"/>
              <w:spacing w:line="360" w:lineRule="auto"/>
              <w:ind w:firstLine="480" w:firstLineChars="200"/>
              <w:rPr>
                <w:sz w:val="24"/>
              </w:rPr>
            </w:pPr>
          </w:p>
          <w:p w14:paraId="002CBC4A">
            <w:pPr>
              <w:adjustRightInd w:val="0"/>
              <w:snapToGrid w:val="0"/>
              <w:spacing w:line="360" w:lineRule="auto"/>
              <w:rPr>
                <w:sz w:val="24"/>
              </w:rPr>
            </w:pPr>
          </w:p>
          <w:p w14:paraId="3AD33D1F">
            <w:pPr>
              <w:adjustRightInd w:val="0"/>
              <w:snapToGrid w:val="0"/>
              <w:spacing w:line="360" w:lineRule="auto"/>
              <w:ind w:firstLine="480" w:firstLineChars="200"/>
              <w:rPr>
                <w:sz w:val="24"/>
              </w:rPr>
            </w:pPr>
          </w:p>
          <w:p w14:paraId="0699155A">
            <w:pPr>
              <w:adjustRightInd w:val="0"/>
              <w:snapToGrid w:val="0"/>
              <w:spacing w:line="360" w:lineRule="auto"/>
              <w:ind w:firstLine="480" w:firstLineChars="200"/>
              <w:rPr>
                <w:sz w:val="24"/>
              </w:rPr>
            </w:pPr>
            <w:r>
              <w:rPr>
                <w:sz w:val="24"/>
              </w:rPr>
              <w:t>本项目为新建项目，无与项目有关的原有环境污染和生态破坏问题。</w:t>
            </w:r>
          </w:p>
          <w:p w14:paraId="776A0FF0">
            <w:pPr>
              <w:adjustRightInd w:val="0"/>
              <w:snapToGrid w:val="0"/>
              <w:spacing w:line="360" w:lineRule="auto"/>
              <w:ind w:firstLine="480" w:firstLineChars="200"/>
              <w:rPr>
                <w:sz w:val="24"/>
              </w:rPr>
            </w:pPr>
          </w:p>
          <w:p w14:paraId="45D54B4D">
            <w:pPr>
              <w:adjustRightInd w:val="0"/>
              <w:snapToGrid w:val="0"/>
              <w:spacing w:line="360" w:lineRule="auto"/>
              <w:rPr>
                <w:sz w:val="24"/>
              </w:rPr>
            </w:pPr>
          </w:p>
          <w:p w14:paraId="47343231">
            <w:pPr>
              <w:adjustRightInd w:val="0"/>
              <w:snapToGrid w:val="0"/>
              <w:spacing w:line="360" w:lineRule="auto"/>
              <w:ind w:firstLine="480" w:firstLineChars="200"/>
              <w:rPr>
                <w:rFonts w:hint="eastAsia" w:eastAsia="宋体"/>
                <w:sz w:val="24"/>
                <w:lang w:val="en-US" w:eastAsia="zh-CN"/>
              </w:rPr>
            </w:pPr>
          </w:p>
        </w:tc>
      </w:tr>
      <w:tr w14:paraId="4F0DC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3" w:hRule="atLeast"/>
          <w:jc w:val="center"/>
        </w:trPr>
        <w:tc>
          <w:tcPr>
            <w:tcW w:w="717" w:type="dxa"/>
            <w:vAlign w:val="center"/>
          </w:tcPr>
          <w:p w14:paraId="33047D1C">
            <w:pPr>
              <w:adjustRightInd w:val="0"/>
              <w:snapToGrid w:val="0"/>
              <w:jc w:val="center"/>
              <w:rPr>
                <w:kern w:val="0"/>
                <w:sz w:val="24"/>
              </w:rPr>
            </w:pPr>
            <w:r>
              <w:rPr>
                <w:kern w:val="0"/>
                <w:sz w:val="24"/>
              </w:rPr>
              <w:t>生态环境保护目标</w:t>
            </w:r>
          </w:p>
        </w:tc>
        <w:tc>
          <w:tcPr>
            <w:tcW w:w="8440" w:type="dxa"/>
          </w:tcPr>
          <w:p w14:paraId="6D7607F8">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 xml:space="preserve">本项目评价范围不涉及《环境影响评价技术导则 生态影响》（HJ19-2022）中的生态敏感区：法定生态保护区域、重要生境以及其他具有重要生态功能、对保护生物多样性具有重要意义的区域。 </w:t>
            </w:r>
          </w:p>
          <w:p w14:paraId="1944EB5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本项目评价范围均不涉及国家公园、自然保护区、风景名胜区、世界文化和自然遗产地、海洋特别保护区、饮用水水源保护区等《建设项目环境影响评价分类管理名录（2021年版）》第三条（一）中的环境敏感区。 </w:t>
            </w:r>
          </w:p>
          <w:p w14:paraId="44748AA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对照《省政府关于印发江苏省国家级生态保护红线规划的通知》（苏政发〔2018〕74号）、《省政府关于印发江苏省生态空间管控区域规划的通知》（苏政发〔2020〕1号）及《江苏省自然资源厅关于连云港市连云区2023年度生态空间管控区域调整方案的复函》（苏自然资函[202</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rPr>
              <w:t xml:space="preserve">] </w:t>
            </w:r>
            <w:r>
              <w:rPr>
                <w:rFonts w:hint="eastAsia" w:ascii="Times New Roman" w:hAnsi="Times New Roman" w:eastAsia="宋体" w:cs="Times New Roman"/>
                <w:sz w:val="24"/>
                <w:lang w:val="en-US" w:eastAsia="zh-CN"/>
              </w:rPr>
              <w:t>1070</w:t>
            </w:r>
            <w:r>
              <w:rPr>
                <w:rFonts w:hint="eastAsia" w:ascii="Times New Roman" w:hAnsi="Times New Roman" w:eastAsia="宋体" w:cs="Times New Roman"/>
                <w:sz w:val="24"/>
              </w:rPr>
              <w:t>号），本项目评价范围不涉及江苏省国家级生态保护红线和江苏省生态空间管控区域。</w:t>
            </w:r>
          </w:p>
          <w:p w14:paraId="7F64036D">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详见附图</w:t>
            </w:r>
            <w:r>
              <w:rPr>
                <w:rFonts w:hint="eastAsia" w:ascii="Times New Roman" w:hAnsi="Times New Roman" w:eastAsia="宋体" w:cs="Times New Roman"/>
                <w:sz w:val="24"/>
                <w:lang w:val="en-US" w:eastAsia="zh-CN"/>
              </w:rPr>
              <w:t>7</w:t>
            </w:r>
            <w:r>
              <w:rPr>
                <w:rFonts w:ascii="Times New Roman" w:hAnsi="Times New Roman" w:eastAsia="宋体" w:cs="Times New Roman"/>
                <w:sz w:val="24"/>
              </w:rPr>
              <w:t xml:space="preserve"> </w:t>
            </w:r>
            <w:r>
              <w:rPr>
                <w:rFonts w:hint="eastAsia" w:ascii="Times New Roman" w:hAnsi="Times New Roman" w:eastAsia="宋体" w:cs="Times New Roman"/>
                <w:sz w:val="24"/>
              </w:rPr>
              <w:t>本项目</w:t>
            </w:r>
            <w:r>
              <w:rPr>
                <w:rFonts w:ascii="Times New Roman" w:hAnsi="Times New Roman" w:eastAsia="宋体" w:cs="Times New Roman"/>
                <w:sz w:val="24"/>
              </w:rPr>
              <w:t>与江苏省生态空间管控区域位置关系图</w:t>
            </w:r>
            <w:r>
              <w:rPr>
                <w:rFonts w:hint="eastAsia" w:ascii="Times New Roman" w:hAnsi="Times New Roman" w:eastAsia="宋体" w:cs="Times New Roman"/>
                <w:sz w:val="24"/>
                <w:lang w:eastAsia="zh-CN"/>
              </w:rPr>
              <w:t xml:space="preserve">，附图8 </w:t>
            </w:r>
            <w:r>
              <w:rPr>
                <w:rFonts w:hint="eastAsia" w:ascii="Times New Roman" w:hAnsi="Times New Roman" w:eastAsia="宋体" w:cs="Times New Roman"/>
                <w:sz w:val="24"/>
              </w:rPr>
              <w:t>本项目</w:t>
            </w:r>
            <w:r>
              <w:rPr>
                <w:rFonts w:ascii="Times New Roman" w:hAnsi="Times New Roman" w:eastAsia="宋体" w:cs="Times New Roman"/>
                <w:sz w:val="24"/>
              </w:rPr>
              <w:t>与</w:t>
            </w:r>
            <w:r>
              <w:rPr>
                <w:rFonts w:hint="eastAsia" w:ascii="Times New Roman" w:hAnsi="Times New Roman" w:eastAsia="宋体" w:cs="Times New Roman"/>
                <w:sz w:val="24"/>
                <w:lang w:eastAsia="zh-CN"/>
              </w:rPr>
              <w:t>连云港市连云区生态空间管控区域分布</w:t>
            </w:r>
            <w:r>
              <w:rPr>
                <w:rFonts w:ascii="Times New Roman" w:hAnsi="Times New Roman" w:eastAsia="宋体" w:cs="Times New Roman"/>
                <w:sz w:val="24"/>
              </w:rPr>
              <w:t>位置关系</w:t>
            </w:r>
            <w:r>
              <w:rPr>
                <w:rFonts w:hint="eastAsia" w:ascii="Times New Roman" w:hAnsi="Times New Roman" w:eastAsia="宋体" w:cs="Times New Roman"/>
                <w:sz w:val="24"/>
                <w:lang w:eastAsia="zh-CN"/>
              </w:rPr>
              <w:t xml:space="preserve">图，附图9 </w:t>
            </w:r>
            <w:r>
              <w:rPr>
                <w:rFonts w:hint="eastAsia" w:ascii="Times New Roman" w:hAnsi="Times New Roman" w:eastAsia="宋体" w:cs="Times New Roman"/>
                <w:sz w:val="24"/>
              </w:rPr>
              <w:t>本项目</w:t>
            </w:r>
            <w:r>
              <w:rPr>
                <w:rFonts w:ascii="Times New Roman" w:hAnsi="Times New Roman" w:eastAsia="宋体" w:cs="Times New Roman"/>
                <w:sz w:val="24"/>
              </w:rPr>
              <w:t>与</w:t>
            </w:r>
            <w:r>
              <w:rPr>
                <w:rFonts w:hint="eastAsia" w:ascii="Times New Roman" w:hAnsi="Times New Roman" w:eastAsia="宋体" w:cs="Times New Roman"/>
                <w:sz w:val="24"/>
                <w:lang w:eastAsia="zh-CN"/>
              </w:rPr>
              <w:t>连云港市环境管控单元</w:t>
            </w:r>
            <w:r>
              <w:rPr>
                <w:rFonts w:ascii="Times New Roman" w:hAnsi="Times New Roman" w:eastAsia="宋体" w:cs="Times New Roman"/>
                <w:sz w:val="24"/>
              </w:rPr>
              <w:t>位置关系</w:t>
            </w:r>
            <w:r>
              <w:rPr>
                <w:rFonts w:hint="eastAsia" w:ascii="Times New Roman" w:hAnsi="Times New Roman" w:eastAsia="宋体" w:cs="Times New Roman"/>
                <w:sz w:val="24"/>
                <w:lang w:eastAsia="zh-CN"/>
              </w:rPr>
              <w:t>图</w:t>
            </w:r>
            <w:r>
              <w:rPr>
                <w:rFonts w:ascii="Times New Roman" w:hAnsi="Times New Roman" w:eastAsia="宋体" w:cs="Times New Roman"/>
                <w:sz w:val="24"/>
              </w:rPr>
              <w:t>。</w:t>
            </w:r>
          </w:p>
          <w:p w14:paraId="6F055F24">
            <w:pPr>
              <w:adjustRightInd w:val="0"/>
              <w:snapToGrid w:val="0"/>
              <w:spacing w:line="360" w:lineRule="auto"/>
              <w:ind w:firstLine="480" w:firstLineChars="200"/>
              <w:rPr>
                <w:sz w:val="24"/>
              </w:rPr>
            </w:pPr>
            <w:r>
              <w:rPr>
                <w:sz w:val="24"/>
              </w:rPr>
              <w:t>根据现场踏勘情况，</w:t>
            </w:r>
            <w:r>
              <w:rPr>
                <w:rFonts w:ascii="Times New Roman" w:hAnsi="Times New Roman" w:eastAsia="宋体" w:cs="Times New Roman"/>
                <w:sz w:val="24"/>
              </w:rPr>
              <w:t>环境敏</w:t>
            </w:r>
            <w:r>
              <w:rPr>
                <w:sz w:val="24"/>
              </w:rPr>
              <w:t>感目标具体分布情况见表</w:t>
            </w:r>
            <w:r>
              <w:rPr>
                <w:rFonts w:hint="eastAsia"/>
                <w:sz w:val="24"/>
                <w:lang w:val="en-US" w:eastAsia="zh-CN"/>
              </w:rPr>
              <w:t>3-4</w:t>
            </w:r>
            <w:r>
              <w:rPr>
                <w:sz w:val="24"/>
              </w:rPr>
              <w:t>。</w:t>
            </w:r>
          </w:p>
          <w:p w14:paraId="0CF11561">
            <w:pPr>
              <w:jc w:val="center"/>
              <w:rPr>
                <w:b/>
                <w:bCs/>
                <w:sz w:val="24"/>
              </w:rPr>
            </w:pPr>
            <w:r>
              <w:rPr>
                <w:b/>
                <w:bCs/>
                <w:sz w:val="24"/>
              </w:rPr>
              <w:t>表3-</w:t>
            </w:r>
            <w:r>
              <w:rPr>
                <w:rFonts w:hint="eastAsia"/>
                <w:b/>
                <w:bCs/>
                <w:sz w:val="24"/>
                <w:lang w:val="en-US" w:eastAsia="zh-CN"/>
              </w:rPr>
              <w:t>4</w:t>
            </w:r>
            <w:r>
              <w:rPr>
                <w:b/>
                <w:bCs/>
                <w:sz w:val="24"/>
              </w:rPr>
              <w:t xml:space="preserve"> 环境敏感目标具体分布情况</w:t>
            </w:r>
          </w:p>
          <w:tbl>
            <w:tblPr>
              <w:tblStyle w:val="29"/>
              <w:tblW w:w="4943"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220"/>
              <w:gridCol w:w="1112"/>
              <w:gridCol w:w="1414"/>
              <w:gridCol w:w="1116"/>
              <w:gridCol w:w="636"/>
              <w:gridCol w:w="623"/>
              <w:gridCol w:w="707"/>
              <w:gridCol w:w="934"/>
              <w:gridCol w:w="1650"/>
            </w:tblGrid>
            <w:tr w14:paraId="70382D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 w:type="pct"/>
                  <w:vMerge w:val="restart"/>
                  <w:vAlign w:val="center"/>
                </w:tcPr>
                <w:p w14:paraId="7239ABCC">
                  <w:pPr>
                    <w:pStyle w:val="152"/>
                    <w:adjustRightInd w:val="0"/>
                    <w:snapToGrid w:val="0"/>
                    <w:rPr>
                      <w:b/>
                      <w:bCs/>
                      <w:sz w:val="21"/>
                      <w:szCs w:val="21"/>
                    </w:rPr>
                  </w:pPr>
                  <w:r>
                    <w:rPr>
                      <w:b/>
                      <w:bCs/>
                      <w:sz w:val="21"/>
                      <w:szCs w:val="21"/>
                    </w:rPr>
                    <w:t>环境要素</w:t>
                  </w:r>
                </w:p>
              </w:tc>
              <w:tc>
                <w:tcPr>
                  <w:tcW w:w="661" w:type="pct"/>
                  <w:vMerge w:val="restart"/>
                  <w:vAlign w:val="center"/>
                </w:tcPr>
                <w:p w14:paraId="7966F754">
                  <w:pPr>
                    <w:pStyle w:val="152"/>
                    <w:adjustRightInd w:val="0"/>
                    <w:snapToGrid w:val="0"/>
                    <w:rPr>
                      <w:b/>
                      <w:bCs/>
                      <w:sz w:val="21"/>
                      <w:szCs w:val="21"/>
                    </w:rPr>
                  </w:pPr>
                  <w:r>
                    <w:rPr>
                      <w:b/>
                      <w:bCs/>
                      <w:sz w:val="21"/>
                      <w:szCs w:val="21"/>
                    </w:rPr>
                    <w:t>名称</w:t>
                  </w:r>
                </w:p>
              </w:tc>
              <w:tc>
                <w:tcPr>
                  <w:tcW w:w="1503" w:type="pct"/>
                  <w:gridSpan w:val="2"/>
                  <w:vAlign w:val="center"/>
                </w:tcPr>
                <w:p w14:paraId="5F5650A7">
                  <w:pPr>
                    <w:adjustRightInd w:val="0"/>
                    <w:snapToGrid w:val="0"/>
                    <w:jc w:val="center"/>
                    <w:rPr>
                      <w:b/>
                      <w:bCs/>
                      <w:kern w:val="0"/>
                      <w:szCs w:val="21"/>
                    </w:rPr>
                  </w:pPr>
                  <w:r>
                    <w:rPr>
                      <w:b/>
                      <w:bCs/>
                    </w:rPr>
                    <w:t>坐标（经纬度</w:t>
                  </w:r>
                  <w:r>
                    <w:rPr>
                      <w:b/>
                      <w:bCs/>
                      <w:kern w:val="0"/>
                      <w:szCs w:val="21"/>
                    </w:rPr>
                    <w:t>°）</w:t>
                  </w:r>
                </w:p>
              </w:tc>
              <w:tc>
                <w:tcPr>
                  <w:tcW w:w="378" w:type="pct"/>
                  <w:vMerge w:val="restart"/>
                  <w:vAlign w:val="center"/>
                </w:tcPr>
                <w:p w14:paraId="1F1BF417">
                  <w:pPr>
                    <w:pStyle w:val="152"/>
                    <w:adjustRightInd w:val="0"/>
                    <w:snapToGrid w:val="0"/>
                    <w:rPr>
                      <w:b/>
                      <w:bCs/>
                      <w:sz w:val="21"/>
                      <w:szCs w:val="21"/>
                    </w:rPr>
                  </w:pPr>
                  <w:r>
                    <w:rPr>
                      <w:b/>
                      <w:bCs/>
                      <w:sz w:val="21"/>
                      <w:szCs w:val="21"/>
                    </w:rPr>
                    <w:t>保护</w:t>
                  </w:r>
                </w:p>
                <w:p w14:paraId="602A2480">
                  <w:pPr>
                    <w:pStyle w:val="152"/>
                    <w:adjustRightInd w:val="0"/>
                    <w:snapToGrid w:val="0"/>
                    <w:rPr>
                      <w:b/>
                      <w:bCs/>
                      <w:sz w:val="21"/>
                      <w:szCs w:val="21"/>
                    </w:rPr>
                  </w:pPr>
                  <w:r>
                    <w:rPr>
                      <w:b/>
                      <w:bCs/>
                      <w:sz w:val="21"/>
                      <w:szCs w:val="21"/>
                    </w:rPr>
                    <w:t>内容</w:t>
                  </w:r>
                </w:p>
              </w:tc>
              <w:tc>
                <w:tcPr>
                  <w:tcW w:w="370" w:type="pct"/>
                  <w:vMerge w:val="restart"/>
                  <w:vAlign w:val="center"/>
                </w:tcPr>
                <w:p w14:paraId="616F4B83">
                  <w:pPr>
                    <w:adjustRightInd w:val="0"/>
                    <w:snapToGrid w:val="0"/>
                    <w:jc w:val="center"/>
                    <w:rPr>
                      <w:b/>
                      <w:bCs/>
                      <w:kern w:val="0"/>
                      <w:szCs w:val="21"/>
                    </w:rPr>
                  </w:pPr>
                  <w:r>
                    <w:rPr>
                      <w:b/>
                      <w:bCs/>
                      <w:kern w:val="0"/>
                      <w:szCs w:val="21"/>
                    </w:rPr>
                    <w:t>相对场址方位</w:t>
                  </w:r>
                </w:p>
              </w:tc>
              <w:tc>
                <w:tcPr>
                  <w:tcW w:w="420" w:type="pct"/>
                  <w:vMerge w:val="restart"/>
                  <w:vAlign w:val="center"/>
                </w:tcPr>
                <w:p w14:paraId="091F2C9B">
                  <w:pPr>
                    <w:adjustRightInd w:val="0"/>
                    <w:snapToGrid w:val="0"/>
                    <w:jc w:val="center"/>
                    <w:rPr>
                      <w:b/>
                      <w:bCs/>
                      <w:kern w:val="0"/>
                      <w:szCs w:val="21"/>
                    </w:rPr>
                  </w:pPr>
                  <w:r>
                    <w:rPr>
                      <w:b/>
                      <w:bCs/>
                      <w:kern w:val="0"/>
                      <w:szCs w:val="21"/>
                    </w:rPr>
                    <w:t>相对最近场址距离/m</w:t>
                  </w:r>
                </w:p>
              </w:tc>
              <w:tc>
                <w:tcPr>
                  <w:tcW w:w="555" w:type="pct"/>
                  <w:vMerge w:val="restart"/>
                  <w:vAlign w:val="center"/>
                </w:tcPr>
                <w:p w14:paraId="289BE99D">
                  <w:pPr>
                    <w:pStyle w:val="152"/>
                    <w:adjustRightInd w:val="0"/>
                    <w:snapToGrid w:val="0"/>
                    <w:rPr>
                      <w:b/>
                      <w:bCs/>
                      <w:sz w:val="21"/>
                      <w:szCs w:val="21"/>
                    </w:rPr>
                  </w:pPr>
                  <w:r>
                    <w:rPr>
                      <w:b/>
                      <w:bCs/>
                      <w:sz w:val="21"/>
                      <w:szCs w:val="21"/>
                    </w:rPr>
                    <w:t>规模（人）</w:t>
                  </w:r>
                </w:p>
              </w:tc>
              <w:tc>
                <w:tcPr>
                  <w:tcW w:w="980" w:type="pct"/>
                  <w:vMerge w:val="restart"/>
                  <w:vAlign w:val="center"/>
                </w:tcPr>
                <w:p w14:paraId="0A678BE3">
                  <w:pPr>
                    <w:pStyle w:val="152"/>
                    <w:adjustRightInd w:val="0"/>
                    <w:snapToGrid w:val="0"/>
                    <w:rPr>
                      <w:b/>
                      <w:bCs/>
                      <w:sz w:val="21"/>
                      <w:szCs w:val="21"/>
                    </w:rPr>
                  </w:pPr>
                  <w:r>
                    <w:rPr>
                      <w:b/>
                      <w:bCs/>
                      <w:sz w:val="21"/>
                      <w:szCs w:val="21"/>
                    </w:rPr>
                    <w:t>环境</w:t>
                  </w:r>
                </w:p>
                <w:p w14:paraId="3BFB8F0E">
                  <w:pPr>
                    <w:pStyle w:val="152"/>
                    <w:adjustRightInd w:val="0"/>
                    <w:snapToGrid w:val="0"/>
                    <w:rPr>
                      <w:b/>
                      <w:bCs/>
                      <w:sz w:val="21"/>
                      <w:szCs w:val="21"/>
                    </w:rPr>
                  </w:pPr>
                  <w:r>
                    <w:rPr>
                      <w:b/>
                      <w:bCs/>
                      <w:sz w:val="21"/>
                      <w:szCs w:val="21"/>
                    </w:rPr>
                    <w:t>功能</w:t>
                  </w:r>
                </w:p>
              </w:tc>
            </w:tr>
            <w:tr w14:paraId="0A99BC4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996" w:hRule="atLeast"/>
                <w:jc w:val="center"/>
              </w:trPr>
              <w:tc>
                <w:tcPr>
                  <w:tcW w:w="131" w:type="pct"/>
                  <w:vMerge w:val="continue"/>
                  <w:vAlign w:val="center"/>
                </w:tcPr>
                <w:p w14:paraId="40F3D089">
                  <w:pPr>
                    <w:pStyle w:val="152"/>
                    <w:adjustRightInd w:val="0"/>
                    <w:snapToGrid w:val="0"/>
                    <w:rPr>
                      <w:sz w:val="21"/>
                      <w:szCs w:val="21"/>
                    </w:rPr>
                  </w:pPr>
                </w:p>
              </w:tc>
              <w:tc>
                <w:tcPr>
                  <w:tcW w:w="661" w:type="pct"/>
                  <w:vMerge w:val="continue"/>
                  <w:vAlign w:val="center"/>
                </w:tcPr>
                <w:p w14:paraId="5FBA0B82">
                  <w:pPr>
                    <w:pStyle w:val="152"/>
                    <w:adjustRightInd w:val="0"/>
                    <w:snapToGrid w:val="0"/>
                    <w:rPr>
                      <w:sz w:val="21"/>
                      <w:szCs w:val="21"/>
                    </w:rPr>
                  </w:pPr>
                </w:p>
              </w:tc>
              <w:tc>
                <w:tcPr>
                  <w:tcW w:w="840" w:type="pct"/>
                  <w:vAlign w:val="center"/>
                </w:tcPr>
                <w:p w14:paraId="05C7E9F6">
                  <w:pPr>
                    <w:adjustRightInd w:val="0"/>
                    <w:snapToGrid w:val="0"/>
                    <w:jc w:val="center"/>
                    <w:rPr>
                      <w:b/>
                      <w:bCs/>
                      <w:iCs/>
                      <w:kern w:val="0"/>
                      <w:szCs w:val="21"/>
                    </w:rPr>
                  </w:pPr>
                  <w:r>
                    <w:rPr>
                      <w:b/>
                      <w:bCs/>
                      <w:iCs/>
                      <w:kern w:val="0"/>
                      <w:szCs w:val="21"/>
                    </w:rPr>
                    <w:t>E</w:t>
                  </w:r>
                </w:p>
              </w:tc>
              <w:tc>
                <w:tcPr>
                  <w:tcW w:w="663" w:type="pct"/>
                  <w:vAlign w:val="center"/>
                </w:tcPr>
                <w:p w14:paraId="3CB9FB2C">
                  <w:pPr>
                    <w:pStyle w:val="152"/>
                    <w:adjustRightInd w:val="0"/>
                    <w:snapToGrid w:val="0"/>
                    <w:rPr>
                      <w:b/>
                      <w:bCs/>
                      <w:sz w:val="21"/>
                      <w:szCs w:val="21"/>
                    </w:rPr>
                  </w:pPr>
                  <w:r>
                    <w:rPr>
                      <w:b/>
                      <w:bCs/>
                      <w:sz w:val="21"/>
                      <w:szCs w:val="21"/>
                    </w:rPr>
                    <w:t>N</w:t>
                  </w:r>
                </w:p>
              </w:tc>
              <w:tc>
                <w:tcPr>
                  <w:tcW w:w="378" w:type="pct"/>
                  <w:vMerge w:val="continue"/>
                  <w:vAlign w:val="center"/>
                </w:tcPr>
                <w:p w14:paraId="778FD8F6">
                  <w:pPr>
                    <w:pStyle w:val="152"/>
                    <w:adjustRightInd w:val="0"/>
                    <w:snapToGrid w:val="0"/>
                    <w:rPr>
                      <w:sz w:val="21"/>
                      <w:szCs w:val="21"/>
                    </w:rPr>
                  </w:pPr>
                </w:p>
              </w:tc>
              <w:tc>
                <w:tcPr>
                  <w:tcW w:w="370" w:type="pct"/>
                  <w:vMerge w:val="continue"/>
                  <w:vAlign w:val="center"/>
                </w:tcPr>
                <w:p w14:paraId="0F0C9932">
                  <w:pPr>
                    <w:pStyle w:val="152"/>
                    <w:adjustRightInd w:val="0"/>
                    <w:snapToGrid w:val="0"/>
                    <w:rPr>
                      <w:sz w:val="21"/>
                      <w:szCs w:val="21"/>
                    </w:rPr>
                  </w:pPr>
                </w:p>
              </w:tc>
              <w:tc>
                <w:tcPr>
                  <w:tcW w:w="420" w:type="pct"/>
                  <w:vMerge w:val="continue"/>
                  <w:vAlign w:val="center"/>
                </w:tcPr>
                <w:p w14:paraId="41A9D425">
                  <w:pPr>
                    <w:pStyle w:val="152"/>
                    <w:adjustRightInd w:val="0"/>
                    <w:snapToGrid w:val="0"/>
                    <w:rPr>
                      <w:sz w:val="21"/>
                      <w:szCs w:val="21"/>
                    </w:rPr>
                  </w:pPr>
                </w:p>
              </w:tc>
              <w:tc>
                <w:tcPr>
                  <w:tcW w:w="555" w:type="pct"/>
                  <w:vMerge w:val="continue"/>
                  <w:vAlign w:val="center"/>
                </w:tcPr>
                <w:p w14:paraId="51BBAC8C">
                  <w:pPr>
                    <w:pStyle w:val="152"/>
                    <w:adjustRightInd w:val="0"/>
                    <w:snapToGrid w:val="0"/>
                    <w:rPr>
                      <w:sz w:val="21"/>
                      <w:szCs w:val="21"/>
                    </w:rPr>
                  </w:pPr>
                </w:p>
              </w:tc>
              <w:tc>
                <w:tcPr>
                  <w:tcW w:w="980" w:type="pct"/>
                  <w:vMerge w:val="continue"/>
                  <w:vAlign w:val="center"/>
                </w:tcPr>
                <w:p w14:paraId="438B2C3E">
                  <w:pPr>
                    <w:pStyle w:val="152"/>
                    <w:adjustRightInd w:val="0"/>
                    <w:snapToGrid w:val="0"/>
                    <w:rPr>
                      <w:sz w:val="21"/>
                      <w:szCs w:val="21"/>
                    </w:rPr>
                  </w:pPr>
                </w:p>
              </w:tc>
            </w:tr>
            <w:tr w14:paraId="28CFFD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restart"/>
                  <w:vAlign w:val="center"/>
                </w:tcPr>
                <w:p w14:paraId="0C668925">
                  <w:pPr>
                    <w:pStyle w:val="152"/>
                    <w:adjustRightInd w:val="0"/>
                    <w:snapToGrid w:val="0"/>
                    <w:rPr>
                      <w:sz w:val="21"/>
                      <w:szCs w:val="21"/>
                    </w:rPr>
                  </w:pPr>
                  <w:r>
                    <w:rPr>
                      <w:sz w:val="21"/>
                      <w:szCs w:val="21"/>
                    </w:rPr>
                    <w:t>大气环境</w:t>
                  </w:r>
                </w:p>
              </w:tc>
              <w:tc>
                <w:tcPr>
                  <w:tcW w:w="661" w:type="pct"/>
                  <w:vAlign w:val="center"/>
                </w:tcPr>
                <w:p w14:paraId="027CC32E">
                  <w:pPr>
                    <w:adjustRightInd w:val="0"/>
                    <w:snapToGrid w:val="0"/>
                    <w:jc w:val="center"/>
                    <w:rPr>
                      <w:rFonts w:eastAsia="宋体"/>
                      <w:color w:val="000000" w:themeColor="text1"/>
                      <w:kern w:val="0"/>
                      <w:szCs w:val="21"/>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文卫村</w:t>
                  </w:r>
                </w:p>
              </w:tc>
              <w:tc>
                <w:tcPr>
                  <w:tcW w:w="840" w:type="pct"/>
                  <w:vAlign w:val="center"/>
                </w:tcPr>
                <w:p w14:paraId="069D185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119.105241</w:t>
                  </w:r>
                </w:p>
              </w:tc>
              <w:tc>
                <w:tcPr>
                  <w:tcW w:w="663" w:type="pct"/>
                  <w:vAlign w:val="center"/>
                </w:tcPr>
                <w:p w14:paraId="558766C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34.67335</w:t>
                  </w:r>
                </w:p>
              </w:tc>
              <w:tc>
                <w:tcPr>
                  <w:tcW w:w="378" w:type="pct"/>
                  <w:vAlign w:val="center"/>
                </w:tcPr>
                <w:p w14:paraId="7E6207B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6685F2BF">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w:t>
                  </w:r>
                </w:p>
              </w:tc>
              <w:tc>
                <w:tcPr>
                  <w:tcW w:w="420" w:type="pct"/>
                  <w:vAlign w:val="center"/>
                </w:tcPr>
                <w:p w14:paraId="0299E50F">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555" w:type="pct"/>
                  <w:vAlign w:val="center"/>
                </w:tcPr>
                <w:p w14:paraId="0D74C9FC">
                  <w:pPr>
                    <w:adjustRightInd w:val="0"/>
                    <w:snapToGrid w:val="0"/>
                    <w:jc w:val="center"/>
                    <w:rPr>
                      <w:szCs w:val="21"/>
                    </w:rPr>
                  </w:pPr>
                  <w:r>
                    <w:rPr>
                      <w:szCs w:val="21"/>
                    </w:rPr>
                    <w:t>约300</w:t>
                  </w:r>
                </w:p>
              </w:tc>
              <w:tc>
                <w:tcPr>
                  <w:tcW w:w="980" w:type="pct"/>
                  <w:vMerge w:val="restart"/>
                  <w:vAlign w:val="center"/>
                </w:tcPr>
                <w:p w14:paraId="24BC5FDC">
                  <w:pPr>
                    <w:pStyle w:val="152"/>
                    <w:adjustRightInd w:val="0"/>
                    <w:snapToGrid w:val="0"/>
                    <w:rPr>
                      <w:sz w:val="21"/>
                      <w:szCs w:val="21"/>
                    </w:rPr>
                  </w:pPr>
                  <w:r>
                    <w:rPr>
                      <w:sz w:val="21"/>
                      <w:szCs w:val="21"/>
                    </w:rPr>
                    <w:t>《环境空</w:t>
                  </w:r>
                </w:p>
                <w:p w14:paraId="2DA869BD">
                  <w:pPr>
                    <w:pStyle w:val="152"/>
                    <w:adjustRightInd w:val="0"/>
                    <w:snapToGrid w:val="0"/>
                    <w:rPr>
                      <w:sz w:val="21"/>
                      <w:szCs w:val="21"/>
                    </w:rPr>
                  </w:pPr>
                  <w:r>
                    <w:rPr>
                      <w:sz w:val="21"/>
                      <w:szCs w:val="21"/>
                    </w:rPr>
                    <w:t>气质量标准》（GB3095</w:t>
                  </w:r>
                </w:p>
                <w:p w14:paraId="4A6206D6">
                  <w:pPr>
                    <w:pStyle w:val="152"/>
                    <w:adjustRightInd w:val="0"/>
                    <w:snapToGrid w:val="0"/>
                    <w:rPr>
                      <w:sz w:val="21"/>
                      <w:szCs w:val="21"/>
                    </w:rPr>
                  </w:pPr>
                  <w:r>
                    <w:rPr>
                      <w:sz w:val="21"/>
                      <w:szCs w:val="21"/>
                    </w:rPr>
                    <w:t>-2012）二级标准</w:t>
                  </w:r>
                </w:p>
              </w:tc>
            </w:tr>
            <w:tr w14:paraId="72737D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continue"/>
                  <w:vAlign w:val="center"/>
                </w:tcPr>
                <w:p w14:paraId="2E39406B">
                  <w:pPr>
                    <w:pStyle w:val="152"/>
                    <w:adjustRightInd w:val="0"/>
                    <w:snapToGrid w:val="0"/>
                    <w:rPr>
                      <w:sz w:val="21"/>
                      <w:szCs w:val="21"/>
                    </w:rPr>
                  </w:pPr>
                </w:p>
              </w:tc>
              <w:tc>
                <w:tcPr>
                  <w:tcW w:w="661" w:type="pct"/>
                  <w:vAlign w:val="center"/>
                </w:tcPr>
                <w:p w14:paraId="687A809A">
                  <w:pPr>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青农一路北侧</w:t>
                  </w:r>
                  <w:r>
                    <w:rPr>
                      <w:rFonts w:eastAsia="宋体"/>
                      <w:color w:val="000000" w:themeColor="text1"/>
                      <w:kern w:val="0"/>
                      <w:szCs w:val="21"/>
                      <w14:textFill>
                        <w14:solidFill>
                          <w14:schemeClr w14:val="tx1"/>
                        </w14:solidFill>
                      </w14:textFill>
                    </w:rPr>
                    <w:t>村</w:t>
                  </w:r>
                  <w:r>
                    <w:rPr>
                      <w:rFonts w:hint="eastAsia" w:eastAsia="宋体"/>
                      <w:color w:val="000000" w:themeColor="text1"/>
                      <w:kern w:val="0"/>
                      <w:szCs w:val="21"/>
                      <w:lang w:val="en-US" w:eastAsia="zh-CN"/>
                      <w14:textFill>
                        <w14:solidFill>
                          <w14:schemeClr w14:val="tx1"/>
                        </w14:solidFill>
                      </w14:textFill>
                    </w:rPr>
                    <w:t>庄</w:t>
                  </w:r>
                </w:p>
              </w:tc>
              <w:tc>
                <w:tcPr>
                  <w:tcW w:w="840" w:type="pct"/>
                  <w:vAlign w:val="center"/>
                </w:tcPr>
                <w:p w14:paraId="203D726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119.04886</w:t>
                  </w:r>
                </w:p>
              </w:tc>
              <w:tc>
                <w:tcPr>
                  <w:tcW w:w="663" w:type="pct"/>
                  <w:vAlign w:val="center"/>
                </w:tcPr>
                <w:p w14:paraId="364E422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34.66756</w:t>
                  </w:r>
                </w:p>
              </w:tc>
              <w:tc>
                <w:tcPr>
                  <w:tcW w:w="378" w:type="pct"/>
                  <w:vAlign w:val="center"/>
                </w:tcPr>
                <w:p w14:paraId="069BD65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768FDFFD">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w:t>
                  </w:r>
                </w:p>
              </w:tc>
              <w:tc>
                <w:tcPr>
                  <w:tcW w:w="420" w:type="pct"/>
                  <w:vAlign w:val="center"/>
                </w:tcPr>
                <w:p w14:paraId="5245043E">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555" w:type="pct"/>
                  <w:vAlign w:val="center"/>
                </w:tcPr>
                <w:p w14:paraId="7A543A81">
                  <w:pPr>
                    <w:adjustRightInd w:val="0"/>
                    <w:snapToGrid w:val="0"/>
                    <w:jc w:val="center"/>
                    <w:rPr>
                      <w:szCs w:val="21"/>
                    </w:rPr>
                  </w:pPr>
                  <w:r>
                    <w:rPr>
                      <w:szCs w:val="21"/>
                    </w:rPr>
                    <w:t>约150</w:t>
                  </w:r>
                </w:p>
              </w:tc>
              <w:tc>
                <w:tcPr>
                  <w:tcW w:w="980" w:type="pct"/>
                  <w:vMerge w:val="continue"/>
                  <w:vAlign w:val="center"/>
                </w:tcPr>
                <w:p w14:paraId="1AC96DD0">
                  <w:pPr>
                    <w:pStyle w:val="152"/>
                    <w:adjustRightInd w:val="0"/>
                    <w:snapToGrid w:val="0"/>
                    <w:rPr>
                      <w:sz w:val="21"/>
                      <w:szCs w:val="21"/>
                    </w:rPr>
                  </w:pPr>
                </w:p>
              </w:tc>
            </w:tr>
            <w:tr w14:paraId="50DEC37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continue"/>
                  <w:vAlign w:val="center"/>
                </w:tcPr>
                <w:p w14:paraId="73002AB8">
                  <w:pPr>
                    <w:pStyle w:val="152"/>
                    <w:adjustRightInd w:val="0"/>
                    <w:snapToGrid w:val="0"/>
                    <w:rPr>
                      <w:sz w:val="21"/>
                      <w:szCs w:val="21"/>
                    </w:rPr>
                  </w:pPr>
                </w:p>
              </w:tc>
              <w:tc>
                <w:tcPr>
                  <w:tcW w:w="661" w:type="pct"/>
                  <w:vAlign w:val="center"/>
                </w:tcPr>
                <w:p w14:paraId="1A6D62FB">
                  <w:pPr>
                    <w:adjustRightInd w:val="0"/>
                    <w:snapToGrid w:val="0"/>
                    <w:jc w:val="center"/>
                    <w:rPr>
                      <w:rFonts w:eastAsia="宋体"/>
                      <w:color w:val="000000" w:themeColor="text1"/>
                      <w:kern w:val="0"/>
                      <w:szCs w:val="21"/>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青农一路南侧</w:t>
                  </w:r>
                  <w:r>
                    <w:rPr>
                      <w:rFonts w:eastAsia="宋体"/>
                      <w:color w:val="000000" w:themeColor="text1"/>
                      <w:kern w:val="0"/>
                      <w:szCs w:val="21"/>
                      <w14:textFill>
                        <w14:solidFill>
                          <w14:schemeClr w14:val="tx1"/>
                        </w14:solidFill>
                      </w14:textFill>
                    </w:rPr>
                    <w:t>村</w:t>
                  </w:r>
                  <w:r>
                    <w:rPr>
                      <w:rFonts w:hint="eastAsia" w:eastAsia="宋体"/>
                      <w:color w:val="000000" w:themeColor="text1"/>
                      <w:kern w:val="0"/>
                      <w:szCs w:val="21"/>
                      <w:lang w:val="en-US" w:eastAsia="zh-CN"/>
                      <w14:textFill>
                        <w14:solidFill>
                          <w14:schemeClr w14:val="tx1"/>
                        </w14:solidFill>
                      </w14:textFill>
                    </w:rPr>
                    <w:t>庄</w:t>
                  </w:r>
                </w:p>
              </w:tc>
              <w:tc>
                <w:tcPr>
                  <w:tcW w:w="840" w:type="pct"/>
                  <w:vAlign w:val="center"/>
                </w:tcPr>
                <w:p w14:paraId="5A12F59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119.03748</w:t>
                  </w:r>
                </w:p>
              </w:tc>
              <w:tc>
                <w:tcPr>
                  <w:tcW w:w="663" w:type="pct"/>
                  <w:vAlign w:val="center"/>
                </w:tcPr>
                <w:p w14:paraId="1BB34FD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34.65597</w:t>
                  </w:r>
                </w:p>
              </w:tc>
              <w:tc>
                <w:tcPr>
                  <w:tcW w:w="378" w:type="pct"/>
                  <w:vAlign w:val="center"/>
                </w:tcPr>
                <w:p w14:paraId="182F7DB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03B0BFB8">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w:t>
                  </w:r>
                </w:p>
              </w:tc>
              <w:tc>
                <w:tcPr>
                  <w:tcW w:w="420" w:type="pct"/>
                  <w:vAlign w:val="center"/>
                </w:tcPr>
                <w:p w14:paraId="22633CE6">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555" w:type="pct"/>
                  <w:vAlign w:val="center"/>
                </w:tcPr>
                <w:p w14:paraId="18DB9ED1">
                  <w:pPr>
                    <w:adjustRightInd w:val="0"/>
                    <w:snapToGrid w:val="0"/>
                    <w:jc w:val="center"/>
                    <w:rPr>
                      <w:szCs w:val="21"/>
                    </w:rPr>
                  </w:pPr>
                  <w:r>
                    <w:rPr>
                      <w:szCs w:val="21"/>
                    </w:rPr>
                    <w:t>约150</w:t>
                  </w:r>
                </w:p>
              </w:tc>
              <w:tc>
                <w:tcPr>
                  <w:tcW w:w="980" w:type="pct"/>
                  <w:vMerge w:val="continue"/>
                  <w:vAlign w:val="center"/>
                </w:tcPr>
                <w:p w14:paraId="617064AF">
                  <w:pPr>
                    <w:pStyle w:val="152"/>
                    <w:adjustRightInd w:val="0"/>
                    <w:snapToGrid w:val="0"/>
                    <w:rPr>
                      <w:sz w:val="21"/>
                      <w:szCs w:val="21"/>
                    </w:rPr>
                  </w:pPr>
                </w:p>
              </w:tc>
            </w:tr>
            <w:tr w14:paraId="6662FBA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continue"/>
                  <w:vAlign w:val="center"/>
                </w:tcPr>
                <w:p w14:paraId="2105A9F1">
                  <w:pPr>
                    <w:pStyle w:val="152"/>
                    <w:adjustRightInd w:val="0"/>
                    <w:snapToGrid w:val="0"/>
                    <w:rPr>
                      <w:sz w:val="21"/>
                      <w:szCs w:val="21"/>
                    </w:rPr>
                  </w:pPr>
                </w:p>
              </w:tc>
              <w:tc>
                <w:tcPr>
                  <w:tcW w:w="661" w:type="pct"/>
                  <w:vAlign w:val="center"/>
                </w:tcPr>
                <w:p w14:paraId="725DB57E">
                  <w:pPr>
                    <w:adjustRightInd w:val="0"/>
                    <w:snapToGrid w:val="0"/>
                    <w:jc w:val="center"/>
                    <w:rPr>
                      <w:rFonts w:eastAsia="宋体"/>
                      <w:color w:val="000000" w:themeColor="text1"/>
                      <w:kern w:val="0"/>
                      <w:szCs w:val="21"/>
                      <w14:textFill>
                        <w14:solidFill>
                          <w14:schemeClr w14:val="tx1"/>
                        </w14:solidFill>
                      </w14:textFill>
                    </w:rPr>
                  </w:pPr>
                  <w:r>
                    <w:rPr>
                      <w:rFonts w:hint="eastAsia" w:eastAsia="宋体"/>
                      <w:color w:val="000000" w:themeColor="text1"/>
                      <w:kern w:val="0"/>
                      <w:szCs w:val="21"/>
                      <w14:textFill>
                        <w14:solidFill>
                          <w14:schemeClr w14:val="tx1"/>
                        </w14:solidFill>
                      </w14:textFill>
                    </w:rPr>
                    <w:t>十五圩</w:t>
                  </w:r>
                </w:p>
              </w:tc>
              <w:tc>
                <w:tcPr>
                  <w:tcW w:w="840" w:type="pct"/>
                  <w:vAlign w:val="center"/>
                </w:tcPr>
                <w:p w14:paraId="1D87036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119.05164</w:t>
                  </w:r>
                </w:p>
              </w:tc>
              <w:tc>
                <w:tcPr>
                  <w:tcW w:w="663" w:type="pct"/>
                  <w:vAlign w:val="center"/>
                </w:tcPr>
                <w:p w14:paraId="74F5DCD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34.64528</w:t>
                  </w:r>
                </w:p>
              </w:tc>
              <w:tc>
                <w:tcPr>
                  <w:tcW w:w="378" w:type="pct"/>
                  <w:vAlign w:val="center"/>
                </w:tcPr>
                <w:p w14:paraId="29A90D8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5008BB65">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E</w:t>
                  </w:r>
                </w:p>
              </w:tc>
              <w:tc>
                <w:tcPr>
                  <w:tcW w:w="420" w:type="pct"/>
                  <w:vAlign w:val="center"/>
                </w:tcPr>
                <w:p w14:paraId="3A8663FC">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467</w:t>
                  </w:r>
                </w:p>
              </w:tc>
              <w:tc>
                <w:tcPr>
                  <w:tcW w:w="555" w:type="pct"/>
                  <w:vAlign w:val="center"/>
                </w:tcPr>
                <w:p w14:paraId="5F76E7EB">
                  <w:pPr>
                    <w:adjustRightInd w:val="0"/>
                    <w:snapToGrid w:val="0"/>
                    <w:jc w:val="center"/>
                    <w:rPr>
                      <w:szCs w:val="21"/>
                    </w:rPr>
                  </w:pPr>
                  <w:r>
                    <w:rPr>
                      <w:szCs w:val="21"/>
                    </w:rPr>
                    <w:t>约1</w:t>
                  </w:r>
                  <w:r>
                    <w:rPr>
                      <w:rFonts w:hint="eastAsia"/>
                      <w:szCs w:val="21"/>
                      <w:lang w:val="en-US" w:eastAsia="zh-CN"/>
                    </w:rPr>
                    <w:t>0</w:t>
                  </w:r>
                  <w:r>
                    <w:rPr>
                      <w:szCs w:val="21"/>
                    </w:rPr>
                    <w:t>0</w:t>
                  </w:r>
                </w:p>
              </w:tc>
              <w:tc>
                <w:tcPr>
                  <w:tcW w:w="980" w:type="pct"/>
                  <w:vMerge w:val="continue"/>
                  <w:vAlign w:val="center"/>
                </w:tcPr>
                <w:p w14:paraId="79B6DD56">
                  <w:pPr>
                    <w:pStyle w:val="152"/>
                    <w:adjustRightInd w:val="0"/>
                    <w:snapToGrid w:val="0"/>
                    <w:rPr>
                      <w:sz w:val="21"/>
                      <w:szCs w:val="21"/>
                    </w:rPr>
                  </w:pPr>
                </w:p>
              </w:tc>
            </w:tr>
            <w:tr w14:paraId="482584E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continue"/>
                  <w:vAlign w:val="center"/>
                </w:tcPr>
                <w:p w14:paraId="3C8D4AE3">
                  <w:pPr>
                    <w:pStyle w:val="152"/>
                    <w:adjustRightInd w:val="0"/>
                    <w:snapToGrid w:val="0"/>
                    <w:rPr>
                      <w:sz w:val="21"/>
                      <w:szCs w:val="21"/>
                    </w:rPr>
                  </w:pPr>
                </w:p>
              </w:tc>
              <w:tc>
                <w:tcPr>
                  <w:tcW w:w="661" w:type="pct"/>
                  <w:vAlign w:val="center"/>
                </w:tcPr>
                <w:p w14:paraId="06CA6A4B">
                  <w:pPr>
                    <w:adjustRightInd w:val="0"/>
                    <w:snapToGrid w:val="0"/>
                    <w:jc w:val="center"/>
                    <w:rPr>
                      <w:rFonts w:eastAsia="宋体"/>
                      <w:color w:val="000000" w:themeColor="text1"/>
                      <w:kern w:val="0"/>
                      <w:szCs w:val="21"/>
                      <w14:textFill>
                        <w14:solidFill>
                          <w14:schemeClr w14:val="tx1"/>
                        </w14:solidFill>
                      </w14:textFill>
                    </w:rPr>
                  </w:pPr>
                  <w:r>
                    <w:rPr>
                      <w:rFonts w:hint="eastAsia" w:eastAsia="宋体"/>
                      <w:color w:val="000000" w:themeColor="text1"/>
                      <w:kern w:val="0"/>
                      <w:szCs w:val="21"/>
                      <w14:textFill>
                        <w14:solidFill>
                          <w14:schemeClr w14:val="tx1"/>
                        </w14:solidFill>
                      </w14:textFill>
                    </w:rPr>
                    <w:t>十六圩</w:t>
                  </w:r>
                </w:p>
              </w:tc>
              <w:tc>
                <w:tcPr>
                  <w:tcW w:w="840" w:type="pct"/>
                  <w:vAlign w:val="center"/>
                </w:tcPr>
                <w:p w14:paraId="20306E1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119.05993</w:t>
                  </w:r>
                </w:p>
              </w:tc>
              <w:tc>
                <w:tcPr>
                  <w:tcW w:w="663" w:type="pct"/>
                  <w:vAlign w:val="center"/>
                </w:tcPr>
                <w:p w14:paraId="25FE704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34.64833</w:t>
                  </w:r>
                </w:p>
              </w:tc>
              <w:tc>
                <w:tcPr>
                  <w:tcW w:w="378" w:type="pct"/>
                  <w:vAlign w:val="center"/>
                </w:tcPr>
                <w:p w14:paraId="0B32682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7B3A80E0">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E</w:t>
                  </w:r>
                </w:p>
              </w:tc>
              <w:tc>
                <w:tcPr>
                  <w:tcW w:w="420" w:type="pct"/>
                  <w:vAlign w:val="center"/>
                </w:tcPr>
                <w:p w14:paraId="14BAFBA2">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52</w:t>
                  </w:r>
                </w:p>
              </w:tc>
              <w:tc>
                <w:tcPr>
                  <w:tcW w:w="555" w:type="pct"/>
                  <w:vAlign w:val="center"/>
                </w:tcPr>
                <w:p w14:paraId="6F50D0B4">
                  <w:pPr>
                    <w:adjustRightInd w:val="0"/>
                    <w:snapToGrid w:val="0"/>
                    <w:jc w:val="center"/>
                    <w:rPr>
                      <w:szCs w:val="21"/>
                    </w:rPr>
                  </w:pPr>
                  <w:r>
                    <w:rPr>
                      <w:szCs w:val="21"/>
                    </w:rPr>
                    <w:t>约</w:t>
                  </w:r>
                  <w:r>
                    <w:rPr>
                      <w:rFonts w:hint="eastAsia"/>
                      <w:szCs w:val="21"/>
                      <w:lang w:val="en-US" w:eastAsia="zh-CN"/>
                    </w:rPr>
                    <w:t>15</w:t>
                  </w:r>
                  <w:r>
                    <w:rPr>
                      <w:szCs w:val="21"/>
                    </w:rPr>
                    <w:t>0</w:t>
                  </w:r>
                </w:p>
              </w:tc>
              <w:tc>
                <w:tcPr>
                  <w:tcW w:w="980" w:type="pct"/>
                  <w:vMerge w:val="continue"/>
                  <w:vAlign w:val="center"/>
                </w:tcPr>
                <w:p w14:paraId="38185EC3">
                  <w:pPr>
                    <w:pStyle w:val="152"/>
                    <w:adjustRightInd w:val="0"/>
                    <w:snapToGrid w:val="0"/>
                    <w:rPr>
                      <w:sz w:val="21"/>
                      <w:szCs w:val="21"/>
                    </w:rPr>
                  </w:pPr>
                </w:p>
              </w:tc>
            </w:tr>
            <w:tr w14:paraId="76F036D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51" w:hRule="atLeast"/>
                <w:jc w:val="center"/>
              </w:trPr>
              <w:tc>
                <w:tcPr>
                  <w:tcW w:w="131" w:type="pct"/>
                  <w:vMerge w:val="continue"/>
                  <w:vAlign w:val="center"/>
                </w:tcPr>
                <w:p w14:paraId="08473EF0">
                  <w:pPr>
                    <w:pStyle w:val="152"/>
                    <w:adjustRightInd w:val="0"/>
                    <w:snapToGrid w:val="0"/>
                    <w:rPr>
                      <w:sz w:val="21"/>
                      <w:szCs w:val="21"/>
                    </w:rPr>
                  </w:pPr>
                </w:p>
              </w:tc>
              <w:tc>
                <w:tcPr>
                  <w:tcW w:w="661" w:type="pct"/>
                  <w:vAlign w:val="center"/>
                </w:tcPr>
                <w:p w14:paraId="5185E57B">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十七圩</w:t>
                  </w:r>
                </w:p>
              </w:tc>
              <w:tc>
                <w:tcPr>
                  <w:tcW w:w="840" w:type="pct"/>
                  <w:vAlign w:val="center"/>
                </w:tcPr>
                <w:p w14:paraId="0182941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119.05250</w:t>
                  </w:r>
                </w:p>
              </w:tc>
              <w:tc>
                <w:tcPr>
                  <w:tcW w:w="663" w:type="pct"/>
                  <w:vAlign w:val="center"/>
                </w:tcPr>
                <w:p w14:paraId="3ED3B7C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34.65910</w:t>
                  </w:r>
                </w:p>
              </w:tc>
              <w:tc>
                <w:tcPr>
                  <w:tcW w:w="378" w:type="pct"/>
                  <w:vAlign w:val="center"/>
                </w:tcPr>
                <w:p w14:paraId="22FB79D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27F1003D">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E</w:t>
                  </w:r>
                </w:p>
              </w:tc>
              <w:tc>
                <w:tcPr>
                  <w:tcW w:w="420" w:type="pct"/>
                  <w:vAlign w:val="center"/>
                </w:tcPr>
                <w:p w14:paraId="46C10625">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555" w:type="pct"/>
                  <w:vAlign w:val="center"/>
                </w:tcPr>
                <w:p w14:paraId="4748F555">
                  <w:pPr>
                    <w:adjustRightInd w:val="0"/>
                    <w:snapToGrid w:val="0"/>
                    <w:jc w:val="center"/>
                    <w:rPr>
                      <w:szCs w:val="21"/>
                    </w:rPr>
                  </w:pPr>
                  <w:r>
                    <w:rPr>
                      <w:szCs w:val="21"/>
                    </w:rPr>
                    <w:t>约50</w:t>
                  </w:r>
                </w:p>
              </w:tc>
              <w:tc>
                <w:tcPr>
                  <w:tcW w:w="980" w:type="pct"/>
                  <w:vMerge w:val="continue"/>
                  <w:vAlign w:val="center"/>
                </w:tcPr>
                <w:p w14:paraId="2F5E80E1">
                  <w:pPr>
                    <w:pStyle w:val="152"/>
                    <w:adjustRightInd w:val="0"/>
                    <w:snapToGrid w:val="0"/>
                    <w:rPr>
                      <w:sz w:val="21"/>
                      <w:szCs w:val="21"/>
                    </w:rPr>
                  </w:pPr>
                </w:p>
              </w:tc>
            </w:tr>
            <w:tr w14:paraId="283C7E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restart"/>
                  <w:vAlign w:val="center"/>
                </w:tcPr>
                <w:p w14:paraId="47CABB28">
                  <w:pPr>
                    <w:pStyle w:val="152"/>
                    <w:adjustRightInd w:val="0"/>
                    <w:snapToGrid w:val="0"/>
                    <w:rPr>
                      <w:sz w:val="21"/>
                      <w:szCs w:val="21"/>
                    </w:rPr>
                  </w:pPr>
                  <w:r>
                    <w:rPr>
                      <w:sz w:val="21"/>
                      <w:szCs w:val="21"/>
                    </w:rPr>
                    <w:t>声环境</w:t>
                  </w:r>
                </w:p>
              </w:tc>
              <w:tc>
                <w:tcPr>
                  <w:tcW w:w="661" w:type="pct"/>
                  <w:vAlign w:val="center"/>
                </w:tcPr>
                <w:p w14:paraId="7FC8CA56">
                  <w:pPr>
                    <w:adjustRightInd w:val="0"/>
                    <w:snapToGrid w:val="0"/>
                    <w:jc w:val="center"/>
                    <w:rPr>
                      <w:color w:val="000000" w:themeColor="text1"/>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文卫村</w:t>
                  </w:r>
                </w:p>
              </w:tc>
              <w:tc>
                <w:tcPr>
                  <w:tcW w:w="840" w:type="pct"/>
                  <w:vAlign w:val="center"/>
                </w:tcPr>
                <w:p w14:paraId="5EB556A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119.105241</w:t>
                  </w:r>
                </w:p>
              </w:tc>
              <w:tc>
                <w:tcPr>
                  <w:tcW w:w="663" w:type="pct"/>
                  <w:vAlign w:val="center"/>
                </w:tcPr>
                <w:p w14:paraId="6FF322C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34.67335</w:t>
                  </w:r>
                </w:p>
              </w:tc>
              <w:tc>
                <w:tcPr>
                  <w:tcW w:w="378" w:type="pct"/>
                  <w:vAlign w:val="center"/>
                </w:tcPr>
                <w:p w14:paraId="0A3515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3D626BE0">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w:t>
                  </w:r>
                </w:p>
              </w:tc>
              <w:tc>
                <w:tcPr>
                  <w:tcW w:w="420" w:type="pct"/>
                  <w:vAlign w:val="center"/>
                </w:tcPr>
                <w:p w14:paraId="0E8D7D12">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555" w:type="pct"/>
                  <w:vAlign w:val="center"/>
                </w:tcPr>
                <w:p w14:paraId="11AB75BC">
                  <w:pPr>
                    <w:adjustRightInd w:val="0"/>
                    <w:snapToGrid w:val="0"/>
                    <w:jc w:val="center"/>
                    <w:rPr>
                      <w:szCs w:val="21"/>
                    </w:rPr>
                  </w:pPr>
                  <w:r>
                    <w:rPr>
                      <w:szCs w:val="21"/>
                    </w:rPr>
                    <w:t>约300</w:t>
                  </w:r>
                </w:p>
              </w:tc>
              <w:tc>
                <w:tcPr>
                  <w:tcW w:w="980" w:type="pct"/>
                  <w:vMerge w:val="restart"/>
                  <w:vAlign w:val="center"/>
                </w:tcPr>
                <w:p w14:paraId="7C2AFBCF">
                  <w:pPr>
                    <w:pStyle w:val="152"/>
                    <w:adjustRightInd w:val="0"/>
                    <w:snapToGrid w:val="0"/>
                    <w:rPr>
                      <w:sz w:val="21"/>
                      <w:szCs w:val="21"/>
                    </w:rPr>
                  </w:pPr>
                  <w:r>
                    <w:rPr>
                      <w:sz w:val="21"/>
                      <w:szCs w:val="21"/>
                    </w:rPr>
                    <w:t>《声环境质量标准》（GB3096-</w:t>
                  </w:r>
                </w:p>
                <w:p w14:paraId="17E32EE3">
                  <w:pPr>
                    <w:pStyle w:val="152"/>
                    <w:adjustRightInd w:val="0"/>
                    <w:snapToGrid w:val="0"/>
                    <w:rPr>
                      <w:sz w:val="21"/>
                      <w:szCs w:val="21"/>
                    </w:rPr>
                  </w:pPr>
                  <w:r>
                    <w:rPr>
                      <w:sz w:val="21"/>
                      <w:szCs w:val="21"/>
                    </w:rPr>
                    <w:t>2008）</w:t>
                  </w:r>
                </w:p>
                <w:p w14:paraId="5370159B">
                  <w:pPr>
                    <w:pStyle w:val="152"/>
                    <w:adjustRightInd w:val="0"/>
                    <w:snapToGrid w:val="0"/>
                    <w:rPr>
                      <w:sz w:val="21"/>
                      <w:szCs w:val="21"/>
                    </w:rPr>
                  </w:pPr>
                  <w:r>
                    <w:rPr>
                      <w:sz w:val="21"/>
                      <w:szCs w:val="21"/>
                    </w:rPr>
                    <w:t>1类标准</w:t>
                  </w:r>
                </w:p>
              </w:tc>
            </w:tr>
            <w:tr w14:paraId="569565B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continue"/>
                  <w:vAlign w:val="center"/>
                </w:tcPr>
                <w:p w14:paraId="220D94C1">
                  <w:pPr>
                    <w:pStyle w:val="152"/>
                    <w:adjustRightInd w:val="0"/>
                    <w:snapToGrid w:val="0"/>
                    <w:rPr>
                      <w:sz w:val="21"/>
                      <w:szCs w:val="21"/>
                    </w:rPr>
                  </w:pPr>
                </w:p>
              </w:tc>
              <w:tc>
                <w:tcPr>
                  <w:tcW w:w="661" w:type="pct"/>
                  <w:vAlign w:val="center"/>
                </w:tcPr>
                <w:p w14:paraId="637F3D2A">
                  <w:pPr>
                    <w:adjustRightInd w:val="0"/>
                    <w:snapToGrid w:val="0"/>
                    <w:jc w:val="center"/>
                    <w:rPr>
                      <w:color w:val="000000" w:themeColor="text1"/>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青农一路北侧</w:t>
                  </w:r>
                  <w:r>
                    <w:rPr>
                      <w:rFonts w:eastAsia="宋体"/>
                      <w:color w:val="000000" w:themeColor="text1"/>
                      <w:kern w:val="0"/>
                      <w:szCs w:val="21"/>
                      <w14:textFill>
                        <w14:solidFill>
                          <w14:schemeClr w14:val="tx1"/>
                        </w14:solidFill>
                      </w14:textFill>
                    </w:rPr>
                    <w:t>村</w:t>
                  </w:r>
                  <w:r>
                    <w:rPr>
                      <w:rFonts w:hint="eastAsia" w:eastAsia="宋体"/>
                      <w:color w:val="000000" w:themeColor="text1"/>
                      <w:kern w:val="0"/>
                      <w:szCs w:val="21"/>
                      <w:lang w:val="en-US" w:eastAsia="zh-CN"/>
                      <w14:textFill>
                        <w14:solidFill>
                          <w14:schemeClr w14:val="tx1"/>
                        </w14:solidFill>
                      </w14:textFill>
                    </w:rPr>
                    <w:t>庄</w:t>
                  </w:r>
                </w:p>
              </w:tc>
              <w:tc>
                <w:tcPr>
                  <w:tcW w:w="840" w:type="pct"/>
                  <w:vAlign w:val="center"/>
                </w:tcPr>
                <w:p w14:paraId="1C9C073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119.04886</w:t>
                  </w:r>
                </w:p>
              </w:tc>
              <w:tc>
                <w:tcPr>
                  <w:tcW w:w="663" w:type="pct"/>
                  <w:vAlign w:val="center"/>
                </w:tcPr>
                <w:p w14:paraId="1A3A281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34.66756</w:t>
                  </w:r>
                </w:p>
              </w:tc>
              <w:tc>
                <w:tcPr>
                  <w:tcW w:w="378" w:type="pct"/>
                  <w:vAlign w:val="center"/>
                </w:tcPr>
                <w:p w14:paraId="08F7EB3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6075E3CF">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w:t>
                  </w:r>
                </w:p>
              </w:tc>
              <w:tc>
                <w:tcPr>
                  <w:tcW w:w="420" w:type="pct"/>
                  <w:vAlign w:val="center"/>
                </w:tcPr>
                <w:p w14:paraId="4002D753">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555" w:type="pct"/>
                  <w:vAlign w:val="center"/>
                </w:tcPr>
                <w:p w14:paraId="66844CF3">
                  <w:pPr>
                    <w:adjustRightInd w:val="0"/>
                    <w:snapToGrid w:val="0"/>
                    <w:jc w:val="center"/>
                    <w:rPr>
                      <w:szCs w:val="21"/>
                    </w:rPr>
                  </w:pPr>
                  <w:r>
                    <w:rPr>
                      <w:szCs w:val="21"/>
                    </w:rPr>
                    <w:t>约150</w:t>
                  </w:r>
                </w:p>
              </w:tc>
              <w:tc>
                <w:tcPr>
                  <w:tcW w:w="980" w:type="pct"/>
                  <w:vMerge w:val="continue"/>
                  <w:vAlign w:val="center"/>
                </w:tcPr>
                <w:p w14:paraId="68BF2E50">
                  <w:pPr>
                    <w:pStyle w:val="152"/>
                    <w:adjustRightInd w:val="0"/>
                    <w:snapToGrid w:val="0"/>
                    <w:rPr>
                      <w:sz w:val="21"/>
                      <w:szCs w:val="21"/>
                    </w:rPr>
                  </w:pPr>
                </w:p>
              </w:tc>
            </w:tr>
            <w:tr w14:paraId="46DECCB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131" w:type="pct"/>
                  <w:vMerge w:val="continue"/>
                  <w:vAlign w:val="center"/>
                </w:tcPr>
                <w:p w14:paraId="4592DCC4">
                  <w:pPr>
                    <w:pStyle w:val="152"/>
                    <w:adjustRightInd w:val="0"/>
                    <w:snapToGrid w:val="0"/>
                    <w:rPr>
                      <w:sz w:val="21"/>
                      <w:szCs w:val="21"/>
                    </w:rPr>
                  </w:pPr>
                </w:p>
              </w:tc>
              <w:tc>
                <w:tcPr>
                  <w:tcW w:w="661" w:type="pct"/>
                  <w:vAlign w:val="center"/>
                </w:tcPr>
                <w:p w14:paraId="61D8020C">
                  <w:pPr>
                    <w:adjustRightInd w:val="0"/>
                    <w:snapToGrid w:val="0"/>
                    <w:jc w:val="center"/>
                    <w:rPr>
                      <w:color w:val="000000" w:themeColor="text1"/>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青农一路南侧</w:t>
                  </w:r>
                  <w:r>
                    <w:rPr>
                      <w:rFonts w:eastAsia="宋体"/>
                      <w:color w:val="000000" w:themeColor="text1"/>
                      <w:kern w:val="0"/>
                      <w:szCs w:val="21"/>
                      <w14:textFill>
                        <w14:solidFill>
                          <w14:schemeClr w14:val="tx1"/>
                        </w14:solidFill>
                      </w14:textFill>
                    </w:rPr>
                    <w:t>村</w:t>
                  </w:r>
                  <w:r>
                    <w:rPr>
                      <w:rFonts w:hint="eastAsia" w:eastAsia="宋体"/>
                      <w:color w:val="000000" w:themeColor="text1"/>
                      <w:kern w:val="0"/>
                      <w:szCs w:val="21"/>
                      <w:lang w:val="en-US" w:eastAsia="zh-CN"/>
                      <w14:textFill>
                        <w14:solidFill>
                          <w14:schemeClr w14:val="tx1"/>
                        </w14:solidFill>
                      </w14:textFill>
                    </w:rPr>
                    <w:t>庄</w:t>
                  </w:r>
                </w:p>
              </w:tc>
              <w:tc>
                <w:tcPr>
                  <w:tcW w:w="840" w:type="pct"/>
                  <w:vAlign w:val="center"/>
                </w:tcPr>
                <w:p w14:paraId="56CBB93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119.03748</w:t>
                  </w:r>
                </w:p>
              </w:tc>
              <w:tc>
                <w:tcPr>
                  <w:tcW w:w="663" w:type="pct"/>
                  <w:vAlign w:val="center"/>
                </w:tcPr>
                <w:p w14:paraId="202FC83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34.65597</w:t>
                  </w:r>
                </w:p>
              </w:tc>
              <w:tc>
                <w:tcPr>
                  <w:tcW w:w="378" w:type="pct"/>
                  <w:vAlign w:val="center"/>
                </w:tcPr>
                <w:p w14:paraId="686F117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370" w:type="pct"/>
                  <w:vAlign w:val="center"/>
                </w:tcPr>
                <w:p w14:paraId="75AD437D">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w:t>
                  </w:r>
                </w:p>
              </w:tc>
              <w:tc>
                <w:tcPr>
                  <w:tcW w:w="420" w:type="pct"/>
                  <w:vAlign w:val="center"/>
                </w:tcPr>
                <w:p w14:paraId="475D96F6">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555" w:type="pct"/>
                  <w:vAlign w:val="center"/>
                </w:tcPr>
                <w:p w14:paraId="73904B26">
                  <w:pPr>
                    <w:adjustRightInd w:val="0"/>
                    <w:snapToGrid w:val="0"/>
                    <w:jc w:val="center"/>
                    <w:rPr>
                      <w:szCs w:val="21"/>
                    </w:rPr>
                  </w:pPr>
                  <w:r>
                    <w:rPr>
                      <w:szCs w:val="21"/>
                    </w:rPr>
                    <w:t>约150</w:t>
                  </w:r>
                </w:p>
              </w:tc>
              <w:tc>
                <w:tcPr>
                  <w:tcW w:w="980" w:type="pct"/>
                  <w:vMerge w:val="continue"/>
                  <w:vAlign w:val="center"/>
                </w:tcPr>
                <w:p w14:paraId="39361E38">
                  <w:pPr>
                    <w:pStyle w:val="152"/>
                    <w:adjustRightInd w:val="0"/>
                    <w:snapToGrid w:val="0"/>
                    <w:rPr>
                      <w:sz w:val="21"/>
                      <w:szCs w:val="21"/>
                    </w:rPr>
                  </w:pPr>
                </w:p>
              </w:tc>
            </w:tr>
            <w:tr w14:paraId="2992B6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96" w:hRule="atLeast"/>
                <w:jc w:val="center"/>
              </w:trPr>
              <w:tc>
                <w:tcPr>
                  <w:tcW w:w="131" w:type="pct"/>
                  <w:vMerge w:val="restart"/>
                  <w:vAlign w:val="center"/>
                </w:tcPr>
                <w:p w14:paraId="3976D449">
                  <w:pPr>
                    <w:pStyle w:val="152"/>
                    <w:adjustRightInd w:val="0"/>
                    <w:snapToGrid w:val="0"/>
                    <w:rPr>
                      <w:sz w:val="21"/>
                      <w:szCs w:val="21"/>
                    </w:rPr>
                  </w:pPr>
                  <w:r>
                    <w:rPr>
                      <w:sz w:val="21"/>
                      <w:szCs w:val="21"/>
                    </w:rPr>
                    <w:t>水环境</w:t>
                  </w:r>
                </w:p>
              </w:tc>
              <w:tc>
                <w:tcPr>
                  <w:tcW w:w="2164" w:type="pct"/>
                  <w:gridSpan w:val="3"/>
                  <w:vAlign w:val="center"/>
                </w:tcPr>
                <w:p w14:paraId="388E873C">
                  <w:pPr>
                    <w:adjustRightInd w:val="0"/>
                    <w:snapToGrid w:val="0"/>
                    <w:jc w:val="center"/>
                    <w:rPr>
                      <w:color w:val="000000" w:themeColor="text1"/>
                      <w:szCs w:val="21"/>
                      <w14:textFill>
                        <w14:solidFill>
                          <w14:schemeClr w14:val="tx1"/>
                        </w14:solidFill>
                      </w14:textFill>
                    </w:rPr>
                  </w:pPr>
                  <w:r>
                    <w:rPr>
                      <w:rFonts w:eastAsia="瀹嬩綋"/>
                      <w:color w:val="000000" w:themeColor="text1"/>
                      <w14:textFill>
                        <w14:solidFill>
                          <w14:schemeClr w14:val="tx1"/>
                        </w14:solidFill>
                      </w14:textFill>
                    </w:rPr>
                    <w:t>通榆河</w:t>
                  </w:r>
                </w:p>
              </w:tc>
              <w:tc>
                <w:tcPr>
                  <w:tcW w:w="378" w:type="pct"/>
                  <w:vAlign w:val="center"/>
                </w:tcPr>
                <w:p w14:paraId="3361E6E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航道、灌溉</w:t>
                  </w:r>
                </w:p>
              </w:tc>
              <w:tc>
                <w:tcPr>
                  <w:tcW w:w="370" w:type="pct"/>
                  <w:vAlign w:val="center"/>
                </w:tcPr>
                <w:p w14:paraId="3027DD2A">
                  <w:pPr>
                    <w:adjustRightInd w:val="0"/>
                    <w:snapToGrid w:val="0"/>
                    <w:jc w:val="center"/>
                    <w:rPr>
                      <w:color w:val="000000" w:themeColor="text1"/>
                      <w:kern w:val="0"/>
                      <w:szCs w:val="21"/>
                      <w14:textFill>
                        <w14:solidFill>
                          <w14:schemeClr w14:val="tx1"/>
                        </w14:solidFill>
                      </w14:textFill>
                    </w:rPr>
                  </w:pPr>
                  <w:r>
                    <w:rPr>
                      <w:rFonts w:hint="eastAsia"/>
                      <w:kern w:val="0"/>
                      <w:szCs w:val="21"/>
                      <w:lang w:val="en-US" w:eastAsia="zh-CN"/>
                    </w:rPr>
                    <w:t>W</w:t>
                  </w:r>
                </w:p>
              </w:tc>
              <w:tc>
                <w:tcPr>
                  <w:tcW w:w="420" w:type="pct"/>
                  <w:vAlign w:val="center"/>
                </w:tcPr>
                <w:p w14:paraId="4D09B085">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1176</w:t>
                  </w:r>
                </w:p>
              </w:tc>
              <w:tc>
                <w:tcPr>
                  <w:tcW w:w="555" w:type="pct"/>
                  <w:vAlign w:val="center"/>
                </w:tcPr>
                <w:p w14:paraId="574E8B92">
                  <w:pPr>
                    <w:adjustRightInd w:val="0"/>
                    <w:snapToGrid w:val="0"/>
                    <w:jc w:val="center"/>
                    <w:rPr>
                      <w:szCs w:val="21"/>
                    </w:rPr>
                  </w:pPr>
                  <w:r>
                    <w:rPr>
                      <w:szCs w:val="21"/>
                    </w:rPr>
                    <w:t>-</w:t>
                  </w:r>
                </w:p>
              </w:tc>
              <w:tc>
                <w:tcPr>
                  <w:tcW w:w="980" w:type="pct"/>
                  <w:vMerge w:val="restart"/>
                  <w:vAlign w:val="center"/>
                </w:tcPr>
                <w:p w14:paraId="226A3578">
                  <w:pPr>
                    <w:pStyle w:val="152"/>
                    <w:adjustRightInd w:val="0"/>
                    <w:snapToGrid w:val="0"/>
                    <w:rPr>
                      <w:sz w:val="21"/>
                      <w:szCs w:val="21"/>
                    </w:rPr>
                  </w:pPr>
                  <w:r>
                    <w:rPr>
                      <w:sz w:val="21"/>
                      <w:szCs w:val="21"/>
                    </w:rPr>
                    <w:t>《地表水环境质量标准》（GB3838-2002）Ⅲ类标准</w:t>
                  </w:r>
                </w:p>
              </w:tc>
            </w:tr>
            <w:tr w14:paraId="2E8C45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31" w:type="pct"/>
                  <w:vMerge w:val="continue"/>
                  <w:vAlign w:val="center"/>
                </w:tcPr>
                <w:p w14:paraId="6943BFCE">
                  <w:pPr>
                    <w:adjustRightInd w:val="0"/>
                    <w:snapToGrid w:val="0"/>
                    <w:jc w:val="center"/>
                  </w:pPr>
                </w:p>
              </w:tc>
              <w:tc>
                <w:tcPr>
                  <w:tcW w:w="2164" w:type="pct"/>
                  <w:gridSpan w:val="3"/>
                  <w:vAlign w:val="center"/>
                </w:tcPr>
                <w:p w14:paraId="425EE4B1">
                  <w:pPr>
                    <w:adjustRightInd w:val="0"/>
                    <w:snapToGrid w:val="0"/>
                    <w:jc w:val="center"/>
                    <w:rPr>
                      <w:szCs w:val="21"/>
                    </w:rPr>
                  </w:pPr>
                  <w:r>
                    <w:rPr>
                      <w:rFonts w:hint="eastAsia"/>
                      <w:szCs w:val="21"/>
                    </w:rPr>
                    <w:t>朱稽河</w:t>
                  </w:r>
                </w:p>
              </w:tc>
              <w:tc>
                <w:tcPr>
                  <w:tcW w:w="378" w:type="pct"/>
                  <w:vAlign w:val="center"/>
                </w:tcPr>
                <w:p w14:paraId="73178EE5">
                  <w:pPr>
                    <w:adjustRightInd w:val="0"/>
                    <w:snapToGrid w:val="0"/>
                    <w:jc w:val="center"/>
                    <w:rPr>
                      <w:szCs w:val="21"/>
                    </w:rPr>
                  </w:pPr>
                  <w:r>
                    <w:rPr>
                      <w:szCs w:val="21"/>
                    </w:rPr>
                    <w:t>灌溉</w:t>
                  </w:r>
                </w:p>
              </w:tc>
              <w:tc>
                <w:tcPr>
                  <w:tcW w:w="370" w:type="pct"/>
                  <w:vAlign w:val="center"/>
                </w:tcPr>
                <w:p w14:paraId="3945C0ED">
                  <w:pPr>
                    <w:adjustRightInd w:val="0"/>
                    <w:snapToGrid w:val="0"/>
                    <w:jc w:val="center"/>
                    <w:rPr>
                      <w:szCs w:val="21"/>
                    </w:rPr>
                  </w:pPr>
                  <w:r>
                    <w:rPr>
                      <w:kern w:val="0"/>
                      <w:szCs w:val="21"/>
                    </w:rPr>
                    <w:t>S</w:t>
                  </w:r>
                </w:p>
              </w:tc>
              <w:tc>
                <w:tcPr>
                  <w:tcW w:w="420" w:type="pct"/>
                  <w:vAlign w:val="center"/>
                </w:tcPr>
                <w:p w14:paraId="0CB566E1">
                  <w:pPr>
                    <w:adjustRightInd w:val="0"/>
                    <w:snapToGrid w:val="0"/>
                    <w:jc w:val="center"/>
                    <w:rPr>
                      <w:szCs w:val="21"/>
                    </w:rPr>
                  </w:pPr>
                  <w:r>
                    <w:rPr>
                      <w:rFonts w:hint="eastAsia"/>
                      <w:kern w:val="0"/>
                      <w:szCs w:val="21"/>
                    </w:rPr>
                    <w:t>50</w:t>
                  </w:r>
                </w:p>
              </w:tc>
              <w:tc>
                <w:tcPr>
                  <w:tcW w:w="555" w:type="pct"/>
                  <w:vAlign w:val="center"/>
                </w:tcPr>
                <w:p w14:paraId="6BFFB384">
                  <w:pPr>
                    <w:adjustRightInd w:val="0"/>
                    <w:snapToGrid w:val="0"/>
                    <w:jc w:val="center"/>
                    <w:rPr>
                      <w:szCs w:val="21"/>
                    </w:rPr>
                  </w:pPr>
                  <w:r>
                    <w:rPr>
                      <w:szCs w:val="21"/>
                    </w:rPr>
                    <w:t>-</w:t>
                  </w:r>
                </w:p>
              </w:tc>
              <w:tc>
                <w:tcPr>
                  <w:tcW w:w="980" w:type="pct"/>
                  <w:vMerge w:val="continue"/>
                  <w:vAlign w:val="center"/>
                </w:tcPr>
                <w:p w14:paraId="53F7C0B1">
                  <w:pPr>
                    <w:adjustRightInd w:val="0"/>
                    <w:snapToGrid w:val="0"/>
                    <w:jc w:val="center"/>
                    <w:rPr>
                      <w:szCs w:val="21"/>
                    </w:rPr>
                  </w:pPr>
                </w:p>
              </w:tc>
            </w:tr>
            <w:tr w14:paraId="66C68A7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131" w:type="pct"/>
                  <w:vMerge w:val="continue"/>
                  <w:vAlign w:val="center"/>
                </w:tcPr>
                <w:p w14:paraId="367DDEED">
                  <w:pPr>
                    <w:adjustRightInd w:val="0"/>
                    <w:snapToGrid w:val="0"/>
                    <w:jc w:val="center"/>
                  </w:pPr>
                </w:p>
              </w:tc>
              <w:tc>
                <w:tcPr>
                  <w:tcW w:w="2164" w:type="pct"/>
                  <w:gridSpan w:val="3"/>
                  <w:vAlign w:val="center"/>
                </w:tcPr>
                <w:p w14:paraId="6F8DDAC9">
                  <w:pPr>
                    <w:adjustRightInd w:val="0"/>
                    <w:snapToGrid w:val="0"/>
                    <w:jc w:val="center"/>
                    <w:rPr>
                      <w:rFonts w:hint="eastAsia"/>
                      <w:szCs w:val="21"/>
                    </w:rPr>
                  </w:pPr>
                  <w:r>
                    <w:rPr>
                      <w:rFonts w:hint="eastAsia"/>
                      <w:szCs w:val="21"/>
                      <w:lang w:val="en-US" w:eastAsia="zh-CN"/>
                    </w:rPr>
                    <w:t>老</w:t>
                  </w:r>
                  <w:r>
                    <w:rPr>
                      <w:rFonts w:hint="eastAsia"/>
                      <w:szCs w:val="21"/>
                    </w:rPr>
                    <w:t>朱稽河</w:t>
                  </w:r>
                </w:p>
              </w:tc>
              <w:tc>
                <w:tcPr>
                  <w:tcW w:w="378" w:type="pct"/>
                  <w:vAlign w:val="center"/>
                </w:tcPr>
                <w:p w14:paraId="27526FBC">
                  <w:pPr>
                    <w:adjustRightInd w:val="0"/>
                    <w:snapToGrid w:val="0"/>
                    <w:jc w:val="center"/>
                    <w:rPr>
                      <w:szCs w:val="21"/>
                    </w:rPr>
                  </w:pPr>
                  <w:r>
                    <w:rPr>
                      <w:szCs w:val="21"/>
                    </w:rPr>
                    <w:t>灌溉</w:t>
                  </w:r>
                </w:p>
              </w:tc>
              <w:tc>
                <w:tcPr>
                  <w:tcW w:w="370" w:type="pct"/>
                  <w:vAlign w:val="center"/>
                </w:tcPr>
                <w:p w14:paraId="6B1B82B7">
                  <w:pPr>
                    <w:adjustRightInd w:val="0"/>
                    <w:snapToGrid w:val="0"/>
                    <w:jc w:val="center"/>
                    <w:rPr>
                      <w:kern w:val="0"/>
                      <w:szCs w:val="21"/>
                    </w:rPr>
                  </w:pPr>
                  <w:r>
                    <w:rPr>
                      <w:kern w:val="0"/>
                      <w:szCs w:val="21"/>
                    </w:rPr>
                    <w:t>S</w:t>
                  </w:r>
                </w:p>
              </w:tc>
              <w:tc>
                <w:tcPr>
                  <w:tcW w:w="420" w:type="pct"/>
                  <w:vAlign w:val="center"/>
                </w:tcPr>
                <w:p w14:paraId="3CFFFE69">
                  <w:pPr>
                    <w:adjustRightInd w:val="0"/>
                    <w:snapToGrid w:val="0"/>
                    <w:jc w:val="center"/>
                    <w:rPr>
                      <w:rFonts w:hint="eastAsia"/>
                      <w:kern w:val="0"/>
                      <w:szCs w:val="21"/>
                    </w:rPr>
                  </w:pPr>
                  <w:r>
                    <w:rPr>
                      <w:rFonts w:hint="eastAsia"/>
                      <w:kern w:val="0"/>
                      <w:szCs w:val="21"/>
                    </w:rPr>
                    <w:t>3</w:t>
                  </w:r>
                  <w:r>
                    <w:rPr>
                      <w:kern w:val="0"/>
                      <w:szCs w:val="21"/>
                    </w:rPr>
                    <w:t>00</w:t>
                  </w:r>
                </w:p>
              </w:tc>
              <w:tc>
                <w:tcPr>
                  <w:tcW w:w="555" w:type="pct"/>
                  <w:vAlign w:val="center"/>
                </w:tcPr>
                <w:p w14:paraId="6D6CCFF3">
                  <w:pPr>
                    <w:adjustRightInd w:val="0"/>
                    <w:snapToGrid w:val="0"/>
                    <w:jc w:val="center"/>
                    <w:rPr>
                      <w:szCs w:val="21"/>
                    </w:rPr>
                  </w:pPr>
                  <w:r>
                    <w:rPr>
                      <w:szCs w:val="21"/>
                    </w:rPr>
                    <w:t>-</w:t>
                  </w:r>
                </w:p>
              </w:tc>
              <w:tc>
                <w:tcPr>
                  <w:tcW w:w="980" w:type="pct"/>
                  <w:vMerge w:val="continue"/>
                  <w:vAlign w:val="center"/>
                </w:tcPr>
                <w:p w14:paraId="2361BDF9">
                  <w:pPr>
                    <w:adjustRightInd w:val="0"/>
                    <w:snapToGrid w:val="0"/>
                    <w:jc w:val="center"/>
                    <w:rPr>
                      <w:szCs w:val="21"/>
                    </w:rPr>
                  </w:pPr>
                </w:p>
              </w:tc>
            </w:tr>
            <w:tr w14:paraId="6D00C4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1326" w:hRule="atLeast"/>
                <w:jc w:val="center"/>
              </w:trPr>
              <w:tc>
                <w:tcPr>
                  <w:tcW w:w="131" w:type="pct"/>
                  <w:vAlign w:val="center"/>
                </w:tcPr>
                <w:p w14:paraId="4B34E1B9">
                  <w:pPr>
                    <w:adjustRightInd w:val="0"/>
                    <w:snapToGrid w:val="0"/>
                    <w:jc w:val="center"/>
                  </w:pPr>
                </w:p>
              </w:tc>
              <w:tc>
                <w:tcPr>
                  <w:tcW w:w="2164" w:type="pct"/>
                  <w:gridSpan w:val="3"/>
                  <w:vAlign w:val="center"/>
                </w:tcPr>
                <w:p w14:paraId="1FC9AA78">
                  <w:pPr>
                    <w:adjustRightInd w:val="0"/>
                    <w:snapToGrid w:val="0"/>
                    <w:jc w:val="center"/>
                    <w:rPr>
                      <w:rFonts w:hint="eastAsia"/>
                      <w:szCs w:val="21"/>
                      <w:lang w:val="en-US" w:eastAsia="zh-CN"/>
                    </w:rPr>
                  </w:pPr>
                  <w:r>
                    <w:rPr>
                      <w:rFonts w:hint="eastAsia"/>
                      <w:szCs w:val="21"/>
                    </w:rPr>
                    <w:t>青口盐场附河</w:t>
                  </w:r>
                </w:p>
              </w:tc>
              <w:tc>
                <w:tcPr>
                  <w:tcW w:w="378" w:type="pct"/>
                  <w:vAlign w:val="center"/>
                </w:tcPr>
                <w:p w14:paraId="2FBFD712">
                  <w:pPr>
                    <w:adjustRightInd w:val="0"/>
                    <w:snapToGrid w:val="0"/>
                    <w:jc w:val="center"/>
                    <w:rPr>
                      <w:szCs w:val="21"/>
                    </w:rPr>
                  </w:pPr>
                  <w:r>
                    <w:rPr>
                      <w:szCs w:val="21"/>
                    </w:rPr>
                    <w:t>灌溉</w:t>
                  </w:r>
                </w:p>
              </w:tc>
              <w:tc>
                <w:tcPr>
                  <w:tcW w:w="370" w:type="pct"/>
                  <w:vAlign w:val="center"/>
                </w:tcPr>
                <w:p w14:paraId="148B9FB2">
                  <w:pPr>
                    <w:adjustRightInd w:val="0"/>
                    <w:snapToGrid w:val="0"/>
                    <w:jc w:val="center"/>
                    <w:rPr>
                      <w:kern w:val="0"/>
                      <w:szCs w:val="21"/>
                    </w:rPr>
                  </w:pPr>
                  <w:r>
                    <w:rPr>
                      <w:rFonts w:hint="eastAsia"/>
                      <w:kern w:val="0"/>
                      <w:szCs w:val="21"/>
                      <w:lang w:val="en-US" w:eastAsia="zh-CN"/>
                    </w:rPr>
                    <w:t>/</w:t>
                  </w:r>
                </w:p>
              </w:tc>
              <w:tc>
                <w:tcPr>
                  <w:tcW w:w="420" w:type="pct"/>
                  <w:vAlign w:val="center"/>
                </w:tcPr>
                <w:p w14:paraId="476BB63F">
                  <w:pPr>
                    <w:adjustRightInd w:val="0"/>
                    <w:snapToGrid w:val="0"/>
                    <w:jc w:val="center"/>
                    <w:rPr>
                      <w:rFonts w:hint="eastAsia"/>
                      <w:kern w:val="0"/>
                      <w:szCs w:val="21"/>
                    </w:rPr>
                  </w:pPr>
                  <w:r>
                    <w:rPr>
                      <w:rFonts w:hint="eastAsia"/>
                      <w:kern w:val="0"/>
                      <w:szCs w:val="21"/>
                    </w:rPr>
                    <w:t>50</w:t>
                  </w:r>
                </w:p>
              </w:tc>
              <w:tc>
                <w:tcPr>
                  <w:tcW w:w="555" w:type="pct"/>
                  <w:vAlign w:val="center"/>
                </w:tcPr>
                <w:p w14:paraId="0245D622">
                  <w:pPr>
                    <w:adjustRightInd w:val="0"/>
                    <w:snapToGrid w:val="0"/>
                    <w:jc w:val="center"/>
                    <w:rPr>
                      <w:szCs w:val="21"/>
                    </w:rPr>
                  </w:pPr>
                  <w:r>
                    <w:rPr>
                      <w:szCs w:val="21"/>
                    </w:rPr>
                    <w:t>-</w:t>
                  </w:r>
                </w:p>
              </w:tc>
              <w:tc>
                <w:tcPr>
                  <w:tcW w:w="980" w:type="pct"/>
                  <w:vAlign w:val="center"/>
                </w:tcPr>
                <w:p w14:paraId="50BFB9BB">
                  <w:pPr>
                    <w:adjustRightInd w:val="0"/>
                    <w:snapToGrid w:val="0"/>
                    <w:jc w:val="center"/>
                    <w:rPr>
                      <w:szCs w:val="21"/>
                    </w:rPr>
                  </w:pPr>
                  <w:r>
                    <w:rPr>
                      <w:sz w:val="21"/>
                      <w:szCs w:val="21"/>
                    </w:rPr>
                    <w:t>《地表水环境质量标准》（GB3838-2002）</w:t>
                  </w:r>
                  <w:r>
                    <w:rPr>
                      <w:rFonts w:hint="default"/>
                      <w:sz w:val="21"/>
                      <w:szCs w:val="21"/>
                    </w:rPr>
                    <w:t>IV</w:t>
                  </w:r>
                  <w:r>
                    <w:rPr>
                      <w:sz w:val="21"/>
                      <w:szCs w:val="21"/>
                    </w:rPr>
                    <w:t>类标准</w:t>
                  </w:r>
                </w:p>
              </w:tc>
            </w:tr>
            <w:tr w14:paraId="6D2CCCE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131" w:type="pct"/>
                  <w:vMerge w:val="restart"/>
                  <w:vAlign w:val="center"/>
                </w:tcPr>
                <w:p w14:paraId="129FE9FE">
                  <w:pPr>
                    <w:pStyle w:val="152"/>
                    <w:adjustRightInd w:val="0"/>
                    <w:snapToGrid w:val="0"/>
                    <w:rPr>
                      <w:sz w:val="21"/>
                      <w:szCs w:val="21"/>
                    </w:rPr>
                  </w:pPr>
                  <w:r>
                    <w:rPr>
                      <w:sz w:val="21"/>
                      <w:szCs w:val="21"/>
                    </w:rPr>
                    <w:t>生态环境</w:t>
                  </w:r>
                </w:p>
              </w:tc>
              <w:tc>
                <w:tcPr>
                  <w:tcW w:w="2164" w:type="pct"/>
                  <w:gridSpan w:val="3"/>
                  <w:vAlign w:val="center"/>
                </w:tcPr>
                <w:p w14:paraId="7BF82745">
                  <w:pPr>
                    <w:jc w:val="center"/>
                    <w:rPr>
                      <w:szCs w:val="21"/>
                    </w:rPr>
                  </w:pPr>
                  <w:r>
                    <w:rPr>
                      <w:rFonts w:eastAsia="瀹嬩綋"/>
                    </w:rPr>
                    <w:t>通榆河（连云港市区）清水通道维护区</w:t>
                  </w:r>
                </w:p>
              </w:tc>
              <w:tc>
                <w:tcPr>
                  <w:tcW w:w="378" w:type="pct"/>
                  <w:vAlign w:val="center"/>
                </w:tcPr>
                <w:p w14:paraId="57C3C7CC">
                  <w:pPr>
                    <w:adjustRightInd w:val="0"/>
                    <w:snapToGrid w:val="0"/>
                    <w:jc w:val="center"/>
                    <w:rPr>
                      <w:szCs w:val="21"/>
                    </w:rPr>
                  </w:pPr>
                  <w:r>
                    <w:rPr>
                      <w:szCs w:val="21"/>
                    </w:rPr>
                    <w:t>水源水质保护</w:t>
                  </w:r>
                </w:p>
              </w:tc>
              <w:tc>
                <w:tcPr>
                  <w:tcW w:w="370" w:type="pct"/>
                  <w:vAlign w:val="center"/>
                </w:tcPr>
                <w:p w14:paraId="53C41CF4">
                  <w:pPr>
                    <w:adjustRightInd w:val="0"/>
                    <w:snapToGrid w:val="0"/>
                    <w:jc w:val="center"/>
                    <w:rPr>
                      <w:rFonts w:hint="default" w:eastAsia="宋体"/>
                      <w:kern w:val="0"/>
                      <w:szCs w:val="21"/>
                      <w:lang w:val="en-US" w:eastAsia="zh-CN"/>
                    </w:rPr>
                  </w:pPr>
                  <w:r>
                    <w:rPr>
                      <w:rFonts w:hint="eastAsia"/>
                      <w:kern w:val="0"/>
                      <w:szCs w:val="21"/>
                      <w:lang w:val="en-US" w:eastAsia="zh-CN"/>
                    </w:rPr>
                    <w:t>SW</w:t>
                  </w:r>
                </w:p>
              </w:tc>
              <w:tc>
                <w:tcPr>
                  <w:tcW w:w="420" w:type="pct"/>
                  <w:vAlign w:val="center"/>
                </w:tcPr>
                <w:p w14:paraId="5ACA3C5E">
                  <w:pPr>
                    <w:adjustRightInd w:val="0"/>
                    <w:snapToGrid w:val="0"/>
                    <w:jc w:val="center"/>
                    <w:rPr>
                      <w:kern w:val="0"/>
                      <w:szCs w:val="21"/>
                    </w:rPr>
                  </w:pPr>
                  <w:r>
                    <w:rPr>
                      <w:rFonts w:hint="eastAsia"/>
                      <w:color w:val="000000" w:themeColor="text1"/>
                      <w:kern w:val="0"/>
                      <w:szCs w:val="21"/>
                      <w:lang w:val="en-US" w:eastAsia="zh-CN"/>
                      <w14:textFill>
                        <w14:solidFill>
                          <w14:schemeClr w14:val="tx1"/>
                        </w14:solidFill>
                      </w14:textFill>
                    </w:rPr>
                    <w:t>110</w:t>
                  </w:r>
                  <w:r>
                    <w:rPr>
                      <w:color w:val="000000" w:themeColor="text1"/>
                      <w:kern w:val="0"/>
                      <w:szCs w:val="21"/>
                      <w14:textFill>
                        <w14:solidFill>
                          <w14:schemeClr w14:val="tx1"/>
                        </w14:solidFill>
                      </w14:textFill>
                    </w:rPr>
                    <w:t>00</w:t>
                  </w:r>
                  <w:r>
                    <w:rPr>
                      <w:rFonts w:hint="eastAsia"/>
                      <w:color w:val="000000" w:themeColor="text1"/>
                      <w:kern w:val="0"/>
                      <w:szCs w:val="21"/>
                      <w14:textFill>
                        <w14:solidFill>
                          <w14:schemeClr w14:val="tx1"/>
                        </w14:solidFill>
                      </w14:textFill>
                    </w:rPr>
                    <w:t>m</w:t>
                  </w:r>
                </w:p>
              </w:tc>
              <w:tc>
                <w:tcPr>
                  <w:tcW w:w="555" w:type="pct"/>
                  <w:vAlign w:val="center"/>
                </w:tcPr>
                <w:p w14:paraId="4D8BE3AA">
                  <w:pPr>
                    <w:jc w:val="center"/>
                    <w:rPr>
                      <w:szCs w:val="21"/>
                    </w:rPr>
                  </w:pPr>
                  <w:r>
                    <w:rPr>
                      <w:szCs w:val="21"/>
                    </w:rPr>
                    <w:t>105.25km</w:t>
                  </w:r>
                  <w:r>
                    <w:rPr>
                      <w:szCs w:val="21"/>
                      <w:vertAlign w:val="superscript"/>
                    </w:rPr>
                    <w:t>2</w:t>
                  </w:r>
                </w:p>
              </w:tc>
              <w:tc>
                <w:tcPr>
                  <w:tcW w:w="980" w:type="pct"/>
                  <w:vAlign w:val="center"/>
                </w:tcPr>
                <w:p w14:paraId="676CC66D">
                  <w:pPr>
                    <w:pStyle w:val="152"/>
                    <w:adjustRightInd w:val="0"/>
                    <w:snapToGrid w:val="0"/>
                    <w:rPr>
                      <w:sz w:val="21"/>
                      <w:szCs w:val="21"/>
                    </w:rPr>
                  </w:pPr>
                  <w:r>
                    <w:rPr>
                      <w:sz w:val="21"/>
                      <w:szCs w:val="21"/>
                    </w:rPr>
                    <w:t>-</w:t>
                  </w:r>
                </w:p>
              </w:tc>
            </w:tr>
            <w:tr w14:paraId="743425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131" w:type="pct"/>
                  <w:vMerge w:val="continue"/>
                  <w:vAlign w:val="center"/>
                </w:tcPr>
                <w:p w14:paraId="2EBB41F9">
                  <w:pPr>
                    <w:pStyle w:val="152"/>
                    <w:adjustRightInd w:val="0"/>
                    <w:snapToGrid w:val="0"/>
                    <w:rPr>
                      <w:sz w:val="21"/>
                      <w:szCs w:val="21"/>
                    </w:rPr>
                  </w:pPr>
                </w:p>
              </w:tc>
              <w:tc>
                <w:tcPr>
                  <w:tcW w:w="2164" w:type="pct"/>
                  <w:gridSpan w:val="3"/>
                  <w:vAlign w:val="center"/>
                </w:tcPr>
                <w:p w14:paraId="73EED953">
                  <w:pPr>
                    <w:jc w:val="center"/>
                    <w:rPr>
                      <w:rFonts w:eastAsia="瀹嬩綋"/>
                    </w:rPr>
                  </w:pPr>
                  <w:r>
                    <w:t>新沭河（</w:t>
                  </w:r>
                  <w:r>
                    <w:rPr>
                      <w:rFonts w:eastAsia="瀹嬩綋"/>
                      <w:color w:val="auto"/>
                      <w:sz w:val="21"/>
                    </w:rPr>
                    <w:t>连云港市区</w:t>
                  </w:r>
                  <w:r>
                    <w:t>）洪水调蓄区</w:t>
                  </w:r>
                </w:p>
              </w:tc>
              <w:tc>
                <w:tcPr>
                  <w:tcW w:w="378" w:type="pct"/>
                  <w:vAlign w:val="center"/>
                </w:tcPr>
                <w:p w14:paraId="28A3E3A0">
                  <w:pPr>
                    <w:adjustRightInd w:val="0"/>
                    <w:snapToGrid w:val="0"/>
                    <w:jc w:val="center"/>
                    <w:rPr>
                      <w:szCs w:val="21"/>
                    </w:rPr>
                  </w:pPr>
                  <w:r>
                    <w:t>洪水调蓄</w:t>
                  </w:r>
                </w:p>
              </w:tc>
              <w:tc>
                <w:tcPr>
                  <w:tcW w:w="370" w:type="pct"/>
                  <w:vAlign w:val="center"/>
                </w:tcPr>
                <w:p w14:paraId="1927AD36">
                  <w:pPr>
                    <w:adjustRightInd w:val="0"/>
                    <w:snapToGrid w:val="0"/>
                    <w:jc w:val="center"/>
                    <w:rPr>
                      <w:kern w:val="0"/>
                      <w:szCs w:val="21"/>
                    </w:rPr>
                  </w:pPr>
                  <w:r>
                    <w:rPr>
                      <w:rFonts w:hint="eastAsia"/>
                      <w:kern w:val="0"/>
                      <w:szCs w:val="21"/>
                      <w:highlight w:val="red"/>
                      <w:lang w:val="en-US" w:eastAsia="zh-CN"/>
                    </w:rPr>
                    <w:t>SW</w:t>
                  </w:r>
                </w:p>
              </w:tc>
              <w:tc>
                <w:tcPr>
                  <w:tcW w:w="420" w:type="pct"/>
                  <w:vAlign w:val="center"/>
                </w:tcPr>
                <w:p w14:paraId="1DE7B93F">
                  <w:pPr>
                    <w:adjustRightInd w:val="0"/>
                    <w:snapToGrid w:val="0"/>
                    <w:jc w:val="center"/>
                    <w:rPr>
                      <w:kern w:val="0"/>
                      <w:szCs w:val="21"/>
                    </w:rPr>
                  </w:pPr>
                  <w:r>
                    <w:rPr>
                      <w:rFonts w:hint="eastAsia"/>
                      <w:color w:val="auto"/>
                      <w:kern w:val="0"/>
                      <w:szCs w:val="21"/>
                      <w:lang w:val="en-US" w:eastAsia="zh-CN"/>
                    </w:rPr>
                    <w:t>9</w:t>
                  </w:r>
                  <w:r>
                    <w:rPr>
                      <w:color w:val="auto"/>
                      <w:kern w:val="0"/>
                      <w:szCs w:val="21"/>
                    </w:rPr>
                    <w:t>000</w:t>
                  </w:r>
                  <w:r>
                    <w:rPr>
                      <w:rFonts w:hint="eastAsia"/>
                      <w:color w:val="auto"/>
                      <w:kern w:val="0"/>
                      <w:szCs w:val="21"/>
                    </w:rPr>
                    <w:t>m</w:t>
                  </w:r>
                </w:p>
              </w:tc>
              <w:tc>
                <w:tcPr>
                  <w:tcW w:w="555" w:type="pct"/>
                  <w:vAlign w:val="center"/>
                </w:tcPr>
                <w:p w14:paraId="4CBF8CA1">
                  <w:pPr>
                    <w:jc w:val="center"/>
                    <w:rPr>
                      <w:szCs w:val="21"/>
                    </w:rPr>
                  </w:pPr>
                  <w:r>
                    <w:rPr>
                      <w:szCs w:val="21"/>
                    </w:rPr>
                    <w:t>20.19km</w:t>
                  </w:r>
                  <w:r>
                    <w:rPr>
                      <w:szCs w:val="21"/>
                      <w:vertAlign w:val="superscript"/>
                    </w:rPr>
                    <w:t>2</w:t>
                  </w:r>
                </w:p>
              </w:tc>
              <w:tc>
                <w:tcPr>
                  <w:tcW w:w="980" w:type="pct"/>
                  <w:vAlign w:val="center"/>
                </w:tcPr>
                <w:p w14:paraId="20731FBA">
                  <w:pPr>
                    <w:pStyle w:val="152"/>
                    <w:adjustRightInd w:val="0"/>
                    <w:snapToGrid w:val="0"/>
                    <w:rPr>
                      <w:sz w:val="21"/>
                      <w:szCs w:val="21"/>
                    </w:rPr>
                  </w:pPr>
                  <w:r>
                    <w:rPr>
                      <w:sz w:val="21"/>
                      <w:szCs w:val="21"/>
                    </w:rPr>
                    <w:t>-</w:t>
                  </w:r>
                </w:p>
              </w:tc>
            </w:tr>
          </w:tbl>
          <w:p w14:paraId="6EF2D216">
            <w:pPr>
              <w:pStyle w:val="3"/>
              <w:adjustRightInd w:val="0"/>
              <w:spacing w:before="0" w:after="0" w:line="360" w:lineRule="auto"/>
              <w:ind w:left="0" w:leftChars="0" w:firstLine="0" w:firstLineChars="0"/>
              <w:jc w:val="both"/>
              <w:rPr>
                <w:rFonts w:hint="default" w:eastAsia="宋体"/>
                <w:color w:val="auto"/>
                <w:lang w:val="en-US" w:eastAsia="zh-CN"/>
              </w:rPr>
            </w:pPr>
          </w:p>
        </w:tc>
      </w:tr>
      <w:tr w14:paraId="6A8E5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717" w:type="dxa"/>
            <w:vAlign w:val="center"/>
          </w:tcPr>
          <w:p w14:paraId="59337AA7">
            <w:pPr>
              <w:adjustRightInd w:val="0"/>
              <w:snapToGrid w:val="0"/>
              <w:jc w:val="center"/>
              <w:rPr>
                <w:kern w:val="0"/>
                <w:sz w:val="24"/>
              </w:rPr>
            </w:pPr>
            <w:r>
              <w:rPr>
                <w:kern w:val="0"/>
                <w:sz w:val="24"/>
              </w:rPr>
              <w:t>评价</w:t>
            </w:r>
          </w:p>
          <w:p w14:paraId="6520F238">
            <w:pPr>
              <w:adjustRightInd w:val="0"/>
              <w:snapToGrid w:val="0"/>
              <w:jc w:val="center"/>
              <w:rPr>
                <w:kern w:val="0"/>
                <w:szCs w:val="21"/>
              </w:rPr>
            </w:pPr>
            <w:r>
              <w:rPr>
                <w:kern w:val="0"/>
                <w:sz w:val="24"/>
              </w:rPr>
              <w:t>标准</w:t>
            </w:r>
          </w:p>
        </w:tc>
        <w:tc>
          <w:tcPr>
            <w:tcW w:w="8440" w:type="dxa"/>
            <w:vAlign w:val="center"/>
          </w:tcPr>
          <w:p w14:paraId="1E15D17C">
            <w:pPr>
              <w:adjustRightInd w:val="0"/>
              <w:snapToGrid w:val="0"/>
              <w:spacing w:line="360" w:lineRule="auto"/>
              <w:ind w:firstLine="482" w:firstLineChars="200"/>
              <w:rPr>
                <w:b/>
                <w:bCs/>
                <w:sz w:val="24"/>
              </w:rPr>
            </w:pPr>
            <w:r>
              <w:rPr>
                <w:b/>
                <w:bCs/>
                <w:sz w:val="24"/>
              </w:rPr>
              <w:t>1、环境质量标准</w:t>
            </w:r>
          </w:p>
          <w:p w14:paraId="0AC7CC77">
            <w:pPr>
              <w:adjustRightInd w:val="0"/>
              <w:snapToGrid w:val="0"/>
              <w:spacing w:line="360" w:lineRule="auto"/>
              <w:ind w:firstLine="480" w:firstLineChars="200"/>
              <w:rPr>
                <w:sz w:val="24"/>
              </w:rPr>
            </w:pPr>
            <w:r>
              <w:rPr>
                <w:sz w:val="24"/>
              </w:rPr>
              <w:t>（1）环境空气质量标准</w:t>
            </w:r>
          </w:p>
          <w:p w14:paraId="3519626E">
            <w:pPr>
              <w:adjustRightInd w:val="0"/>
              <w:snapToGrid w:val="0"/>
              <w:spacing w:line="360" w:lineRule="auto"/>
              <w:ind w:firstLine="480" w:firstLineChars="200"/>
              <w:rPr>
                <w:sz w:val="24"/>
              </w:rPr>
            </w:pPr>
            <w:r>
              <w:rPr>
                <w:sz w:val="24"/>
              </w:rPr>
              <w:t>项目所在区属于二类区，因此项目所在区域环境空气功能区划类别为二类功能区，执行《环境空气质量标准》（GB3095-2012）二级标准及修改单要求。详见下表。</w:t>
            </w:r>
          </w:p>
          <w:p w14:paraId="0C41E9B3">
            <w:pPr>
              <w:jc w:val="center"/>
              <w:rPr>
                <w:b/>
                <w:bCs/>
                <w:sz w:val="24"/>
              </w:rPr>
            </w:pPr>
            <w:r>
              <w:rPr>
                <w:b/>
                <w:bCs/>
                <w:sz w:val="24"/>
              </w:rPr>
              <w:t>表3-</w:t>
            </w:r>
            <w:r>
              <w:rPr>
                <w:rFonts w:hint="eastAsia"/>
                <w:b/>
                <w:bCs/>
                <w:sz w:val="24"/>
                <w:lang w:val="en-US" w:eastAsia="zh-CN"/>
              </w:rPr>
              <w:t>5</w:t>
            </w:r>
            <w:r>
              <w:rPr>
                <w:b/>
                <w:bCs/>
                <w:sz w:val="24"/>
              </w:rPr>
              <w:t xml:space="preserve"> 《环境空气质量标准》（GB3095-2012）</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6"/>
              <w:gridCol w:w="2572"/>
              <w:gridCol w:w="1997"/>
              <w:gridCol w:w="1157"/>
              <w:gridCol w:w="917"/>
              <w:gridCol w:w="1212"/>
            </w:tblGrid>
            <w:tr w14:paraId="7B33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blHeader/>
              </w:trPr>
              <w:tc>
                <w:tcPr>
                  <w:tcW w:w="417" w:type="pct"/>
                  <w:vAlign w:val="center"/>
                </w:tcPr>
                <w:p w14:paraId="10A34C9B">
                  <w:pPr>
                    <w:pStyle w:val="75"/>
                    <w:adjustRightInd w:val="0"/>
                    <w:snapToGrid w:val="0"/>
                    <w:spacing w:line="240" w:lineRule="auto"/>
                    <w:rPr>
                      <w:rFonts w:cs="Times New Roman"/>
                      <w:b/>
                      <w:bCs/>
                      <w:szCs w:val="21"/>
                    </w:rPr>
                  </w:pPr>
                  <w:r>
                    <w:rPr>
                      <w:rFonts w:cs="Times New Roman"/>
                      <w:b/>
                      <w:bCs/>
                      <w:szCs w:val="21"/>
                    </w:rPr>
                    <w:t>序号</w:t>
                  </w:r>
                </w:p>
              </w:tc>
              <w:tc>
                <w:tcPr>
                  <w:tcW w:w="1549" w:type="pct"/>
                  <w:vAlign w:val="center"/>
                </w:tcPr>
                <w:p w14:paraId="74338F81">
                  <w:pPr>
                    <w:pStyle w:val="75"/>
                    <w:adjustRightInd w:val="0"/>
                    <w:snapToGrid w:val="0"/>
                    <w:spacing w:line="240" w:lineRule="auto"/>
                    <w:rPr>
                      <w:rFonts w:cs="Times New Roman"/>
                      <w:b/>
                      <w:bCs/>
                      <w:szCs w:val="21"/>
                    </w:rPr>
                  </w:pPr>
                  <w:r>
                    <w:rPr>
                      <w:rFonts w:cs="Times New Roman"/>
                      <w:b/>
                      <w:bCs/>
                      <w:szCs w:val="21"/>
                    </w:rPr>
                    <w:t>污染物项目</w:t>
                  </w:r>
                </w:p>
              </w:tc>
              <w:tc>
                <w:tcPr>
                  <w:tcW w:w="1211" w:type="pct"/>
                  <w:vAlign w:val="center"/>
                </w:tcPr>
                <w:p w14:paraId="68BBB2A7">
                  <w:pPr>
                    <w:pStyle w:val="75"/>
                    <w:adjustRightInd w:val="0"/>
                    <w:snapToGrid w:val="0"/>
                    <w:spacing w:line="240" w:lineRule="auto"/>
                    <w:rPr>
                      <w:rFonts w:cs="Times New Roman"/>
                      <w:b/>
                      <w:bCs/>
                      <w:szCs w:val="21"/>
                    </w:rPr>
                  </w:pPr>
                  <w:r>
                    <w:rPr>
                      <w:rFonts w:cs="Times New Roman"/>
                      <w:b/>
                      <w:bCs/>
                      <w:szCs w:val="21"/>
                    </w:rPr>
                    <w:t>平均时间</w:t>
                  </w:r>
                </w:p>
              </w:tc>
              <w:tc>
                <w:tcPr>
                  <w:tcW w:w="717" w:type="pct"/>
                  <w:vAlign w:val="center"/>
                </w:tcPr>
                <w:p w14:paraId="0BD0DFFE">
                  <w:pPr>
                    <w:pStyle w:val="75"/>
                    <w:adjustRightInd w:val="0"/>
                    <w:snapToGrid w:val="0"/>
                    <w:spacing w:line="240" w:lineRule="auto"/>
                    <w:rPr>
                      <w:rFonts w:cs="Times New Roman"/>
                      <w:b/>
                      <w:bCs/>
                      <w:szCs w:val="21"/>
                    </w:rPr>
                  </w:pPr>
                  <w:r>
                    <w:rPr>
                      <w:rFonts w:cs="Times New Roman"/>
                      <w:b/>
                      <w:bCs/>
                      <w:szCs w:val="21"/>
                    </w:rPr>
                    <w:t>浓度限值</w:t>
                  </w:r>
                </w:p>
              </w:tc>
              <w:tc>
                <w:tcPr>
                  <w:tcW w:w="576" w:type="pct"/>
                  <w:vAlign w:val="center"/>
                </w:tcPr>
                <w:p w14:paraId="402C6DD9">
                  <w:pPr>
                    <w:pStyle w:val="75"/>
                    <w:adjustRightInd w:val="0"/>
                    <w:snapToGrid w:val="0"/>
                    <w:spacing w:line="240" w:lineRule="auto"/>
                    <w:rPr>
                      <w:rFonts w:cs="Times New Roman"/>
                      <w:b/>
                      <w:bCs/>
                      <w:szCs w:val="21"/>
                    </w:rPr>
                  </w:pPr>
                  <w:r>
                    <w:rPr>
                      <w:rFonts w:cs="Times New Roman"/>
                      <w:b/>
                      <w:bCs/>
                      <w:szCs w:val="21"/>
                    </w:rPr>
                    <w:t>单位</w:t>
                  </w:r>
                </w:p>
              </w:tc>
              <w:tc>
                <w:tcPr>
                  <w:tcW w:w="527" w:type="pct"/>
                  <w:noWrap/>
                  <w:vAlign w:val="center"/>
                </w:tcPr>
                <w:p w14:paraId="7E9FA9B9">
                  <w:pPr>
                    <w:pStyle w:val="75"/>
                    <w:adjustRightInd w:val="0"/>
                    <w:snapToGrid w:val="0"/>
                    <w:spacing w:line="240" w:lineRule="auto"/>
                    <w:rPr>
                      <w:rFonts w:cs="Times New Roman"/>
                      <w:b/>
                      <w:bCs/>
                      <w:szCs w:val="21"/>
                    </w:rPr>
                  </w:pPr>
                  <w:r>
                    <w:rPr>
                      <w:rFonts w:cs="Times New Roman"/>
                      <w:b/>
                      <w:bCs/>
                      <w:szCs w:val="21"/>
                    </w:rPr>
                    <w:t>标准来源</w:t>
                  </w:r>
                </w:p>
              </w:tc>
            </w:tr>
            <w:tr w14:paraId="6BEB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restart"/>
                  <w:vAlign w:val="center"/>
                </w:tcPr>
                <w:p w14:paraId="56050BBE">
                  <w:pPr>
                    <w:pStyle w:val="75"/>
                    <w:adjustRightInd w:val="0"/>
                    <w:snapToGrid w:val="0"/>
                    <w:spacing w:line="240" w:lineRule="auto"/>
                    <w:rPr>
                      <w:rFonts w:cs="Times New Roman"/>
                      <w:szCs w:val="21"/>
                    </w:rPr>
                  </w:pPr>
                  <w:r>
                    <w:rPr>
                      <w:rFonts w:cs="Times New Roman"/>
                      <w:szCs w:val="21"/>
                    </w:rPr>
                    <w:t>1</w:t>
                  </w:r>
                </w:p>
              </w:tc>
              <w:tc>
                <w:tcPr>
                  <w:tcW w:w="1549" w:type="pct"/>
                  <w:vMerge w:val="restart"/>
                  <w:vAlign w:val="center"/>
                </w:tcPr>
                <w:p w14:paraId="2723B45C">
                  <w:pPr>
                    <w:pStyle w:val="75"/>
                    <w:adjustRightInd w:val="0"/>
                    <w:snapToGrid w:val="0"/>
                    <w:spacing w:line="240" w:lineRule="auto"/>
                    <w:rPr>
                      <w:rFonts w:cs="Times New Roman"/>
                      <w:szCs w:val="21"/>
                    </w:rPr>
                  </w:pPr>
                  <w:r>
                    <w:rPr>
                      <w:rFonts w:cs="Times New Roman"/>
                      <w:szCs w:val="21"/>
                    </w:rPr>
                    <w:t>二氧化硫（SO</w:t>
                  </w:r>
                  <w:r>
                    <w:rPr>
                      <w:rFonts w:cs="Times New Roman"/>
                      <w:szCs w:val="21"/>
                      <w:vertAlign w:val="subscript"/>
                    </w:rPr>
                    <w:t>2</w:t>
                  </w:r>
                  <w:r>
                    <w:rPr>
                      <w:rFonts w:cs="Times New Roman"/>
                      <w:szCs w:val="21"/>
                    </w:rPr>
                    <w:t>）</w:t>
                  </w:r>
                </w:p>
              </w:tc>
              <w:tc>
                <w:tcPr>
                  <w:tcW w:w="1211" w:type="pct"/>
                  <w:vAlign w:val="center"/>
                </w:tcPr>
                <w:p w14:paraId="639E92FB">
                  <w:pPr>
                    <w:pStyle w:val="75"/>
                    <w:adjustRightInd w:val="0"/>
                    <w:snapToGrid w:val="0"/>
                    <w:spacing w:line="240" w:lineRule="auto"/>
                    <w:rPr>
                      <w:rFonts w:cs="Times New Roman"/>
                      <w:szCs w:val="21"/>
                    </w:rPr>
                  </w:pPr>
                  <w:r>
                    <w:rPr>
                      <w:rFonts w:cs="Times New Roman"/>
                      <w:szCs w:val="21"/>
                    </w:rPr>
                    <w:t>年平均</w:t>
                  </w:r>
                </w:p>
              </w:tc>
              <w:tc>
                <w:tcPr>
                  <w:tcW w:w="717" w:type="pct"/>
                  <w:vAlign w:val="center"/>
                </w:tcPr>
                <w:p w14:paraId="51FC0724">
                  <w:pPr>
                    <w:pStyle w:val="75"/>
                    <w:adjustRightInd w:val="0"/>
                    <w:snapToGrid w:val="0"/>
                    <w:spacing w:line="240" w:lineRule="auto"/>
                    <w:rPr>
                      <w:rFonts w:cs="Times New Roman"/>
                      <w:szCs w:val="21"/>
                    </w:rPr>
                  </w:pPr>
                  <w:r>
                    <w:rPr>
                      <w:rFonts w:cs="Times New Roman"/>
                      <w:szCs w:val="21"/>
                    </w:rPr>
                    <w:t>60</w:t>
                  </w:r>
                </w:p>
              </w:tc>
              <w:tc>
                <w:tcPr>
                  <w:tcW w:w="576" w:type="pct"/>
                  <w:vMerge w:val="restart"/>
                  <w:vAlign w:val="center"/>
                </w:tcPr>
                <w:p w14:paraId="42DAE166">
                  <w:pPr>
                    <w:pStyle w:val="75"/>
                    <w:adjustRightInd w:val="0"/>
                    <w:snapToGrid w:val="0"/>
                    <w:spacing w:line="240" w:lineRule="auto"/>
                    <w:rPr>
                      <w:rFonts w:cs="Times New Roman"/>
                      <w:szCs w:val="21"/>
                    </w:rPr>
                  </w:pPr>
                  <w:r>
                    <w:rPr>
                      <w:rFonts w:cs="Times New Roman"/>
                      <w:szCs w:val="21"/>
                    </w:rPr>
                    <w:t>µg/m</w:t>
                  </w:r>
                  <w:r>
                    <w:rPr>
                      <w:rFonts w:cs="Times New Roman"/>
                      <w:szCs w:val="21"/>
                      <w:vertAlign w:val="superscript"/>
                    </w:rPr>
                    <w:t>3</w:t>
                  </w:r>
                </w:p>
              </w:tc>
              <w:tc>
                <w:tcPr>
                  <w:tcW w:w="527" w:type="pct"/>
                  <w:vMerge w:val="restart"/>
                  <w:vAlign w:val="center"/>
                </w:tcPr>
                <w:p w14:paraId="363B5F18">
                  <w:pPr>
                    <w:pStyle w:val="75"/>
                    <w:adjustRightInd w:val="0"/>
                    <w:snapToGrid w:val="0"/>
                    <w:spacing w:line="240" w:lineRule="auto"/>
                    <w:rPr>
                      <w:rFonts w:cs="Times New Roman"/>
                      <w:szCs w:val="21"/>
                    </w:rPr>
                  </w:pPr>
                  <w:r>
                    <w:rPr>
                      <w:rFonts w:cs="Times New Roman"/>
                      <w:szCs w:val="21"/>
                    </w:rPr>
                    <w:t>GB3095-2012二级标准及修改单要求</w:t>
                  </w:r>
                </w:p>
              </w:tc>
            </w:tr>
            <w:tr w14:paraId="4D41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1E7905B4">
                  <w:pPr>
                    <w:pStyle w:val="75"/>
                    <w:adjustRightInd w:val="0"/>
                    <w:snapToGrid w:val="0"/>
                    <w:spacing w:line="240" w:lineRule="auto"/>
                    <w:rPr>
                      <w:rFonts w:cs="Times New Roman"/>
                      <w:szCs w:val="21"/>
                    </w:rPr>
                  </w:pPr>
                </w:p>
              </w:tc>
              <w:tc>
                <w:tcPr>
                  <w:tcW w:w="1549" w:type="pct"/>
                  <w:vMerge w:val="continue"/>
                  <w:vAlign w:val="center"/>
                </w:tcPr>
                <w:p w14:paraId="6511D0C5">
                  <w:pPr>
                    <w:pStyle w:val="75"/>
                    <w:adjustRightInd w:val="0"/>
                    <w:snapToGrid w:val="0"/>
                    <w:spacing w:line="240" w:lineRule="auto"/>
                    <w:rPr>
                      <w:rFonts w:cs="Times New Roman"/>
                      <w:szCs w:val="21"/>
                    </w:rPr>
                  </w:pPr>
                </w:p>
              </w:tc>
              <w:tc>
                <w:tcPr>
                  <w:tcW w:w="1211" w:type="pct"/>
                  <w:vAlign w:val="center"/>
                </w:tcPr>
                <w:p w14:paraId="69204B31">
                  <w:pPr>
                    <w:pStyle w:val="75"/>
                    <w:adjustRightInd w:val="0"/>
                    <w:snapToGrid w:val="0"/>
                    <w:spacing w:line="240" w:lineRule="auto"/>
                    <w:rPr>
                      <w:rFonts w:cs="Times New Roman"/>
                      <w:szCs w:val="21"/>
                    </w:rPr>
                  </w:pPr>
                  <w:r>
                    <w:rPr>
                      <w:rFonts w:cs="Times New Roman"/>
                      <w:szCs w:val="21"/>
                    </w:rPr>
                    <w:t>24小时平均</w:t>
                  </w:r>
                </w:p>
              </w:tc>
              <w:tc>
                <w:tcPr>
                  <w:tcW w:w="717" w:type="pct"/>
                  <w:vAlign w:val="center"/>
                </w:tcPr>
                <w:p w14:paraId="373A0BA9">
                  <w:pPr>
                    <w:pStyle w:val="75"/>
                    <w:adjustRightInd w:val="0"/>
                    <w:snapToGrid w:val="0"/>
                    <w:spacing w:line="240" w:lineRule="auto"/>
                    <w:rPr>
                      <w:rFonts w:cs="Times New Roman"/>
                      <w:szCs w:val="21"/>
                    </w:rPr>
                  </w:pPr>
                  <w:r>
                    <w:rPr>
                      <w:rFonts w:cs="Times New Roman"/>
                      <w:szCs w:val="21"/>
                    </w:rPr>
                    <w:t>150</w:t>
                  </w:r>
                </w:p>
              </w:tc>
              <w:tc>
                <w:tcPr>
                  <w:tcW w:w="576" w:type="pct"/>
                  <w:vMerge w:val="continue"/>
                  <w:vAlign w:val="center"/>
                </w:tcPr>
                <w:p w14:paraId="33B1603E">
                  <w:pPr>
                    <w:pStyle w:val="75"/>
                    <w:adjustRightInd w:val="0"/>
                    <w:snapToGrid w:val="0"/>
                    <w:spacing w:line="240" w:lineRule="auto"/>
                    <w:rPr>
                      <w:rFonts w:cs="Times New Roman"/>
                      <w:szCs w:val="21"/>
                    </w:rPr>
                  </w:pPr>
                </w:p>
              </w:tc>
              <w:tc>
                <w:tcPr>
                  <w:tcW w:w="527" w:type="pct"/>
                  <w:vMerge w:val="continue"/>
                  <w:vAlign w:val="center"/>
                </w:tcPr>
                <w:p w14:paraId="3D8761C6">
                  <w:pPr>
                    <w:pStyle w:val="75"/>
                    <w:adjustRightInd w:val="0"/>
                    <w:snapToGrid w:val="0"/>
                    <w:spacing w:line="240" w:lineRule="auto"/>
                    <w:rPr>
                      <w:rFonts w:cs="Times New Roman"/>
                      <w:szCs w:val="21"/>
                    </w:rPr>
                  </w:pPr>
                </w:p>
              </w:tc>
            </w:tr>
            <w:tr w14:paraId="107F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3F56B8AB">
                  <w:pPr>
                    <w:pStyle w:val="75"/>
                    <w:adjustRightInd w:val="0"/>
                    <w:snapToGrid w:val="0"/>
                    <w:spacing w:line="240" w:lineRule="auto"/>
                    <w:rPr>
                      <w:rFonts w:cs="Times New Roman"/>
                      <w:szCs w:val="21"/>
                    </w:rPr>
                  </w:pPr>
                </w:p>
              </w:tc>
              <w:tc>
                <w:tcPr>
                  <w:tcW w:w="1549" w:type="pct"/>
                  <w:vMerge w:val="continue"/>
                  <w:vAlign w:val="center"/>
                </w:tcPr>
                <w:p w14:paraId="7EE9A9D3">
                  <w:pPr>
                    <w:pStyle w:val="75"/>
                    <w:adjustRightInd w:val="0"/>
                    <w:snapToGrid w:val="0"/>
                    <w:spacing w:line="240" w:lineRule="auto"/>
                    <w:rPr>
                      <w:rFonts w:cs="Times New Roman"/>
                      <w:szCs w:val="21"/>
                    </w:rPr>
                  </w:pPr>
                </w:p>
              </w:tc>
              <w:tc>
                <w:tcPr>
                  <w:tcW w:w="1211" w:type="pct"/>
                  <w:vAlign w:val="center"/>
                </w:tcPr>
                <w:p w14:paraId="1E21D93A">
                  <w:pPr>
                    <w:pStyle w:val="75"/>
                    <w:adjustRightInd w:val="0"/>
                    <w:snapToGrid w:val="0"/>
                    <w:spacing w:line="240" w:lineRule="auto"/>
                    <w:rPr>
                      <w:rFonts w:cs="Times New Roman"/>
                      <w:szCs w:val="21"/>
                    </w:rPr>
                  </w:pPr>
                  <w:r>
                    <w:rPr>
                      <w:rFonts w:cs="Times New Roman"/>
                      <w:szCs w:val="21"/>
                    </w:rPr>
                    <w:t>1小时平均</w:t>
                  </w:r>
                </w:p>
              </w:tc>
              <w:tc>
                <w:tcPr>
                  <w:tcW w:w="717" w:type="pct"/>
                  <w:vAlign w:val="center"/>
                </w:tcPr>
                <w:p w14:paraId="103FDAF1">
                  <w:pPr>
                    <w:pStyle w:val="75"/>
                    <w:adjustRightInd w:val="0"/>
                    <w:snapToGrid w:val="0"/>
                    <w:spacing w:line="240" w:lineRule="auto"/>
                    <w:rPr>
                      <w:rFonts w:cs="Times New Roman"/>
                      <w:szCs w:val="21"/>
                    </w:rPr>
                  </w:pPr>
                  <w:r>
                    <w:rPr>
                      <w:rFonts w:cs="Times New Roman"/>
                      <w:szCs w:val="21"/>
                    </w:rPr>
                    <w:t>500</w:t>
                  </w:r>
                </w:p>
              </w:tc>
              <w:tc>
                <w:tcPr>
                  <w:tcW w:w="576" w:type="pct"/>
                  <w:vMerge w:val="continue"/>
                  <w:vAlign w:val="center"/>
                </w:tcPr>
                <w:p w14:paraId="78CDB60D">
                  <w:pPr>
                    <w:pStyle w:val="75"/>
                    <w:adjustRightInd w:val="0"/>
                    <w:snapToGrid w:val="0"/>
                    <w:spacing w:line="240" w:lineRule="auto"/>
                    <w:rPr>
                      <w:rFonts w:cs="Times New Roman"/>
                      <w:szCs w:val="21"/>
                    </w:rPr>
                  </w:pPr>
                </w:p>
              </w:tc>
              <w:tc>
                <w:tcPr>
                  <w:tcW w:w="527" w:type="pct"/>
                  <w:vMerge w:val="continue"/>
                  <w:vAlign w:val="center"/>
                </w:tcPr>
                <w:p w14:paraId="02795997">
                  <w:pPr>
                    <w:pStyle w:val="75"/>
                    <w:adjustRightInd w:val="0"/>
                    <w:snapToGrid w:val="0"/>
                    <w:spacing w:line="240" w:lineRule="auto"/>
                    <w:rPr>
                      <w:rFonts w:cs="Times New Roman"/>
                      <w:szCs w:val="21"/>
                    </w:rPr>
                  </w:pPr>
                </w:p>
              </w:tc>
            </w:tr>
            <w:tr w14:paraId="4F98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restart"/>
                  <w:vAlign w:val="center"/>
                </w:tcPr>
                <w:p w14:paraId="5DE61E1B">
                  <w:pPr>
                    <w:pStyle w:val="75"/>
                    <w:adjustRightInd w:val="0"/>
                    <w:snapToGrid w:val="0"/>
                    <w:spacing w:line="240" w:lineRule="auto"/>
                    <w:rPr>
                      <w:rFonts w:cs="Times New Roman"/>
                      <w:szCs w:val="21"/>
                    </w:rPr>
                  </w:pPr>
                  <w:r>
                    <w:rPr>
                      <w:rFonts w:cs="Times New Roman"/>
                      <w:szCs w:val="21"/>
                    </w:rPr>
                    <w:t>2</w:t>
                  </w:r>
                </w:p>
              </w:tc>
              <w:tc>
                <w:tcPr>
                  <w:tcW w:w="1549" w:type="pct"/>
                  <w:vMerge w:val="restart"/>
                  <w:vAlign w:val="center"/>
                </w:tcPr>
                <w:p w14:paraId="5AFE5F40">
                  <w:pPr>
                    <w:pStyle w:val="75"/>
                    <w:adjustRightInd w:val="0"/>
                    <w:snapToGrid w:val="0"/>
                    <w:spacing w:line="240" w:lineRule="auto"/>
                    <w:rPr>
                      <w:rFonts w:cs="Times New Roman"/>
                      <w:szCs w:val="21"/>
                    </w:rPr>
                  </w:pPr>
                  <w:r>
                    <w:rPr>
                      <w:rFonts w:cs="Times New Roman"/>
                      <w:szCs w:val="21"/>
                    </w:rPr>
                    <w:t>二氧化氮（NO</w:t>
                  </w:r>
                  <w:r>
                    <w:rPr>
                      <w:rFonts w:cs="Times New Roman"/>
                      <w:szCs w:val="21"/>
                      <w:vertAlign w:val="subscript"/>
                    </w:rPr>
                    <w:t>2</w:t>
                  </w:r>
                  <w:r>
                    <w:rPr>
                      <w:rFonts w:cs="Times New Roman"/>
                      <w:szCs w:val="21"/>
                    </w:rPr>
                    <w:t>）</w:t>
                  </w:r>
                </w:p>
              </w:tc>
              <w:tc>
                <w:tcPr>
                  <w:tcW w:w="1211" w:type="pct"/>
                  <w:vAlign w:val="center"/>
                </w:tcPr>
                <w:p w14:paraId="0BACB210">
                  <w:pPr>
                    <w:pStyle w:val="75"/>
                    <w:adjustRightInd w:val="0"/>
                    <w:snapToGrid w:val="0"/>
                    <w:spacing w:line="240" w:lineRule="auto"/>
                    <w:rPr>
                      <w:rFonts w:cs="Times New Roman"/>
                      <w:szCs w:val="21"/>
                    </w:rPr>
                  </w:pPr>
                  <w:r>
                    <w:rPr>
                      <w:rFonts w:cs="Times New Roman"/>
                      <w:szCs w:val="21"/>
                    </w:rPr>
                    <w:t>年平均</w:t>
                  </w:r>
                </w:p>
              </w:tc>
              <w:tc>
                <w:tcPr>
                  <w:tcW w:w="717" w:type="pct"/>
                  <w:vAlign w:val="center"/>
                </w:tcPr>
                <w:p w14:paraId="5B027E8E">
                  <w:pPr>
                    <w:pStyle w:val="75"/>
                    <w:adjustRightInd w:val="0"/>
                    <w:snapToGrid w:val="0"/>
                    <w:spacing w:line="240" w:lineRule="auto"/>
                    <w:rPr>
                      <w:rFonts w:cs="Times New Roman"/>
                      <w:szCs w:val="21"/>
                    </w:rPr>
                  </w:pPr>
                  <w:r>
                    <w:rPr>
                      <w:rFonts w:cs="Times New Roman"/>
                      <w:szCs w:val="21"/>
                    </w:rPr>
                    <w:t>40</w:t>
                  </w:r>
                </w:p>
              </w:tc>
              <w:tc>
                <w:tcPr>
                  <w:tcW w:w="576" w:type="pct"/>
                  <w:vMerge w:val="continue"/>
                  <w:vAlign w:val="center"/>
                </w:tcPr>
                <w:p w14:paraId="17672D2F">
                  <w:pPr>
                    <w:pStyle w:val="75"/>
                    <w:adjustRightInd w:val="0"/>
                    <w:snapToGrid w:val="0"/>
                    <w:spacing w:line="240" w:lineRule="auto"/>
                    <w:rPr>
                      <w:rFonts w:cs="Times New Roman"/>
                      <w:szCs w:val="21"/>
                    </w:rPr>
                  </w:pPr>
                </w:p>
              </w:tc>
              <w:tc>
                <w:tcPr>
                  <w:tcW w:w="527" w:type="pct"/>
                  <w:vMerge w:val="continue"/>
                  <w:vAlign w:val="center"/>
                </w:tcPr>
                <w:p w14:paraId="5DCA4F33">
                  <w:pPr>
                    <w:pStyle w:val="75"/>
                    <w:adjustRightInd w:val="0"/>
                    <w:snapToGrid w:val="0"/>
                    <w:spacing w:line="240" w:lineRule="auto"/>
                    <w:rPr>
                      <w:rFonts w:cs="Times New Roman"/>
                      <w:szCs w:val="21"/>
                    </w:rPr>
                  </w:pPr>
                </w:p>
              </w:tc>
            </w:tr>
            <w:tr w14:paraId="22D1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5B874003">
                  <w:pPr>
                    <w:pStyle w:val="75"/>
                    <w:adjustRightInd w:val="0"/>
                    <w:snapToGrid w:val="0"/>
                    <w:spacing w:line="240" w:lineRule="auto"/>
                    <w:rPr>
                      <w:rFonts w:cs="Times New Roman"/>
                      <w:szCs w:val="21"/>
                    </w:rPr>
                  </w:pPr>
                </w:p>
              </w:tc>
              <w:tc>
                <w:tcPr>
                  <w:tcW w:w="1549" w:type="pct"/>
                  <w:vMerge w:val="continue"/>
                  <w:vAlign w:val="center"/>
                </w:tcPr>
                <w:p w14:paraId="7EAA97D9">
                  <w:pPr>
                    <w:pStyle w:val="75"/>
                    <w:adjustRightInd w:val="0"/>
                    <w:snapToGrid w:val="0"/>
                    <w:spacing w:line="240" w:lineRule="auto"/>
                    <w:rPr>
                      <w:rFonts w:cs="Times New Roman"/>
                      <w:szCs w:val="21"/>
                    </w:rPr>
                  </w:pPr>
                </w:p>
              </w:tc>
              <w:tc>
                <w:tcPr>
                  <w:tcW w:w="1211" w:type="pct"/>
                  <w:vAlign w:val="center"/>
                </w:tcPr>
                <w:p w14:paraId="34171BDF">
                  <w:pPr>
                    <w:pStyle w:val="75"/>
                    <w:adjustRightInd w:val="0"/>
                    <w:snapToGrid w:val="0"/>
                    <w:spacing w:line="240" w:lineRule="auto"/>
                    <w:rPr>
                      <w:rFonts w:cs="Times New Roman"/>
                      <w:szCs w:val="21"/>
                    </w:rPr>
                  </w:pPr>
                  <w:r>
                    <w:rPr>
                      <w:rFonts w:cs="Times New Roman"/>
                      <w:szCs w:val="21"/>
                    </w:rPr>
                    <w:t>24小时平均</w:t>
                  </w:r>
                </w:p>
              </w:tc>
              <w:tc>
                <w:tcPr>
                  <w:tcW w:w="717" w:type="pct"/>
                  <w:vAlign w:val="center"/>
                </w:tcPr>
                <w:p w14:paraId="72A8105E">
                  <w:pPr>
                    <w:pStyle w:val="75"/>
                    <w:adjustRightInd w:val="0"/>
                    <w:snapToGrid w:val="0"/>
                    <w:spacing w:line="240" w:lineRule="auto"/>
                    <w:rPr>
                      <w:rFonts w:cs="Times New Roman"/>
                      <w:szCs w:val="21"/>
                    </w:rPr>
                  </w:pPr>
                  <w:r>
                    <w:rPr>
                      <w:rFonts w:cs="Times New Roman"/>
                      <w:szCs w:val="21"/>
                    </w:rPr>
                    <w:t>80</w:t>
                  </w:r>
                </w:p>
              </w:tc>
              <w:tc>
                <w:tcPr>
                  <w:tcW w:w="576" w:type="pct"/>
                  <w:vMerge w:val="continue"/>
                  <w:vAlign w:val="center"/>
                </w:tcPr>
                <w:p w14:paraId="5113B709">
                  <w:pPr>
                    <w:pStyle w:val="75"/>
                    <w:adjustRightInd w:val="0"/>
                    <w:snapToGrid w:val="0"/>
                    <w:spacing w:line="240" w:lineRule="auto"/>
                    <w:rPr>
                      <w:rFonts w:cs="Times New Roman"/>
                      <w:szCs w:val="21"/>
                    </w:rPr>
                  </w:pPr>
                </w:p>
              </w:tc>
              <w:tc>
                <w:tcPr>
                  <w:tcW w:w="527" w:type="pct"/>
                  <w:vMerge w:val="continue"/>
                  <w:vAlign w:val="center"/>
                </w:tcPr>
                <w:p w14:paraId="7924531E">
                  <w:pPr>
                    <w:pStyle w:val="75"/>
                    <w:adjustRightInd w:val="0"/>
                    <w:snapToGrid w:val="0"/>
                    <w:spacing w:line="240" w:lineRule="auto"/>
                    <w:rPr>
                      <w:rFonts w:cs="Times New Roman"/>
                      <w:szCs w:val="21"/>
                    </w:rPr>
                  </w:pPr>
                </w:p>
              </w:tc>
            </w:tr>
            <w:tr w14:paraId="39AC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464F4D06">
                  <w:pPr>
                    <w:pStyle w:val="75"/>
                    <w:adjustRightInd w:val="0"/>
                    <w:snapToGrid w:val="0"/>
                    <w:spacing w:line="240" w:lineRule="auto"/>
                    <w:rPr>
                      <w:rFonts w:cs="Times New Roman"/>
                      <w:szCs w:val="21"/>
                    </w:rPr>
                  </w:pPr>
                </w:p>
              </w:tc>
              <w:tc>
                <w:tcPr>
                  <w:tcW w:w="1549" w:type="pct"/>
                  <w:vMerge w:val="continue"/>
                  <w:vAlign w:val="center"/>
                </w:tcPr>
                <w:p w14:paraId="15D8E3DD">
                  <w:pPr>
                    <w:pStyle w:val="75"/>
                    <w:adjustRightInd w:val="0"/>
                    <w:snapToGrid w:val="0"/>
                    <w:spacing w:line="240" w:lineRule="auto"/>
                    <w:rPr>
                      <w:rFonts w:cs="Times New Roman"/>
                      <w:szCs w:val="21"/>
                    </w:rPr>
                  </w:pPr>
                </w:p>
              </w:tc>
              <w:tc>
                <w:tcPr>
                  <w:tcW w:w="1211" w:type="pct"/>
                  <w:vAlign w:val="center"/>
                </w:tcPr>
                <w:p w14:paraId="357497B5">
                  <w:pPr>
                    <w:pStyle w:val="75"/>
                    <w:adjustRightInd w:val="0"/>
                    <w:snapToGrid w:val="0"/>
                    <w:spacing w:line="240" w:lineRule="auto"/>
                    <w:rPr>
                      <w:rFonts w:cs="Times New Roman"/>
                      <w:szCs w:val="21"/>
                    </w:rPr>
                  </w:pPr>
                  <w:r>
                    <w:rPr>
                      <w:rFonts w:cs="Times New Roman"/>
                      <w:szCs w:val="21"/>
                    </w:rPr>
                    <w:t>1小时平均</w:t>
                  </w:r>
                </w:p>
              </w:tc>
              <w:tc>
                <w:tcPr>
                  <w:tcW w:w="717" w:type="pct"/>
                  <w:vAlign w:val="center"/>
                </w:tcPr>
                <w:p w14:paraId="421071A2">
                  <w:pPr>
                    <w:pStyle w:val="75"/>
                    <w:adjustRightInd w:val="0"/>
                    <w:snapToGrid w:val="0"/>
                    <w:spacing w:line="240" w:lineRule="auto"/>
                    <w:rPr>
                      <w:rFonts w:cs="Times New Roman"/>
                      <w:szCs w:val="21"/>
                    </w:rPr>
                  </w:pPr>
                  <w:r>
                    <w:rPr>
                      <w:rFonts w:cs="Times New Roman"/>
                      <w:szCs w:val="21"/>
                    </w:rPr>
                    <w:t>200</w:t>
                  </w:r>
                </w:p>
              </w:tc>
              <w:tc>
                <w:tcPr>
                  <w:tcW w:w="576" w:type="pct"/>
                  <w:vMerge w:val="continue"/>
                  <w:vAlign w:val="center"/>
                </w:tcPr>
                <w:p w14:paraId="5012E8BB">
                  <w:pPr>
                    <w:pStyle w:val="75"/>
                    <w:adjustRightInd w:val="0"/>
                    <w:snapToGrid w:val="0"/>
                    <w:spacing w:line="240" w:lineRule="auto"/>
                    <w:rPr>
                      <w:rFonts w:cs="Times New Roman"/>
                      <w:szCs w:val="21"/>
                    </w:rPr>
                  </w:pPr>
                </w:p>
              </w:tc>
              <w:tc>
                <w:tcPr>
                  <w:tcW w:w="527" w:type="pct"/>
                  <w:vMerge w:val="continue"/>
                  <w:vAlign w:val="center"/>
                </w:tcPr>
                <w:p w14:paraId="51489551">
                  <w:pPr>
                    <w:pStyle w:val="75"/>
                    <w:adjustRightInd w:val="0"/>
                    <w:snapToGrid w:val="0"/>
                    <w:spacing w:line="240" w:lineRule="auto"/>
                    <w:rPr>
                      <w:rFonts w:cs="Times New Roman"/>
                      <w:szCs w:val="21"/>
                    </w:rPr>
                  </w:pPr>
                </w:p>
              </w:tc>
            </w:tr>
            <w:tr w14:paraId="2D9B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 w:hRule="atLeast"/>
              </w:trPr>
              <w:tc>
                <w:tcPr>
                  <w:tcW w:w="417" w:type="pct"/>
                  <w:vMerge w:val="restart"/>
                  <w:vAlign w:val="center"/>
                </w:tcPr>
                <w:p w14:paraId="748A686C">
                  <w:pPr>
                    <w:pStyle w:val="75"/>
                    <w:adjustRightInd w:val="0"/>
                    <w:snapToGrid w:val="0"/>
                    <w:spacing w:line="240" w:lineRule="auto"/>
                    <w:rPr>
                      <w:rFonts w:cs="Times New Roman"/>
                      <w:szCs w:val="21"/>
                    </w:rPr>
                  </w:pPr>
                  <w:r>
                    <w:rPr>
                      <w:rFonts w:cs="Times New Roman"/>
                      <w:szCs w:val="21"/>
                    </w:rPr>
                    <w:t>3</w:t>
                  </w:r>
                </w:p>
              </w:tc>
              <w:tc>
                <w:tcPr>
                  <w:tcW w:w="1549" w:type="pct"/>
                  <w:vMerge w:val="restart"/>
                  <w:vAlign w:val="center"/>
                </w:tcPr>
                <w:p w14:paraId="4098ED98">
                  <w:pPr>
                    <w:pStyle w:val="75"/>
                    <w:adjustRightInd w:val="0"/>
                    <w:snapToGrid w:val="0"/>
                    <w:spacing w:line="240" w:lineRule="auto"/>
                    <w:rPr>
                      <w:rFonts w:cs="Times New Roman"/>
                      <w:szCs w:val="21"/>
                    </w:rPr>
                  </w:pPr>
                  <w:r>
                    <w:rPr>
                      <w:rFonts w:cs="Times New Roman"/>
                      <w:szCs w:val="21"/>
                    </w:rPr>
                    <w:t>一氧化碳（CO）</w:t>
                  </w:r>
                </w:p>
              </w:tc>
              <w:tc>
                <w:tcPr>
                  <w:tcW w:w="1211" w:type="pct"/>
                  <w:vAlign w:val="center"/>
                </w:tcPr>
                <w:p w14:paraId="1F4123F3">
                  <w:pPr>
                    <w:pStyle w:val="75"/>
                    <w:adjustRightInd w:val="0"/>
                    <w:snapToGrid w:val="0"/>
                    <w:spacing w:line="240" w:lineRule="auto"/>
                    <w:rPr>
                      <w:rFonts w:cs="Times New Roman"/>
                      <w:szCs w:val="21"/>
                    </w:rPr>
                  </w:pPr>
                  <w:r>
                    <w:rPr>
                      <w:rFonts w:cs="Times New Roman"/>
                      <w:szCs w:val="21"/>
                    </w:rPr>
                    <w:t>24小时平均</w:t>
                  </w:r>
                </w:p>
              </w:tc>
              <w:tc>
                <w:tcPr>
                  <w:tcW w:w="717" w:type="pct"/>
                  <w:vAlign w:val="center"/>
                </w:tcPr>
                <w:p w14:paraId="55069867">
                  <w:pPr>
                    <w:pStyle w:val="75"/>
                    <w:adjustRightInd w:val="0"/>
                    <w:snapToGrid w:val="0"/>
                    <w:spacing w:line="240" w:lineRule="auto"/>
                    <w:rPr>
                      <w:rFonts w:cs="Times New Roman"/>
                      <w:szCs w:val="21"/>
                    </w:rPr>
                  </w:pPr>
                  <w:r>
                    <w:rPr>
                      <w:rFonts w:cs="Times New Roman"/>
                      <w:szCs w:val="21"/>
                    </w:rPr>
                    <w:t>4</w:t>
                  </w:r>
                </w:p>
              </w:tc>
              <w:tc>
                <w:tcPr>
                  <w:tcW w:w="576" w:type="pct"/>
                  <w:vMerge w:val="restart"/>
                  <w:vAlign w:val="center"/>
                </w:tcPr>
                <w:p w14:paraId="1D748C89">
                  <w:pPr>
                    <w:pStyle w:val="75"/>
                    <w:adjustRightInd w:val="0"/>
                    <w:snapToGrid w:val="0"/>
                    <w:spacing w:line="240" w:lineRule="auto"/>
                    <w:rPr>
                      <w:rFonts w:cs="Times New Roman"/>
                      <w:szCs w:val="21"/>
                    </w:rPr>
                  </w:pPr>
                  <w:r>
                    <w:rPr>
                      <w:rFonts w:cs="Times New Roman"/>
                      <w:szCs w:val="21"/>
                    </w:rPr>
                    <w:t>mg/m</w:t>
                  </w:r>
                  <w:r>
                    <w:rPr>
                      <w:rFonts w:cs="Times New Roman"/>
                      <w:szCs w:val="21"/>
                      <w:vertAlign w:val="superscript"/>
                    </w:rPr>
                    <w:t>3</w:t>
                  </w:r>
                </w:p>
              </w:tc>
              <w:tc>
                <w:tcPr>
                  <w:tcW w:w="527" w:type="pct"/>
                  <w:vMerge w:val="continue"/>
                  <w:vAlign w:val="center"/>
                </w:tcPr>
                <w:p w14:paraId="3C77DD2D">
                  <w:pPr>
                    <w:pStyle w:val="75"/>
                    <w:adjustRightInd w:val="0"/>
                    <w:snapToGrid w:val="0"/>
                    <w:spacing w:line="240" w:lineRule="auto"/>
                    <w:rPr>
                      <w:rFonts w:cs="Times New Roman"/>
                      <w:szCs w:val="21"/>
                    </w:rPr>
                  </w:pPr>
                </w:p>
              </w:tc>
            </w:tr>
            <w:tr w14:paraId="31BC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20323DC1">
                  <w:pPr>
                    <w:pStyle w:val="75"/>
                    <w:adjustRightInd w:val="0"/>
                    <w:snapToGrid w:val="0"/>
                    <w:spacing w:line="240" w:lineRule="auto"/>
                    <w:rPr>
                      <w:rFonts w:cs="Times New Roman"/>
                      <w:szCs w:val="21"/>
                    </w:rPr>
                  </w:pPr>
                </w:p>
              </w:tc>
              <w:tc>
                <w:tcPr>
                  <w:tcW w:w="1549" w:type="pct"/>
                  <w:vMerge w:val="continue"/>
                  <w:vAlign w:val="center"/>
                </w:tcPr>
                <w:p w14:paraId="3CD34447">
                  <w:pPr>
                    <w:pStyle w:val="75"/>
                    <w:adjustRightInd w:val="0"/>
                    <w:snapToGrid w:val="0"/>
                    <w:spacing w:line="240" w:lineRule="auto"/>
                    <w:rPr>
                      <w:rFonts w:cs="Times New Roman"/>
                      <w:szCs w:val="21"/>
                    </w:rPr>
                  </w:pPr>
                </w:p>
              </w:tc>
              <w:tc>
                <w:tcPr>
                  <w:tcW w:w="1211" w:type="pct"/>
                  <w:vAlign w:val="center"/>
                </w:tcPr>
                <w:p w14:paraId="224ED156">
                  <w:pPr>
                    <w:pStyle w:val="75"/>
                    <w:adjustRightInd w:val="0"/>
                    <w:snapToGrid w:val="0"/>
                    <w:spacing w:line="240" w:lineRule="auto"/>
                    <w:rPr>
                      <w:rFonts w:cs="Times New Roman"/>
                      <w:szCs w:val="21"/>
                    </w:rPr>
                  </w:pPr>
                  <w:r>
                    <w:rPr>
                      <w:rFonts w:cs="Times New Roman"/>
                      <w:szCs w:val="21"/>
                    </w:rPr>
                    <w:t>1小时平均</w:t>
                  </w:r>
                </w:p>
              </w:tc>
              <w:tc>
                <w:tcPr>
                  <w:tcW w:w="717" w:type="pct"/>
                  <w:vAlign w:val="center"/>
                </w:tcPr>
                <w:p w14:paraId="7D45097E">
                  <w:pPr>
                    <w:pStyle w:val="75"/>
                    <w:adjustRightInd w:val="0"/>
                    <w:snapToGrid w:val="0"/>
                    <w:spacing w:line="240" w:lineRule="auto"/>
                    <w:rPr>
                      <w:rFonts w:cs="Times New Roman"/>
                      <w:szCs w:val="21"/>
                    </w:rPr>
                  </w:pPr>
                  <w:r>
                    <w:rPr>
                      <w:rFonts w:cs="Times New Roman"/>
                      <w:szCs w:val="21"/>
                    </w:rPr>
                    <w:t>10</w:t>
                  </w:r>
                </w:p>
              </w:tc>
              <w:tc>
                <w:tcPr>
                  <w:tcW w:w="576" w:type="pct"/>
                  <w:vMerge w:val="continue"/>
                  <w:vAlign w:val="center"/>
                </w:tcPr>
                <w:p w14:paraId="63BA7C3A">
                  <w:pPr>
                    <w:pStyle w:val="75"/>
                    <w:adjustRightInd w:val="0"/>
                    <w:snapToGrid w:val="0"/>
                    <w:spacing w:line="240" w:lineRule="auto"/>
                    <w:rPr>
                      <w:rFonts w:cs="Times New Roman"/>
                      <w:szCs w:val="21"/>
                    </w:rPr>
                  </w:pPr>
                </w:p>
              </w:tc>
              <w:tc>
                <w:tcPr>
                  <w:tcW w:w="527" w:type="pct"/>
                  <w:vMerge w:val="continue"/>
                  <w:vAlign w:val="center"/>
                </w:tcPr>
                <w:p w14:paraId="32552CEA">
                  <w:pPr>
                    <w:pStyle w:val="75"/>
                    <w:adjustRightInd w:val="0"/>
                    <w:snapToGrid w:val="0"/>
                    <w:spacing w:line="240" w:lineRule="auto"/>
                    <w:rPr>
                      <w:rFonts w:cs="Times New Roman"/>
                      <w:szCs w:val="21"/>
                    </w:rPr>
                  </w:pPr>
                </w:p>
              </w:tc>
            </w:tr>
            <w:tr w14:paraId="788A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restart"/>
                  <w:vAlign w:val="center"/>
                </w:tcPr>
                <w:p w14:paraId="14CB5E4E">
                  <w:pPr>
                    <w:pStyle w:val="75"/>
                    <w:adjustRightInd w:val="0"/>
                    <w:snapToGrid w:val="0"/>
                    <w:spacing w:line="240" w:lineRule="auto"/>
                    <w:rPr>
                      <w:rFonts w:cs="Times New Roman"/>
                      <w:szCs w:val="21"/>
                    </w:rPr>
                  </w:pPr>
                  <w:r>
                    <w:rPr>
                      <w:rFonts w:cs="Times New Roman"/>
                      <w:szCs w:val="21"/>
                    </w:rPr>
                    <w:t>4</w:t>
                  </w:r>
                </w:p>
              </w:tc>
              <w:tc>
                <w:tcPr>
                  <w:tcW w:w="1549" w:type="pct"/>
                  <w:vMerge w:val="restart"/>
                  <w:vAlign w:val="center"/>
                </w:tcPr>
                <w:p w14:paraId="257A7C87">
                  <w:pPr>
                    <w:pStyle w:val="75"/>
                    <w:adjustRightInd w:val="0"/>
                    <w:snapToGrid w:val="0"/>
                    <w:spacing w:line="240" w:lineRule="auto"/>
                    <w:rPr>
                      <w:rFonts w:cs="Times New Roman"/>
                      <w:szCs w:val="21"/>
                    </w:rPr>
                  </w:pPr>
                  <w:r>
                    <w:rPr>
                      <w:rFonts w:cs="Times New Roman"/>
                      <w:szCs w:val="21"/>
                    </w:rPr>
                    <w:t>臭氧（O</w:t>
                  </w:r>
                  <w:r>
                    <w:rPr>
                      <w:rFonts w:cs="Times New Roman"/>
                      <w:szCs w:val="21"/>
                      <w:vertAlign w:val="subscript"/>
                    </w:rPr>
                    <w:t>3</w:t>
                  </w:r>
                  <w:r>
                    <w:rPr>
                      <w:rFonts w:cs="Times New Roman"/>
                      <w:szCs w:val="21"/>
                    </w:rPr>
                    <w:t>）</w:t>
                  </w:r>
                </w:p>
              </w:tc>
              <w:tc>
                <w:tcPr>
                  <w:tcW w:w="1211" w:type="pct"/>
                  <w:vAlign w:val="center"/>
                </w:tcPr>
                <w:p w14:paraId="7D8BA5F0">
                  <w:pPr>
                    <w:pStyle w:val="75"/>
                    <w:adjustRightInd w:val="0"/>
                    <w:snapToGrid w:val="0"/>
                    <w:spacing w:line="240" w:lineRule="auto"/>
                    <w:rPr>
                      <w:rFonts w:cs="Times New Roman"/>
                      <w:szCs w:val="21"/>
                    </w:rPr>
                  </w:pPr>
                  <w:r>
                    <w:rPr>
                      <w:rFonts w:cs="Times New Roman"/>
                      <w:szCs w:val="21"/>
                    </w:rPr>
                    <w:t>日最大8小时平均</w:t>
                  </w:r>
                </w:p>
              </w:tc>
              <w:tc>
                <w:tcPr>
                  <w:tcW w:w="717" w:type="pct"/>
                  <w:vAlign w:val="center"/>
                </w:tcPr>
                <w:p w14:paraId="747A7BEE">
                  <w:pPr>
                    <w:pStyle w:val="75"/>
                    <w:adjustRightInd w:val="0"/>
                    <w:snapToGrid w:val="0"/>
                    <w:spacing w:line="240" w:lineRule="auto"/>
                    <w:rPr>
                      <w:rFonts w:cs="Times New Roman"/>
                      <w:szCs w:val="21"/>
                    </w:rPr>
                  </w:pPr>
                  <w:r>
                    <w:rPr>
                      <w:rFonts w:cs="Times New Roman"/>
                      <w:szCs w:val="21"/>
                    </w:rPr>
                    <w:t>160</w:t>
                  </w:r>
                </w:p>
              </w:tc>
              <w:tc>
                <w:tcPr>
                  <w:tcW w:w="576" w:type="pct"/>
                  <w:vMerge w:val="restart"/>
                  <w:vAlign w:val="center"/>
                </w:tcPr>
                <w:p w14:paraId="7D23C1E6">
                  <w:pPr>
                    <w:pStyle w:val="75"/>
                    <w:adjustRightInd w:val="0"/>
                    <w:snapToGrid w:val="0"/>
                    <w:spacing w:line="240" w:lineRule="auto"/>
                    <w:rPr>
                      <w:rFonts w:cs="Times New Roman"/>
                      <w:szCs w:val="21"/>
                    </w:rPr>
                  </w:pPr>
                  <w:r>
                    <w:rPr>
                      <w:rFonts w:cs="Times New Roman"/>
                      <w:szCs w:val="21"/>
                    </w:rPr>
                    <w:t>µg/m</w:t>
                  </w:r>
                  <w:r>
                    <w:rPr>
                      <w:rFonts w:cs="Times New Roman"/>
                      <w:szCs w:val="21"/>
                      <w:vertAlign w:val="superscript"/>
                    </w:rPr>
                    <w:t>3</w:t>
                  </w:r>
                </w:p>
              </w:tc>
              <w:tc>
                <w:tcPr>
                  <w:tcW w:w="527" w:type="pct"/>
                  <w:vMerge w:val="continue"/>
                  <w:vAlign w:val="center"/>
                </w:tcPr>
                <w:p w14:paraId="14E9BC9B">
                  <w:pPr>
                    <w:pStyle w:val="75"/>
                    <w:adjustRightInd w:val="0"/>
                    <w:snapToGrid w:val="0"/>
                    <w:spacing w:line="240" w:lineRule="auto"/>
                    <w:rPr>
                      <w:rFonts w:cs="Times New Roman"/>
                      <w:szCs w:val="21"/>
                    </w:rPr>
                  </w:pPr>
                </w:p>
              </w:tc>
            </w:tr>
            <w:tr w14:paraId="77F7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5E596DC6">
                  <w:pPr>
                    <w:pStyle w:val="75"/>
                    <w:adjustRightInd w:val="0"/>
                    <w:snapToGrid w:val="0"/>
                    <w:spacing w:line="240" w:lineRule="auto"/>
                    <w:rPr>
                      <w:rFonts w:cs="Times New Roman"/>
                      <w:szCs w:val="21"/>
                    </w:rPr>
                  </w:pPr>
                </w:p>
              </w:tc>
              <w:tc>
                <w:tcPr>
                  <w:tcW w:w="1549" w:type="pct"/>
                  <w:vMerge w:val="continue"/>
                  <w:vAlign w:val="center"/>
                </w:tcPr>
                <w:p w14:paraId="19A8100E">
                  <w:pPr>
                    <w:pStyle w:val="75"/>
                    <w:adjustRightInd w:val="0"/>
                    <w:snapToGrid w:val="0"/>
                    <w:spacing w:line="240" w:lineRule="auto"/>
                    <w:rPr>
                      <w:rFonts w:cs="Times New Roman"/>
                      <w:szCs w:val="21"/>
                    </w:rPr>
                  </w:pPr>
                </w:p>
              </w:tc>
              <w:tc>
                <w:tcPr>
                  <w:tcW w:w="1211" w:type="pct"/>
                  <w:vAlign w:val="center"/>
                </w:tcPr>
                <w:p w14:paraId="2AECE965">
                  <w:pPr>
                    <w:pStyle w:val="75"/>
                    <w:adjustRightInd w:val="0"/>
                    <w:snapToGrid w:val="0"/>
                    <w:spacing w:line="240" w:lineRule="auto"/>
                    <w:rPr>
                      <w:rFonts w:cs="Times New Roman"/>
                      <w:szCs w:val="21"/>
                    </w:rPr>
                  </w:pPr>
                  <w:r>
                    <w:rPr>
                      <w:rFonts w:cs="Times New Roman"/>
                      <w:szCs w:val="21"/>
                    </w:rPr>
                    <w:t>1小时平均</w:t>
                  </w:r>
                </w:p>
              </w:tc>
              <w:tc>
                <w:tcPr>
                  <w:tcW w:w="717" w:type="pct"/>
                  <w:vAlign w:val="center"/>
                </w:tcPr>
                <w:p w14:paraId="4A5681F3">
                  <w:pPr>
                    <w:pStyle w:val="75"/>
                    <w:adjustRightInd w:val="0"/>
                    <w:snapToGrid w:val="0"/>
                    <w:spacing w:line="240" w:lineRule="auto"/>
                    <w:rPr>
                      <w:rFonts w:cs="Times New Roman"/>
                      <w:szCs w:val="21"/>
                    </w:rPr>
                  </w:pPr>
                  <w:r>
                    <w:rPr>
                      <w:rFonts w:cs="Times New Roman"/>
                      <w:szCs w:val="21"/>
                    </w:rPr>
                    <w:t>200</w:t>
                  </w:r>
                </w:p>
              </w:tc>
              <w:tc>
                <w:tcPr>
                  <w:tcW w:w="576" w:type="pct"/>
                  <w:vMerge w:val="continue"/>
                  <w:vAlign w:val="center"/>
                </w:tcPr>
                <w:p w14:paraId="7D4C13D4">
                  <w:pPr>
                    <w:pStyle w:val="75"/>
                    <w:adjustRightInd w:val="0"/>
                    <w:snapToGrid w:val="0"/>
                    <w:spacing w:line="240" w:lineRule="auto"/>
                    <w:rPr>
                      <w:rFonts w:cs="Times New Roman"/>
                      <w:szCs w:val="21"/>
                    </w:rPr>
                  </w:pPr>
                </w:p>
              </w:tc>
              <w:tc>
                <w:tcPr>
                  <w:tcW w:w="527" w:type="pct"/>
                  <w:vMerge w:val="continue"/>
                  <w:vAlign w:val="center"/>
                </w:tcPr>
                <w:p w14:paraId="6772ACBB">
                  <w:pPr>
                    <w:pStyle w:val="75"/>
                    <w:adjustRightInd w:val="0"/>
                    <w:snapToGrid w:val="0"/>
                    <w:spacing w:line="240" w:lineRule="auto"/>
                    <w:rPr>
                      <w:rFonts w:cs="Times New Roman"/>
                      <w:szCs w:val="21"/>
                    </w:rPr>
                  </w:pPr>
                </w:p>
              </w:tc>
            </w:tr>
            <w:tr w14:paraId="482D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Align w:val="center"/>
                </w:tcPr>
                <w:p w14:paraId="2A87B155">
                  <w:pPr>
                    <w:pStyle w:val="75"/>
                    <w:adjustRightInd w:val="0"/>
                    <w:snapToGrid w:val="0"/>
                    <w:spacing w:line="240" w:lineRule="auto"/>
                    <w:rPr>
                      <w:rFonts w:cs="Times New Roman"/>
                      <w:szCs w:val="21"/>
                    </w:rPr>
                  </w:pPr>
                  <w:r>
                    <w:rPr>
                      <w:rFonts w:cs="Times New Roman"/>
                      <w:szCs w:val="21"/>
                    </w:rPr>
                    <w:t>5</w:t>
                  </w:r>
                </w:p>
              </w:tc>
              <w:tc>
                <w:tcPr>
                  <w:tcW w:w="1549" w:type="pct"/>
                  <w:vAlign w:val="center"/>
                </w:tcPr>
                <w:p w14:paraId="339ADB2C">
                  <w:pPr>
                    <w:pStyle w:val="61"/>
                    <w:spacing w:beforeLines="0" w:afterLines="0" w:line="240" w:lineRule="auto"/>
                    <w:rPr>
                      <w:rFonts w:ascii="Times New Roman"/>
                      <w:szCs w:val="21"/>
                    </w:rPr>
                  </w:pPr>
                  <w:r>
                    <w:rPr>
                      <w:rFonts w:ascii="Times New Roman"/>
                      <w:szCs w:val="21"/>
                    </w:rPr>
                    <w:t>TSP</w:t>
                  </w:r>
                </w:p>
              </w:tc>
              <w:tc>
                <w:tcPr>
                  <w:tcW w:w="1211" w:type="pct"/>
                  <w:vAlign w:val="center"/>
                </w:tcPr>
                <w:p w14:paraId="43556275">
                  <w:pPr>
                    <w:pStyle w:val="61"/>
                    <w:spacing w:beforeLines="0" w:afterLines="0" w:line="240" w:lineRule="auto"/>
                    <w:rPr>
                      <w:rFonts w:ascii="Times New Roman"/>
                      <w:szCs w:val="21"/>
                    </w:rPr>
                  </w:pPr>
                  <w:r>
                    <w:rPr>
                      <w:rFonts w:ascii="Times New Roman"/>
                      <w:szCs w:val="21"/>
                    </w:rPr>
                    <w:t>日平均</w:t>
                  </w:r>
                </w:p>
              </w:tc>
              <w:tc>
                <w:tcPr>
                  <w:tcW w:w="717" w:type="pct"/>
                  <w:vAlign w:val="center"/>
                </w:tcPr>
                <w:p w14:paraId="02B3CAB6">
                  <w:pPr>
                    <w:pStyle w:val="75"/>
                    <w:adjustRightInd w:val="0"/>
                    <w:snapToGrid w:val="0"/>
                    <w:spacing w:line="240" w:lineRule="auto"/>
                    <w:rPr>
                      <w:rFonts w:cs="Times New Roman"/>
                      <w:szCs w:val="21"/>
                    </w:rPr>
                  </w:pPr>
                  <w:r>
                    <w:rPr>
                      <w:rFonts w:cs="Times New Roman"/>
                      <w:szCs w:val="21"/>
                    </w:rPr>
                    <w:t>300</w:t>
                  </w:r>
                </w:p>
              </w:tc>
              <w:tc>
                <w:tcPr>
                  <w:tcW w:w="576" w:type="pct"/>
                  <w:vMerge w:val="continue"/>
                  <w:vAlign w:val="center"/>
                </w:tcPr>
                <w:p w14:paraId="1A166013">
                  <w:pPr>
                    <w:pStyle w:val="75"/>
                    <w:adjustRightInd w:val="0"/>
                    <w:snapToGrid w:val="0"/>
                    <w:spacing w:line="240" w:lineRule="auto"/>
                    <w:rPr>
                      <w:rFonts w:cs="Times New Roman"/>
                      <w:szCs w:val="21"/>
                    </w:rPr>
                  </w:pPr>
                </w:p>
              </w:tc>
              <w:tc>
                <w:tcPr>
                  <w:tcW w:w="527" w:type="pct"/>
                  <w:vMerge w:val="continue"/>
                  <w:vAlign w:val="center"/>
                </w:tcPr>
                <w:p w14:paraId="3E1E433F">
                  <w:pPr>
                    <w:pStyle w:val="75"/>
                    <w:adjustRightInd w:val="0"/>
                    <w:snapToGrid w:val="0"/>
                    <w:spacing w:line="240" w:lineRule="auto"/>
                    <w:rPr>
                      <w:rFonts w:cs="Times New Roman"/>
                      <w:szCs w:val="21"/>
                    </w:rPr>
                  </w:pPr>
                </w:p>
              </w:tc>
            </w:tr>
            <w:tr w14:paraId="0893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restart"/>
                  <w:vAlign w:val="center"/>
                </w:tcPr>
                <w:p w14:paraId="5BC583BD">
                  <w:pPr>
                    <w:pStyle w:val="75"/>
                    <w:adjustRightInd w:val="0"/>
                    <w:snapToGrid w:val="0"/>
                    <w:spacing w:line="240" w:lineRule="auto"/>
                    <w:rPr>
                      <w:rFonts w:cs="Times New Roman"/>
                      <w:szCs w:val="21"/>
                    </w:rPr>
                  </w:pPr>
                  <w:r>
                    <w:rPr>
                      <w:rFonts w:cs="Times New Roman"/>
                      <w:szCs w:val="21"/>
                    </w:rPr>
                    <w:t>6</w:t>
                  </w:r>
                </w:p>
              </w:tc>
              <w:tc>
                <w:tcPr>
                  <w:tcW w:w="1549" w:type="pct"/>
                  <w:vMerge w:val="restart"/>
                  <w:vAlign w:val="center"/>
                </w:tcPr>
                <w:p w14:paraId="3438E7A6">
                  <w:pPr>
                    <w:pStyle w:val="75"/>
                    <w:adjustRightInd w:val="0"/>
                    <w:snapToGrid w:val="0"/>
                    <w:spacing w:line="240" w:lineRule="auto"/>
                    <w:rPr>
                      <w:rFonts w:cs="Times New Roman"/>
                      <w:szCs w:val="21"/>
                    </w:rPr>
                  </w:pPr>
                  <w:r>
                    <w:rPr>
                      <w:rFonts w:cs="Times New Roman"/>
                      <w:szCs w:val="21"/>
                    </w:rPr>
                    <w:t>颗粒物（粒径小于等于10μm）</w:t>
                  </w:r>
                </w:p>
              </w:tc>
              <w:tc>
                <w:tcPr>
                  <w:tcW w:w="1211" w:type="pct"/>
                  <w:vAlign w:val="center"/>
                </w:tcPr>
                <w:p w14:paraId="632F7465">
                  <w:pPr>
                    <w:pStyle w:val="75"/>
                    <w:adjustRightInd w:val="0"/>
                    <w:snapToGrid w:val="0"/>
                    <w:spacing w:line="240" w:lineRule="auto"/>
                    <w:rPr>
                      <w:rFonts w:cs="Times New Roman"/>
                      <w:szCs w:val="21"/>
                    </w:rPr>
                  </w:pPr>
                  <w:r>
                    <w:rPr>
                      <w:rFonts w:cs="Times New Roman"/>
                      <w:szCs w:val="21"/>
                    </w:rPr>
                    <w:t>年平均</w:t>
                  </w:r>
                </w:p>
              </w:tc>
              <w:tc>
                <w:tcPr>
                  <w:tcW w:w="717" w:type="pct"/>
                  <w:vAlign w:val="center"/>
                </w:tcPr>
                <w:p w14:paraId="53B43200">
                  <w:pPr>
                    <w:pStyle w:val="75"/>
                    <w:adjustRightInd w:val="0"/>
                    <w:snapToGrid w:val="0"/>
                    <w:spacing w:line="240" w:lineRule="auto"/>
                    <w:rPr>
                      <w:rFonts w:cs="Times New Roman"/>
                      <w:szCs w:val="21"/>
                    </w:rPr>
                  </w:pPr>
                  <w:r>
                    <w:rPr>
                      <w:rFonts w:cs="Times New Roman"/>
                      <w:szCs w:val="21"/>
                    </w:rPr>
                    <w:t>70</w:t>
                  </w:r>
                </w:p>
              </w:tc>
              <w:tc>
                <w:tcPr>
                  <w:tcW w:w="576" w:type="pct"/>
                  <w:vMerge w:val="continue"/>
                  <w:vAlign w:val="center"/>
                </w:tcPr>
                <w:p w14:paraId="6492BB2C">
                  <w:pPr>
                    <w:pStyle w:val="75"/>
                    <w:adjustRightInd w:val="0"/>
                    <w:snapToGrid w:val="0"/>
                    <w:spacing w:line="240" w:lineRule="auto"/>
                    <w:rPr>
                      <w:rFonts w:cs="Times New Roman"/>
                      <w:szCs w:val="21"/>
                    </w:rPr>
                  </w:pPr>
                </w:p>
              </w:tc>
              <w:tc>
                <w:tcPr>
                  <w:tcW w:w="527" w:type="pct"/>
                  <w:vMerge w:val="continue"/>
                  <w:vAlign w:val="center"/>
                </w:tcPr>
                <w:p w14:paraId="0378C574">
                  <w:pPr>
                    <w:pStyle w:val="75"/>
                    <w:adjustRightInd w:val="0"/>
                    <w:snapToGrid w:val="0"/>
                    <w:spacing w:line="240" w:lineRule="auto"/>
                    <w:rPr>
                      <w:rFonts w:cs="Times New Roman"/>
                      <w:szCs w:val="21"/>
                    </w:rPr>
                  </w:pPr>
                </w:p>
              </w:tc>
            </w:tr>
            <w:tr w14:paraId="5AE9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38498782">
                  <w:pPr>
                    <w:pStyle w:val="75"/>
                    <w:adjustRightInd w:val="0"/>
                    <w:snapToGrid w:val="0"/>
                    <w:spacing w:line="240" w:lineRule="auto"/>
                    <w:rPr>
                      <w:rFonts w:cs="Times New Roman"/>
                      <w:szCs w:val="21"/>
                    </w:rPr>
                  </w:pPr>
                </w:p>
              </w:tc>
              <w:tc>
                <w:tcPr>
                  <w:tcW w:w="1549" w:type="pct"/>
                  <w:vMerge w:val="continue"/>
                  <w:vAlign w:val="center"/>
                </w:tcPr>
                <w:p w14:paraId="2A1A4D19">
                  <w:pPr>
                    <w:pStyle w:val="75"/>
                    <w:adjustRightInd w:val="0"/>
                    <w:snapToGrid w:val="0"/>
                    <w:spacing w:line="240" w:lineRule="auto"/>
                    <w:rPr>
                      <w:rFonts w:cs="Times New Roman"/>
                      <w:szCs w:val="21"/>
                    </w:rPr>
                  </w:pPr>
                </w:p>
              </w:tc>
              <w:tc>
                <w:tcPr>
                  <w:tcW w:w="1211" w:type="pct"/>
                  <w:vAlign w:val="center"/>
                </w:tcPr>
                <w:p w14:paraId="2079667E">
                  <w:pPr>
                    <w:pStyle w:val="75"/>
                    <w:adjustRightInd w:val="0"/>
                    <w:snapToGrid w:val="0"/>
                    <w:spacing w:line="240" w:lineRule="auto"/>
                    <w:rPr>
                      <w:rFonts w:cs="Times New Roman"/>
                      <w:szCs w:val="21"/>
                    </w:rPr>
                  </w:pPr>
                  <w:r>
                    <w:rPr>
                      <w:rFonts w:cs="Times New Roman"/>
                      <w:szCs w:val="21"/>
                    </w:rPr>
                    <w:t>24小时平均</w:t>
                  </w:r>
                </w:p>
              </w:tc>
              <w:tc>
                <w:tcPr>
                  <w:tcW w:w="717" w:type="pct"/>
                  <w:vAlign w:val="center"/>
                </w:tcPr>
                <w:p w14:paraId="12CDB7E2">
                  <w:pPr>
                    <w:pStyle w:val="75"/>
                    <w:adjustRightInd w:val="0"/>
                    <w:snapToGrid w:val="0"/>
                    <w:spacing w:line="240" w:lineRule="auto"/>
                    <w:rPr>
                      <w:rFonts w:cs="Times New Roman"/>
                      <w:szCs w:val="21"/>
                    </w:rPr>
                  </w:pPr>
                  <w:r>
                    <w:rPr>
                      <w:rFonts w:cs="Times New Roman"/>
                      <w:szCs w:val="21"/>
                    </w:rPr>
                    <w:t>150</w:t>
                  </w:r>
                </w:p>
              </w:tc>
              <w:tc>
                <w:tcPr>
                  <w:tcW w:w="576" w:type="pct"/>
                  <w:vMerge w:val="continue"/>
                  <w:vAlign w:val="center"/>
                </w:tcPr>
                <w:p w14:paraId="0484F109">
                  <w:pPr>
                    <w:pStyle w:val="75"/>
                    <w:adjustRightInd w:val="0"/>
                    <w:snapToGrid w:val="0"/>
                    <w:spacing w:line="240" w:lineRule="auto"/>
                    <w:rPr>
                      <w:rFonts w:cs="Times New Roman"/>
                      <w:szCs w:val="21"/>
                    </w:rPr>
                  </w:pPr>
                </w:p>
              </w:tc>
              <w:tc>
                <w:tcPr>
                  <w:tcW w:w="527" w:type="pct"/>
                  <w:vMerge w:val="continue"/>
                  <w:vAlign w:val="center"/>
                </w:tcPr>
                <w:p w14:paraId="2E83C4BA">
                  <w:pPr>
                    <w:pStyle w:val="75"/>
                    <w:adjustRightInd w:val="0"/>
                    <w:snapToGrid w:val="0"/>
                    <w:spacing w:line="240" w:lineRule="auto"/>
                    <w:rPr>
                      <w:rFonts w:cs="Times New Roman"/>
                      <w:szCs w:val="21"/>
                    </w:rPr>
                  </w:pPr>
                </w:p>
              </w:tc>
            </w:tr>
            <w:tr w14:paraId="6DD1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restart"/>
                  <w:vAlign w:val="center"/>
                </w:tcPr>
                <w:p w14:paraId="5117E680">
                  <w:pPr>
                    <w:pStyle w:val="75"/>
                    <w:adjustRightInd w:val="0"/>
                    <w:snapToGrid w:val="0"/>
                    <w:spacing w:line="240" w:lineRule="auto"/>
                    <w:rPr>
                      <w:rFonts w:cs="Times New Roman"/>
                      <w:szCs w:val="21"/>
                    </w:rPr>
                  </w:pPr>
                  <w:r>
                    <w:rPr>
                      <w:rFonts w:cs="Times New Roman"/>
                      <w:szCs w:val="21"/>
                    </w:rPr>
                    <w:t>7</w:t>
                  </w:r>
                </w:p>
              </w:tc>
              <w:tc>
                <w:tcPr>
                  <w:tcW w:w="1549" w:type="pct"/>
                  <w:vMerge w:val="restart"/>
                  <w:vAlign w:val="center"/>
                </w:tcPr>
                <w:p w14:paraId="2481E2D3">
                  <w:pPr>
                    <w:pStyle w:val="75"/>
                    <w:adjustRightInd w:val="0"/>
                    <w:snapToGrid w:val="0"/>
                    <w:spacing w:line="240" w:lineRule="auto"/>
                    <w:rPr>
                      <w:rFonts w:cs="Times New Roman"/>
                      <w:szCs w:val="21"/>
                    </w:rPr>
                  </w:pPr>
                  <w:r>
                    <w:rPr>
                      <w:rFonts w:cs="Times New Roman"/>
                      <w:szCs w:val="21"/>
                    </w:rPr>
                    <w:t>颗粒物（粒径小于等于2.5μm）</w:t>
                  </w:r>
                </w:p>
              </w:tc>
              <w:tc>
                <w:tcPr>
                  <w:tcW w:w="1211" w:type="pct"/>
                  <w:vAlign w:val="center"/>
                </w:tcPr>
                <w:p w14:paraId="70826114">
                  <w:pPr>
                    <w:pStyle w:val="75"/>
                    <w:adjustRightInd w:val="0"/>
                    <w:snapToGrid w:val="0"/>
                    <w:spacing w:line="240" w:lineRule="auto"/>
                    <w:rPr>
                      <w:rFonts w:cs="Times New Roman"/>
                      <w:szCs w:val="21"/>
                    </w:rPr>
                  </w:pPr>
                  <w:r>
                    <w:rPr>
                      <w:rFonts w:cs="Times New Roman"/>
                      <w:szCs w:val="21"/>
                    </w:rPr>
                    <w:t>年平均</w:t>
                  </w:r>
                </w:p>
              </w:tc>
              <w:tc>
                <w:tcPr>
                  <w:tcW w:w="717" w:type="pct"/>
                  <w:vAlign w:val="center"/>
                </w:tcPr>
                <w:p w14:paraId="5AA134B8">
                  <w:pPr>
                    <w:pStyle w:val="75"/>
                    <w:adjustRightInd w:val="0"/>
                    <w:snapToGrid w:val="0"/>
                    <w:spacing w:line="240" w:lineRule="auto"/>
                    <w:rPr>
                      <w:rFonts w:cs="Times New Roman"/>
                      <w:szCs w:val="21"/>
                    </w:rPr>
                  </w:pPr>
                  <w:r>
                    <w:rPr>
                      <w:rFonts w:cs="Times New Roman"/>
                      <w:szCs w:val="21"/>
                    </w:rPr>
                    <w:t>35</w:t>
                  </w:r>
                </w:p>
              </w:tc>
              <w:tc>
                <w:tcPr>
                  <w:tcW w:w="576" w:type="pct"/>
                  <w:vMerge w:val="continue"/>
                  <w:vAlign w:val="center"/>
                </w:tcPr>
                <w:p w14:paraId="6609AD95">
                  <w:pPr>
                    <w:pStyle w:val="75"/>
                    <w:adjustRightInd w:val="0"/>
                    <w:snapToGrid w:val="0"/>
                    <w:spacing w:line="240" w:lineRule="auto"/>
                    <w:rPr>
                      <w:rFonts w:cs="Times New Roman"/>
                      <w:szCs w:val="21"/>
                    </w:rPr>
                  </w:pPr>
                </w:p>
              </w:tc>
              <w:tc>
                <w:tcPr>
                  <w:tcW w:w="527" w:type="pct"/>
                  <w:vMerge w:val="continue"/>
                  <w:vAlign w:val="center"/>
                </w:tcPr>
                <w:p w14:paraId="63F6D95A">
                  <w:pPr>
                    <w:pStyle w:val="75"/>
                    <w:adjustRightInd w:val="0"/>
                    <w:snapToGrid w:val="0"/>
                    <w:spacing w:line="240" w:lineRule="auto"/>
                    <w:rPr>
                      <w:rFonts w:cs="Times New Roman"/>
                      <w:szCs w:val="21"/>
                    </w:rPr>
                  </w:pPr>
                </w:p>
              </w:tc>
            </w:tr>
            <w:tr w14:paraId="04F9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trPr>
              <w:tc>
                <w:tcPr>
                  <w:tcW w:w="417" w:type="pct"/>
                  <w:vMerge w:val="continue"/>
                  <w:vAlign w:val="center"/>
                </w:tcPr>
                <w:p w14:paraId="184B08E8">
                  <w:pPr>
                    <w:pStyle w:val="75"/>
                    <w:adjustRightInd w:val="0"/>
                    <w:snapToGrid w:val="0"/>
                    <w:spacing w:line="240" w:lineRule="auto"/>
                    <w:rPr>
                      <w:rFonts w:cs="Times New Roman"/>
                      <w:szCs w:val="21"/>
                    </w:rPr>
                  </w:pPr>
                </w:p>
              </w:tc>
              <w:tc>
                <w:tcPr>
                  <w:tcW w:w="1549" w:type="pct"/>
                  <w:vMerge w:val="continue"/>
                  <w:vAlign w:val="center"/>
                </w:tcPr>
                <w:p w14:paraId="60ECCFAB">
                  <w:pPr>
                    <w:pStyle w:val="75"/>
                    <w:adjustRightInd w:val="0"/>
                    <w:snapToGrid w:val="0"/>
                    <w:spacing w:line="240" w:lineRule="auto"/>
                    <w:rPr>
                      <w:rFonts w:cs="Times New Roman"/>
                      <w:szCs w:val="21"/>
                    </w:rPr>
                  </w:pPr>
                </w:p>
              </w:tc>
              <w:tc>
                <w:tcPr>
                  <w:tcW w:w="1211" w:type="pct"/>
                  <w:vAlign w:val="center"/>
                </w:tcPr>
                <w:p w14:paraId="0627DB18">
                  <w:pPr>
                    <w:pStyle w:val="75"/>
                    <w:adjustRightInd w:val="0"/>
                    <w:snapToGrid w:val="0"/>
                    <w:spacing w:line="240" w:lineRule="auto"/>
                    <w:rPr>
                      <w:rFonts w:cs="Times New Roman"/>
                      <w:szCs w:val="21"/>
                    </w:rPr>
                  </w:pPr>
                  <w:r>
                    <w:rPr>
                      <w:rFonts w:cs="Times New Roman"/>
                      <w:szCs w:val="21"/>
                    </w:rPr>
                    <w:t>24小时平均</w:t>
                  </w:r>
                </w:p>
              </w:tc>
              <w:tc>
                <w:tcPr>
                  <w:tcW w:w="717" w:type="pct"/>
                  <w:vAlign w:val="center"/>
                </w:tcPr>
                <w:p w14:paraId="3EDA3B86">
                  <w:pPr>
                    <w:pStyle w:val="75"/>
                    <w:adjustRightInd w:val="0"/>
                    <w:snapToGrid w:val="0"/>
                    <w:spacing w:line="240" w:lineRule="auto"/>
                    <w:rPr>
                      <w:rFonts w:cs="Times New Roman"/>
                      <w:szCs w:val="21"/>
                    </w:rPr>
                  </w:pPr>
                  <w:r>
                    <w:rPr>
                      <w:rFonts w:cs="Times New Roman"/>
                      <w:szCs w:val="21"/>
                    </w:rPr>
                    <w:t>75</w:t>
                  </w:r>
                </w:p>
              </w:tc>
              <w:tc>
                <w:tcPr>
                  <w:tcW w:w="576" w:type="pct"/>
                  <w:vMerge w:val="continue"/>
                  <w:vAlign w:val="center"/>
                </w:tcPr>
                <w:p w14:paraId="3F3B8BC1">
                  <w:pPr>
                    <w:pStyle w:val="75"/>
                    <w:adjustRightInd w:val="0"/>
                    <w:snapToGrid w:val="0"/>
                    <w:spacing w:line="240" w:lineRule="auto"/>
                    <w:rPr>
                      <w:rFonts w:cs="Times New Roman"/>
                      <w:szCs w:val="21"/>
                    </w:rPr>
                  </w:pPr>
                </w:p>
              </w:tc>
              <w:tc>
                <w:tcPr>
                  <w:tcW w:w="527" w:type="pct"/>
                  <w:vMerge w:val="continue"/>
                  <w:vAlign w:val="center"/>
                </w:tcPr>
                <w:p w14:paraId="1021417D">
                  <w:pPr>
                    <w:pStyle w:val="75"/>
                    <w:adjustRightInd w:val="0"/>
                    <w:snapToGrid w:val="0"/>
                    <w:spacing w:line="240" w:lineRule="auto"/>
                    <w:rPr>
                      <w:rFonts w:cs="Times New Roman"/>
                      <w:szCs w:val="21"/>
                    </w:rPr>
                  </w:pPr>
                </w:p>
              </w:tc>
            </w:tr>
          </w:tbl>
          <w:p w14:paraId="2FB170A6">
            <w:pPr>
              <w:adjustRightInd w:val="0"/>
              <w:snapToGrid w:val="0"/>
              <w:spacing w:line="360" w:lineRule="auto"/>
              <w:ind w:firstLine="480" w:firstLineChars="200"/>
              <w:rPr>
                <w:sz w:val="24"/>
              </w:rPr>
            </w:pPr>
            <w:r>
              <w:rPr>
                <w:sz w:val="24"/>
              </w:rPr>
              <w:t>（2）地表水环境质量标准</w:t>
            </w:r>
          </w:p>
          <w:p w14:paraId="09FDCD11">
            <w:pPr>
              <w:adjustRightInd w:val="0"/>
              <w:snapToGrid w:val="0"/>
              <w:spacing w:line="360" w:lineRule="auto"/>
              <w:ind w:firstLine="480" w:firstLineChars="200"/>
              <w:rPr>
                <w:rFonts w:hint="default" w:ascii="Times New Roman" w:hAnsi="Times New Roman" w:cs="Times New Roman"/>
                <w:sz w:val="24"/>
              </w:rPr>
            </w:pPr>
            <w:r>
              <w:rPr>
                <w:rFonts w:hint="eastAsia"/>
                <w:color w:val="000000"/>
                <w:sz w:val="24"/>
              </w:rPr>
              <w:t>项目所在区域周边地表水主要为青口盐场附河、朱稽河</w:t>
            </w:r>
            <w:r>
              <w:rPr>
                <w:rFonts w:hint="eastAsia"/>
                <w:color w:val="000000"/>
                <w:sz w:val="24"/>
                <w:lang w:eastAsia="zh-CN"/>
              </w:rPr>
              <w:t>，</w:t>
            </w:r>
            <w:r>
              <w:rPr>
                <w:rFonts w:hint="eastAsia"/>
                <w:color w:val="000000"/>
                <w:sz w:val="24"/>
              </w:rPr>
              <w:t>青口盐场附河、朱稽河均为通榆河的附属支流。结合《江苏省地表水环境功能区划》(2021-2030)，2030年通榆河水质功能区目标为《地</w:t>
            </w:r>
            <w:r>
              <w:rPr>
                <w:rFonts w:hint="default" w:ascii="Times New Roman" w:hAnsi="Times New Roman" w:cs="Times New Roman"/>
                <w:color w:val="000000"/>
                <w:sz w:val="24"/>
              </w:rPr>
              <w:t>表水环境质量标准》</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GB3838-2002</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Ⅲ类标准，</w:t>
            </w:r>
            <w:r>
              <w:rPr>
                <w:rFonts w:hint="eastAsia"/>
                <w:color w:val="000000"/>
                <w:sz w:val="24"/>
              </w:rPr>
              <w:t>朱稽河</w:t>
            </w:r>
            <w:r>
              <w:rPr>
                <w:rFonts w:hint="default" w:ascii="Times New Roman" w:hAnsi="Times New Roman" w:cs="Times New Roman"/>
                <w:color w:val="000000"/>
                <w:sz w:val="24"/>
              </w:rPr>
              <w:t>执行《地表水环境质量标准》</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GB3838-2002</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Ⅲ类标准</w:t>
            </w:r>
            <w:r>
              <w:rPr>
                <w:rFonts w:hint="eastAsia" w:cs="Times New Roman"/>
                <w:color w:val="000000"/>
                <w:sz w:val="24"/>
                <w:lang w:eastAsia="zh-CN"/>
              </w:rPr>
              <w:t>，</w:t>
            </w:r>
            <w:r>
              <w:rPr>
                <w:rFonts w:hint="eastAsia"/>
                <w:color w:val="000000"/>
                <w:sz w:val="24"/>
              </w:rPr>
              <w:t>青口盐场附河</w:t>
            </w:r>
            <w:r>
              <w:rPr>
                <w:rFonts w:hint="default" w:ascii="Times New Roman" w:hAnsi="Times New Roman" w:cs="Times New Roman"/>
                <w:color w:val="000000"/>
                <w:sz w:val="24"/>
              </w:rPr>
              <w:t>执行《地表水环境质量标准》</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GB3838-2002</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IV类标准，具</w:t>
            </w:r>
            <w:r>
              <w:rPr>
                <w:rFonts w:hint="default" w:ascii="Times New Roman" w:hAnsi="Times New Roman" w:cs="Times New Roman"/>
                <w:sz w:val="24"/>
              </w:rPr>
              <w:t>标准见表</w:t>
            </w:r>
            <w:r>
              <w:rPr>
                <w:rFonts w:hint="eastAsia" w:cs="Times New Roman"/>
                <w:sz w:val="24"/>
                <w:lang w:val="en-US" w:eastAsia="zh-CN"/>
              </w:rPr>
              <w:t>3-6</w:t>
            </w:r>
            <w:r>
              <w:rPr>
                <w:rFonts w:hint="default" w:ascii="Times New Roman" w:hAnsi="Times New Roman" w:cs="Times New Roman"/>
                <w:sz w:val="24"/>
              </w:rPr>
              <w:t>。</w:t>
            </w:r>
          </w:p>
          <w:p w14:paraId="6D6715C4">
            <w:pPr>
              <w:adjustRightInd w:val="0"/>
              <w:snapToGrid w:val="0"/>
              <w:jc w:val="center"/>
              <w:rPr>
                <w:b/>
                <w:bCs/>
                <w:sz w:val="24"/>
              </w:rPr>
            </w:pPr>
            <w:r>
              <w:rPr>
                <w:b/>
                <w:bCs/>
                <w:sz w:val="24"/>
              </w:rPr>
              <w:t>表3-</w:t>
            </w:r>
            <w:r>
              <w:rPr>
                <w:rFonts w:hint="eastAsia"/>
                <w:b/>
                <w:bCs/>
                <w:sz w:val="24"/>
                <w:lang w:val="en-US" w:eastAsia="zh-CN"/>
              </w:rPr>
              <w:t>6</w:t>
            </w:r>
            <w:r>
              <w:rPr>
                <w:b/>
                <w:bCs/>
                <w:sz w:val="24"/>
              </w:rPr>
              <w:t xml:space="preserve"> 《地表水环境质量标准》（GB3838-2002）</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605"/>
              <w:gridCol w:w="1639"/>
              <w:gridCol w:w="1648"/>
              <w:gridCol w:w="1839"/>
            </w:tblGrid>
            <w:tr w14:paraId="457B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40659125">
                  <w:pPr>
                    <w:pStyle w:val="61"/>
                    <w:adjustRightInd w:val="0"/>
                    <w:snapToGrid w:val="0"/>
                    <w:spacing w:line="240" w:lineRule="exact"/>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序号</w:t>
                  </w:r>
                </w:p>
              </w:tc>
              <w:tc>
                <w:tcPr>
                  <w:tcW w:w="2750" w:type="dxa"/>
                </w:tcPr>
                <w:p w14:paraId="4D843A69">
                  <w:pPr>
                    <w:pStyle w:val="61"/>
                    <w:adjustRightInd w:val="0"/>
                    <w:snapToGrid w:val="0"/>
                    <w:spacing w:line="240" w:lineRule="exact"/>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项目</w:t>
                  </w:r>
                </w:p>
              </w:tc>
              <w:tc>
                <w:tcPr>
                  <w:tcW w:w="1760" w:type="dxa"/>
                </w:tcPr>
                <w:p w14:paraId="0B38EBF5">
                  <w:pPr>
                    <w:pStyle w:val="61"/>
                    <w:adjustRightInd w:val="0"/>
                    <w:snapToGrid w:val="0"/>
                    <w:spacing w:line="240" w:lineRule="exact"/>
                    <w:rPr>
                      <w:rFonts w:hint="eastAsia"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Ⅲ类</w:t>
                  </w:r>
                </w:p>
              </w:tc>
              <w:tc>
                <w:tcPr>
                  <w:tcW w:w="1770" w:type="dxa"/>
                </w:tcPr>
                <w:p w14:paraId="0D4B5D1A">
                  <w:pPr>
                    <w:pStyle w:val="61"/>
                    <w:adjustRightInd w:val="0"/>
                    <w:snapToGrid w:val="0"/>
                    <w:spacing w:line="240" w:lineRule="exact"/>
                    <w:rPr>
                      <w:rFonts w:hint="eastAsia"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IV类</w:t>
                  </w:r>
                </w:p>
              </w:tc>
              <w:tc>
                <w:tcPr>
                  <w:tcW w:w="1319" w:type="dxa"/>
                </w:tcPr>
                <w:p w14:paraId="3119FFA2">
                  <w:pPr>
                    <w:pStyle w:val="61"/>
                    <w:adjustRightInd w:val="0"/>
                    <w:snapToGrid w:val="0"/>
                    <w:spacing w:line="240" w:lineRule="exact"/>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标准来源</w:t>
                  </w:r>
                </w:p>
              </w:tc>
            </w:tr>
            <w:tr w14:paraId="20FE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46C65A8C">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2750" w:type="dxa"/>
                </w:tcPr>
                <w:p w14:paraId="2FB5D18B">
                  <w:pPr>
                    <w:pStyle w:val="61"/>
                    <w:adjustRightInd w:val="0"/>
                    <w:snapToGrid w:val="0"/>
                    <w:spacing w:line="240" w:lineRule="exac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pH值(无量纲)</w:t>
                  </w:r>
                </w:p>
              </w:tc>
              <w:tc>
                <w:tcPr>
                  <w:tcW w:w="1760" w:type="dxa"/>
                  <w:vAlign w:val="center"/>
                </w:tcPr>
                <w:p w14:paraId="07805D18">
                  <w:pPr>
                    <w:pStyle w:val="61"/>
                    <w:adjustRightInd w:val="0"/>
                    <w:snapToGrid w:val="0"/>
                    <w:spacing w:line="2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6-9</w:t>
                  </w:r>
                </w:p>
              </w:tc>
              <w:tc>
                <w:tcPr>
                  <w:tcW w:w="1770" w:type="dxa"/>
                  <w:vAlign w:val="center"/>
                </w:tcPr>
                <w:p w14:paraId="1448E923">
                  <w:pPr>
                    <w:pStyle w:val="61"/>
                    <w:adjustRightInd w:val="0"/>
                    <w:snapToGrid w:val="0"/>
                    <w:spacing w:line="24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6-9</w:t>
                  </w:r>
                </w:p>
              </w:tc>
              <w:tc>
                <w:tcPr>
                  <w:tcW w:w="1319" w:type="dxa"/>
                  <w:vMerge w:val="restart"/>
                  <w:vAlign w:val="center"/>
                </w:tcPr>
                <w:p w14:paraId="7FEFAF9B">
                  <w:pPr>
                    <w:pStyle w:val="61"/>
                    <w:adjustRightInd w:val="0"/>
                    <w:snapToGrid w:val="0"/>
                    <w:spacing w:line="24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《地</w:t>
                  </w:r>
                  <w:r>
                    <w:rPr>
                      <w:rFonts w:hint="default" w:ascii="Times New Roman" w:hAnsi="Times New Roman" w:eastAsia="宋体" w:cs="Times New Roman"/>
                      <w:color w:val="000000"/>
                      <w:sz w:val="21"/>
                      <w:szCs w:val="21"/>
                      <w:lang w:val="en-US" w:eastAsia="zh-CN"/>
                    </w:rPr>
                    <w:t>表水环境质量标准》（GB3838-2002）</w:t>
                  </w:r>
                </w:p>
              </w:tc>
            </w:tr>
            <w:tr w14:paraId="2984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60BD0C95">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2750" w:type="dxa"/>
                </w:tcPr>
                <w:p w14:paraId="7E288682">
                  <w:pPr>
                    <w:pStyle w:val="61"/>
                    <w:adjustRightInd w:val="0"/>
                    <w:snapToGrid w:val="0"/>
                    <w:spacing w:line="240" w:lineRule="exac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溶解氧≥</w:t>
                  </w:r>
                </w:p>
              </w:tc>
              <w:tc>
                <w:tcPr>
                  <w:tcW w:w="1760" w:type="dxa"/>
                </w:tcPr>
                <w:p w14:paraId="73650C37">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1770" w:type="dxa"/>
                </w:tcPr>
                <w:p w14:paraId="38DE7C4E">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319" w:type="dxa"/>
                  <w:vMerge w:val="continue"/>
                </w:tcPr>
                <w:p w14:paraId="3E45A40D">
                  <w:pPr>
                    <w:pStyle w:val="61"/>
                    <w:adjustRightInd w:val="0"/>
                    <w:snapToGrid w:val="0"/>
                    <w:spacing w:line="240" w:lineRule="exact"/>
                    <w:rPr>
                      <w:rFonts w:hint="eastAsia" w:ascii="Times New Roman" w:hAnsi="Times New Roman" w:eastAsia="宋体" w:cs="Times New Roman"/>
                      <w:color w:val="000000"/>
                      <w:sz w:val="21"/>
                      <w:szCs w:val="21"/>
                    </w:rPr>
                  </w:pPr>
                </w:p>
              </w:tc>
            </w:tr>
            <w:tr w14:paraId="3CF4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1E815AB2">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2750" w:type="dxa"/>
                </w:tcPr>
                <w:p w14:paraId="5158DDA4">
                  <w:pPr>
                    <w:pStyle w:val="61"/>
                    <w:adjustRightInd w:val="0"/>
                    <w:snapToGrid w:val="0"/>
                    <w:spacing w:line="240" w:lineRule="exac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化学需氧量</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COD</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w:t>
                  </w:r>
                </w:p>
              </w:tc>
              <w:tc>
                <w:tcPr>
                  <w:tcW w:w="1760" w:type="dxa"/>
                </w:tcPr>
                <w:p w14:paraId="0F7EC505">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w:t>
                  </w:r>
                </w:p>
              </w:tc>
              <w:tc>
                <w:tcPr>
                  <w:tcW w:w="1770" w:type="dxa"/>
                </w:tcPr>
                <w:p w14:paraId="35A6FD7B">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30</w:t>
                  </w:r>
                </w:p>
              </w:tc>
              <w:tc>
                <w:tcPr>
                  <w:tcW w:w="1319" w:type="dxa"/>
                  <w:vMerge w:val="continue"/>
                </w:tcPr>
                <w:p w14:paraId="41F104CA">
                  <w:pPr>
                    <w:pStyle w:val="61"/>
                    <w:adjustRightInd w:val="0"/>
                    <w:snapToGrid w:val="0"/>
                    <w:spacing w:line="240" w:lineRule="exact"/>
                    <w:rPr>
                      <w:rFonts w:hint="eastAsia" w:ascii="Times New Roman" w:hAnsi="Times New Roman" w:eastAsia="宋体" w:cs="Times New Roman"/>
                      <w:color w:val="000000"/>
                      <w:sz w:val="21"/>
                      <w:szCs w:val="21"/>
                    </w:rPr>
                  </w:pPr>
                </w:p>
              </w:tc>
            </w:tr>
            <w:tr w14:paraId="78FA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25ACEB63">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2750" w:type="dxa"/>
                </w:tcPr>
                <w:p w14:paraId="579ECEAB">
                  <w:pPr>
                    <w:pStyle w:val="61"/>
                    <w:adjustRightInd w:val="0"/>
                    <w:snapToGrid w:val="0"/>
                    <w:spacing w:line="240" w:lineRule="exac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氨氮</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NH</w:t>
                  </w:r>
                  <w:r>
                    <w:rPr>
                      <w:rFonts w:hint="eastAsia" w:ascii="Times New Roman" w:hAnsi="Times New Roman" w:eastAsia="宋体" w:cs="Times New Roman"/>
                      <w:color w:val="000000"/>
                      <w:sz w:val="21"/>
                      <w:szCs w:val="21"/>
                      <w:vertAlign w:val="subscript"/>
                    </w:rPr>
                    <w:t>3</w:t>
                  </w:r>
                  <w:r>
                    <w:rPr>
                      <w:rFonts w:hint="eastAsia" w:ascii="Times New Roman" w:hAnsi="Times New Roman" w:eastAsia="宋体" w:cs="Times New Roman"/>
                      <w:color w:val="000000"/>
                      <w:sz w:val="21"/>
                      <w:szCs w:val="21"/>
                    </w:rPr>
                    <w:t>-N</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w:t>
                  </w:r>
                </w:p>
              </w:tc>
              <w:tc>
                <w:tcPr>
                  <w:tcW w:w="1760" w:type="dxa"/>
                </w:tcPr>
                <w:p w14:paraId="49F44A1D">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770" w:type="dxa"/>
                </w:tcPr>
                <w:p w14:paraId="3BBA4154">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1319" w:type="dxa"/>
                  <w:vMerge w:val="continue"/>
                </w:tcPr>
                <w:p w14:paraId="070FE909">
                  <w:pPr>
                    <w:pStyle w:val="61"/>
                    <w:adjustRightInd w:val="0"/>
                    <w:snapToGrid w:val="0"/>
                    <w:spacing w:line="240" w:lineRule="exact"/>
                    <w:rPr>
                      <w:rFonts w:hint="eastAsia" w:ascii="Times New Roman" w:hAnsi="Times New Roman" w:eastAsia="宋体" w:cs="Times New Roman"/>
                      <w:color w:val="000000"/>
                      <w:sz w:val="21"/>
                      <w:szCs w:val="21"/>
                    </w:rPr>
                  </w:pPr>
                </w:p>
              </w:tc>
            </w:tr>
            <w:tr w14:paraId="7005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7BB7F999">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2750" w:type="dxa"/>
                </w:tcPr>
                <w:p w14:paraId="21BD9350">
                  <w:pPr>
                    <w:pStyle w:val="61"/>
                    <w:adjustRightInd w:val="0"/>
                    <w:snapToGrid w:val="0"/>
                    <w:spacing w:line="240" w:lineRule="exac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总磷</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以P计</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w:t>
                  </w:r>
                </w:p>
              </w:tc>
              <w:tc>
                <w:tcPr>
                  <w:tcW w:w="1760" w:type="dxa"/>
                </w:tcPr>
                <w:p w14:paraId="1883E544">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1770" w:type="dxa"/>
                </w:tcPr>
                <w:p w14:paraId="2C1B544D">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0.3</w:t>
                  </w:r>
                </w:p>
              </w:tc>
              <w:tc>
                <w:tcPr>
                  <w:tcW w:w="1319" w:type="dxa"/>
                  <w:vMerge w:val="continue"/>
                </w:tcPr>
                <w:p w14:paraId="77D7AF19">
                  <w:pPr>
                    <w:pStyle w:val="61"/>
                    <w:adjustRightInd w:val="0"/>
                    <w:snapToGrid w:val="0"/>
                    <w:spacing w:line="240" w:lineRule="exact"/>
                    <w:rPr>
                      <w:rFonts w:hint="eastAsia" w:ascii="Times New Roman" w:hAnsi="Times New Roman" w:eastAsia="宋体" w:cs="Times New Roman"/>
                      <w:color w:val="000000"/>
                      <w:sz w:val="21"/>
                      <w:szCs w:val="21"/>
                    </w:rPr>
                  </w:pPr>
                </w:p>
              </w:tc>
            </w:tr>
            <w:tr w14:paraId="0DA6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407BD59A">
                  <w:pPr>
                    <w:pStyle w:val="61"/>
                    <w:adjustRightInd w:val="0"/>
                    <w:snapToGrid w:val="0"/>
                    <w:spacing w:line="24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p>
              </w:tc>
              <w:tc>
                <w:tcPr>
                  <w:tcW w:w="2750" w:type="dxa"/>
                </w:tcPr>
                <w:p w14:paraId="027D0A64">
                  <w:pPr>
                    <w:pStyle w:val="61"/>
                    <w:adjustRightInd w:val="0"/>
                    <w:snapToGrid w:val="0"/>
                    <w:spacing w:line="240" w:lineRule="exac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总氮</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湖、库，以N计</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rPr>
                    <w:t>≤</w:t>
                  </w:r>
                </w:p>
              </w:tc>
              <w:tc>
                <w:tcPr>
                  <w:tcW w:w="1760" w:type="dxa"/>
                </w:tcPr>
                <w:p w14:paraId="3565F894">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770" w:type="dxa"/>
                </w:tcPr>
                <w:p w14:paraId="20BC28E2">
                  <w:pPr>
                    <w:pStyle w:val="61"/>
                    <w:adjustRightInd w:val="0"/>
                    <w:snapToGrid w:val="0"/>
                    <w:spacing w:line="24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1319" w:type="dxa"/>
                  <w:vMerge w:val="continue"/>
                </w:tcPr>
                <w:p w14:paraId="1D1B3835">
                  <w:pPr>
                    <w:pStyle w:val="61"/>
                    <w:adjustRightInd w:val="0"/>
                    <w:snapToGrid w:val="0"/>
                    <w:spacing w:line="240" w:lineRule="exact"/>
                    <w:rPr>
                      <w:rFonts w:hint="eastAsia" w:ascii="Times New Roman" w:hAnsi="Times New Roman" w:eastAsia="宋体" w:cs="Times New Roman"/>
                      <w:color w:val="000000"/>
                      <w:sz w:val="21"/>
                      <w:szCs w:val="21"/>
                    </w:rPr>
                  </w:pPr>
                </w:p>
              </w:tc>
            </w:tr>
          </w:tbl>
          <w:p w14:paraId="60984C2A">
            <w:pPr>
              <w:spacing w:line="360" w:lineRule="auto"/>
              <w:ind w:firstLine="480" w:firstLineChars="200"/>
              <w:rPr>
                <w:sz w:val="24"/>
                <w:szCs w:val="32"/>
              </w:rPr>
            </w:pPr>
            <w:r>
              <w:rPr>
                <w:sz w:val="24"/>
                <w:szCs w:val="32"/>
              </w:rPr>
              <w:t>（3）声环境质量标准</w:t>
            </w:r>
          </w:p>
          <w:p w14:paraId="6ED5D869">
            <w:pPr>
              <w:spacing w:line="360" w:lineRule="auto"/>
              <w:ind w:firstLine="480" w:firstLineChars="200"/>
              <w:rPr>
                <w:sz w:val="24"/>
                <w:szCs w:val="32"/>
              </w:rPr>
            </w:pPr>
            <w:r>
              <w:rPr>
                <w:sz w:val="24"/>
                <w:szCs w:val="32"/>
              </w:rPr>
              <w:t>项目所在区域为</w:t>
            </w:r>
            <w:r>
              <w:rPr>
                <w:rFonts w:hint="eastAsia"/>
                <w:sz w:val="24"/>
                <w:szCs w:val="32"/>
                <w:lang w:val="en-US" w:eastAsia="zh-CN"/>
              </w:rPr>
              <w:t>4a</w:t>
            </w:r>
            <w:r>
              <w:rPr>
                <w:sz w:val="24"/>
                <w:szCs w:val="32"/>
              </w:rPr>
              <w:t>类声环境功能区，声环境质量执行《声环境质量标准》（GB3096-2008）中</w:t>
            </w:r>
            <w:r>
              <w:rPr>
                <w:rFonts w:hint="eastAsia"/>
                <w:sz w:val="24"/>
                <w:szCs w:val="32"/>
                <w:lang w:val="en-US" w:eastAsia="zh-CN"/>
              </w:rPr>
              <w:t>4a</w:t>
            </w:r>
            <w:r>
              <w:rPr>
                <w:sz w:val="24"/>
                <w:szCs w:val="32"/>
              </w:rPr>
              <w:t>类区标准，详见表</w:t>
            </w:r>
            <w:r>
              <w:rPr>
                <w:rFonts w:hint="eastAsia"/>
                <w:sz w:val="24"/>
                <w:szCs w:val="32"/>
                <w:lang w:val="en-US" w:eastAsia="zh-CN"/>
              </w:rPr>
              <w:t>3-7</w:t>
            </w:r>
            <w:r>
              <w:rPr>
                <w:sz w:val="24"/>
                <w:szCs w:val="32"/>
              </w:rPr>
              <w:t>。</w:t>
            </w:r>
          </w:p>
          <w:p w14:paraId="45651938">
            <w:pPr>
              <w:adjustRightInd w:val="0"/>
              <w:snapToGrid w:val="0"/>
              <w:jc w:val="center"/>
              <w:rPr>
                <w:sz w:val="24"/>
              </w:rPr>
            </w:pPr>
            <w:r>
              <w:rPr>
                <w:b/>
                <w:bCs/>
                <w:sz w:val="24"/>
              </w:rPr>
              <w:t>表3-</w:t>
            </w:r>
            <w:r>
              <w:rPr>
                <w:rFonts w:hint="eastAsia"/>
                <w:b/>
                <w:bCs/>
                <w:sz w:val="24"/>
                <w:lang w:val="en-US" w:eastAsia="zh-CN"/>
              </w:rPr>
              <w:t>7</w:t>
            </w:r>
            <w:r>
              <w:rPr>
                <w:b/>
                <w:bCs/>
                <w:sz w:val="24"/>
              </w:rPr>
              <w:t>《声环境质量标准》（GB3096-2008）</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8"/>
              <w:gridCol w:w="1558"/>
              <w:gridCol w:w="1679"/>
              <w:gridCol w:w="3579"/>
            </w:tblGrid>
            <w:tr w14:paraId="7093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92" w:type="pct"/>
                  <w:vAlign w:val="center"/>
                </w:tcPr>
                <w:p w14:paraId="3463A59A">
                  <w:pPr>
                    <w:adjustRightInd w:val="0"/>
                    <w:snapToGrid w:val="0"/>
                    <w:jc w:val="center"/>
                    <w:rPr>
                      <w:b/>
                      <w:bCs/>
                    </w:rPr>
                  </w:pPr>
                  <w:r>
                    <w:rPr>
                      <w:b/>
                      <w:bCs/>
                    </w:rPr>
                    <w:t>功能区类别</w:t>
                  </w:r>
                </w:p>
              </w:tc>
              <w:tc>
                <w:tcPr>
                  <w:tcW w:w="916" w:type="pct"/>
                  <w:vAlign w:val="center"/>
                </w:tcPr>
                <w:p w14:paraId="0D97F63F">
                  <w:pPr>
                    <w:adjustRightInd w:val="0"/>
                    <w:snapToGrid w:val="0"/>
                    <w:jc w:val="center"/>
                    <w:rPr>
                      <w:b/>
                      <w:bCs/>
                    </w:rPr>
                  </w:pPr>
                  <w:r>
                    <w:rPr>
                      <w:b/>
                      <w:bCs/>
                    </w:rPr>
                    <w:t>昼间</w:t>
                  </w:r>
                </w:p>
              </w:tc>
              <w:tc>
                <w:tcPr>
                  <w:tcW w:w="987" w:type="pct"/>
                  <w:vAlign w:val="center"/>
                </w:tcPr>
                <w:p w14:paraId="62794696">
                  <w:pPr>
                    <w:adjustRightInd w:val="0"/>
                    <w:snapToGrid w:val="0"/>
                    <w:jc w:val="center"/>
                    <w:rPr>
                      <w:b/>
                      <w:bCs/>
                    </w:rPr>
                  </w:pPr>
                  <w:r>
                    <w:rPr>
                      <w:b/>
                      <w:bCs/>
                    </w:rPr>
                    <w:t>夜间</w:t>
                  </w:r>
                </w:p>
              </w:tc>
              <w:tc>
                <w:tcPr>
                  <w:tcW w:w="2104" w:type="pct"/>
                </w:tcPr>
                <w:p w14:paraId="0CE37C9E">
                  <w:pPr>
                    <w:adjustRightInd w:val="0"/>
                    <w:snapToGrid w:val="0"/>
                    <w:jc w:val="center"/>
                    <w:rPr>
                      <w:b/>
                      <w:bCs/>
                    </w:rPr>
                  </w:pPr>
                  <w:r>
                    <w:rPr>
                      <w:b/>
                      <w:szCs w:val="21"/>
                    </w:rPr>
                    <w:t>执行标准</w:t>
                  </w:r>
                </w:p>
              </w:tc>
            </w:tr>
            <w:tr w14:paraId="36B2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92" w:type="pct"/>
                  <w:vAlign w:val="center"/>
                </w:tcPr>
                <w:p w14:paraId="683FA1BA">
                  <w:pPr>
                    <w:adjustRightInd w:val="0"/>
                    <w:snapToGrid w:val="0"/>
                    <w:jc w:val="center"/>
                  </w:pPr>
                  <w:r>
                    <w:rPr>
                      <w:rFonts w:hint="eastAsia"/>
                      <w:lang w:val="en-US" w:eastAsia="zh-CN"/>
                    </w:rPr>
                    <w:t>4a</w:t>
                  </w:r>
                  <w:r>
                    <w:t>类</w:t>
                  </w:r>
                </w:p>
              </w:tc>
              <w:tc>
                <w:tcPr>
                  <w:tcW w:w="916" w:type="pct"/>
                  <w:vAlign w:val="center"/>
                </w:tcPr>
                <w:p w14:paraId="464055E6">
                  <w:pPr>
                    <w:adjustRightInd w:val="0"/>
                    <w:snapToGrid w:val="0"/>
                    <w:jc w:val="center"/>
                  </w:pPr>
                  <w:r>
                    <w:rPr>
                      <w:rFonts w:hint="eastAsia"/>
                      <w:lang w:val="en-US" w:eastAsia="zh-CN"/>
                    </w:rPr>
                    <w:t>70</w:t>
                  </w:r>
                  <w:r>
                    <w:t>dB（A）</w:t>
                  </w:r>
                </w:p>
              </w:tc>
              <w:tc>
                <w:tcPr>
                  <w:tcW w:w="987" w:type="pct"/>
                  <w:vAlign w:val="center"/>
                </w:tcPr>
                <w:p w14:paraId="1492BB54">
                  <w:pPr>
                    <w:adjustRightInd w:val="0"/>
                    <w:snapToGrid w:val="0"/>
                    <w:jc w:val="center"/>
                    <w:rPr>
                      <w:rFonts w:ascii="Times New Roman" w:hAnsi="Times New Roman" w:eastAsia="宋体" w:cs="Times New Roman"/>
                    </w:rPr>
                  </w:pPr>
                  <w:r>
                    <w:rPr>
                      <w:rFonts w:hint="eastAsia" w:cs="Times New Roman"/>
                      <w:lang w:val="en-US" w:eastAsia="zh-CN"/>
                    </w:rPr>
                    <w:t>5</w:t>
                  </w:r>
                  <w:r>
                    <w:rPr>
                      <w:rFonts w:ascii="Times New Roman" w:hAnsi="Times New Roman" w:eastAsia="宋体" w:cs="Times New Roman"/>
                    </w:rPr>
                    <w:t>5dB（A）</w:t>
                  </w:r>
                </w:p>
              </w:tc>
              <w:tc>
                <w:tcPr>
                  <w:tcW w:w="2104" w:type="pct"/>
                </w:tcPr>
                <w:p w14:paraId="2F353AE8">
                  <w:pPr>
                    <w:adjustRightInd w:val="0"/>
                    <w:snapToGrid w:val="0"/>
                    <w:jc w:val="center"/>
                    <w:rPr>
                      <w:rFonts w:hint="eastAsia" w:ascii="Times New Roman" w:hAnsi="Times New Roman" w:eastAsia="宋体" w:cs="Times New Roman"/>
                      <w:lang w:val="en-US" w:eastAsia="zh-CN"/>
                    </w:rPr>
                  </w:pPr>
                  <w:r>
                    <w:rPr>
                      <w:rFonts w:ascii="Times New Roman" w:hAnsi="Times New Roman" w:eastAsia="宋体" w:cs="Times New Roman"/>
                    </w:rPr>
                    <w:t>《声环境质量标准》（GB3096-2008）</w:t>
                  </w:r>
                </w:p>
              </w:tc>
            </w:tr>
          </w:tbl>
          <w:p w14:paraId="6C7C4788">
            <w:pPr>
              <w:pStyle w:val="79"/>
              <w:ind w:firstLine="482"/>
              <w:rPr>
                <w:b/>
                <w:bCs/>
              </w:rPr>
            </w:pPr>
            <w:r>
              <w:rPr>
                <w:b/>
                <w:bCs/>
              </w:rPr>
              <w:t>2、污染物排放标准</w:t>
            </w:r>
          </w:p>
          <w:p w14:paraId="75DE6005">
            <w:pPr>
              <w:pStyle w:val="79"/>
              <w:ind w:firstLine="480"/>
              <w:rPr>
                <w:szCs w:val="22"/>
              </w:rPr>
            </w:pPr>
            <w:r>
              <w:t>（1）废气</w:t>
            </w:r>
          </w:p>
          <w:p w14:paraId="22FAB596">
            <w:pPr>
              <w:spacing w:line="360" w:lineRule="auto"/>
              <w:ind w:firstLine="480" w:firstLineChars="200"/>
              <w:rPr>
                <w:szCs w:val="21"/>
              </w:rPr>
            </w:pPr>
            <w:r>
              <w:rPr>
                <w:sz w:val="24"/>
                <w:szCs w:val="22"/>
              </w:rPr>
              <w:t>施工期执行</w:t>
            </w:r>
            <w:r>
              <w:rPr>
                <w:sz w:val="24"/>
                <w:lang w:bidi="ar"/>
              </w:rPr>
              <w:t>《施工场地扬尘排放标准》</w:t>
            </w:r>
            <w:r>
              <w:rPr>
                <w:rFonts w:hint="eastAsia"/>
                <w:sz w:val="24"/>
                <w:lang w:eastAsia="zh-CN" w:bidi="ar"/>
              </w:rPr>
              <w:t>（</w:t>
            </w:r>
            <w:r>
              <w:rPr>
                <w:sz w:val="24"/>
                <w:lang w:bidi="ar"/>
              </w:rPr>
              <w:t>DB32/4437-2022</w:t>
            </w:r>
            <w:r>
              <w:rPr>
                <w:rFonts w:hint="eastAsia"/>
                <w:sz w:val="24"/>
                <w:lang w:eastAsia="zh-CN" w:bidi="ar"/>
              </w:rPr>
              <w:t>）</w:t>
            </w:r>
            <w:r>
              <w:rPr>
                <w:sz w:val="24"/>
                <w:szCs w:val="22"/>
              </w:rPr>
              <w:t>中相关排放标准值如下表。</w:t>
            </w:r>
          </w:p>
          <w:p w14:paraId="7E698766">
            <w:pPr>
              <w:adjustRightInd w:val="0"/>
              <w:snapToGrid w:val="0"/>
              <w:jc w:val="center"/>
              <w:rPr>
                <w:b/>
                <w:bCs/>
                <w:sz w:val="24"/>
              </w:rPr>
            </w:pPr>
            <w:r>
              <w:rPr>
                <w:b/>
                <w:bCs/>
                <w:sz w:val="24"/>
              </w:rPr>
              <w:t>表3-</w:t>
            </w:r>
            <w:r>
              <w:rPr>
                <w:rFonts w:hint="eastAsia"/>
                <w:b/>
                <w:bCs/>
                <w:sz w:val="24"/>
                <w:lang w:val="en-US" w:eastAsia="zh-CN"/>
              </w:rPr>
              <w:t>8</w:t>
            </w:r>
            <w:r>
              <w:rPr>
                <w:b/>
                <w:bCs/>
                <w:sz w:val="24"/>
              </w:rPr>
              <w:t xml:space="preserve"> 大气污染物排放标准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1327"/>
              <w:gridCol w:w="2466"/>
              <w:gridCol w:w="2703"/>
            </w:tblGrid>
            <w:tr w14:paraId="0BE9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1" w:type="pct"/>
                  <w:vMerge w:val="restart"/>
                  <w:vAlign w:val="center"/>
                </w:tcPr>
                <w:p w14:paraId="56C1F17B">
                  <w:pPr>
                    <w:adjustRightInd w:val="0"/>
                    <w:snapToGrid w:val="0"/>
                    <w:jc w:val="center"/>
                    <w:rPr>
                      <w:b/>
                      <w:szCs w:val="21"/>
                    </w:rPr>
                  </w:pPr>
                  <w:r>
                    <w:rPr>
                      <w:b/>
                      <w:szCs w:val="21"/>
                    </w:rPr>
                    <w:t>污染物名称</w:t>
                  </w:r>
                </w:p>
              </w:tc>
              <w:tc>
                <w:tcPr>
                  <w:tcW w:w="2230" w:type="pct"/>
                  <w:gridSpan w:val="2"/>
                  <w:vAlign w:val="center"/>
                </w:tcPr>
                <w:p w14:paraId="406B68F0">
                  <w:pPr>
                    <w:adjustRightInd w:val="0"/>
                    <w:snapToGrid w:val="0"/>
                    <w:jc w:val="center"/>
                    <w:rPr>
                      <w:b/>
                      <w:szCs w:val="21"/>
                    </w:rPr>
                  </w:pPr>
                  <w:r>
                    <w:rPr>
                      <w:b/>
                      <w:szCs w:val="21"/>
                    </w:rPr>
                    <w:t>无组织排放监控浓度限值</w:t>
                  </w:r>
                </w:p>
              </w:tc>
              <w:tc>
                <w:tcPr>
                  <w:tcW w:w="1588" w:type="pct"/>
                  <w:vMerge w:val="restart"/>
                  <w:vAlign w:val="center"/>
                </w:tcPr>
                <w:p w14:paraId="2370A8B3">
                  <w:pPr>
                    <w:adjustRightInd w:val="0"/>
                    <w:snapToGrid w:val="0"/>
                    <w:jc w:val="center"/>
                    <w:rPr>
                      <w:b/>
                      <w:szCs w:val="21"/>
                    </w:rPr>
                  </w:pPr>
                  <w:r>
                    <w:rPr>
                      <w:b/>
                      <w:szCs w:val="21"/>
                    </w:rPr>
                    <w:t>执行标准</w:t>
                  </w:r>
                </w:p>
              </w:tc>
            </w:tr>
            <w:tr w14:paraId="192F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1" w:type="pct"/>
                  <w:vMerge w:val="continue"/>
                  <w:vAlign w:val="center"/>
                </w:tcPr>
                <w:p w14:paraId="091480A8">
                  <w:pPr>
                    <w:adjustRightInd w:val="0"/>
                    <w:snapToGrid w:val="0"/>
                    <w:jc w:val="center"/>
                    <w:rPr>
                      <w:b/>
                      <w:szCs w:val="21"/>
                    </w:rPr>
                  </w:pPr>
                </w:p>
              </w:tc>
              <w:tc>
                <w:tcPr>
                  <w:tcW w:w="780" w:type="pct"/>
                  <w:vAlign w:val="center"/>
                </w:tcPr>
                <w:p w14:paraId="0AD56D08">
                  <w:pPr>
                    <w:adjustRightInd w:val="0"/>
                    <w:snapToGrid w:val="0"/>
                    <w:jc w:val="center"/>
                    <w:rPr>
                      <w:b/>
                      <w:szCs w:val="21"/>
                    </w:rPr>
                  </w:pPr>
                  <w:r>
                    <w:rPr>
                      <w:b/>
                      <w:szCs w:val="21"/>
                    </w:rPr>
                    <w:t>监控点</w:t>
                  </w:r>
                </w:p>
              </w:tc>
              <w:tc>
                <w:tcPr>
                  <w:tcW w:w="1449" w:type="pct"/>
                  <w:vAlign w:val="center"/>
                </w:tcPr>
                <w:p w14:paraId="7C2B5D9B">
                  <w:pPr>
                    <w:adjustRightInd w:val="0"/>
                    <w:snapToGrid w:val="0"/>
                    <w:jc w:val="center"/>
                    <w:rPr>
                      <w:b/>
                      <w:szCs w:val="21"/>
                    </w:rPr>
                  </w:pPr>
                  <w:r>
                    <w:rPr>
                      <w:b/>
                      <w:szCs w:val="21"/>
                    </w:rPr>
                    <w:t>浓度（mg/m</w:t>
                  </w:r>
                  <w:r>
                    <w:rPr>
                      <w:b/>
                      <w:szCs w:val="21"/>
                      <w:vertAlign w:val="superscript"/>
                    </w:rPr>
                    <w:t>3</w:t>
                  </w:r>
                  <w:r>
                    <w:rPr>
                      <w:b/>
                      <w:szCs w:val="21"/>
                    </w:rPr>
                    <w:t>）</w:t>
                  </w:r>
                </w:p>
              </w:tc>
              <w:tc>
                <w:tcPr>
                  <w:tcW w:w="1588" w:type="pct"/>
                  <w:vMerge w:val="continue"/>
                  <w:vAlign w:val="center"/>
                </w:tcPr>
                <w:p w14:paraId="15659870">
                  <w:pPr>
                    <w:adjustRightInd w:val="0"/>
                    <w:snapToGrid w:val="0"/>
                    <w:jc w:val="center"/>
                    <w:rPr>
                      <w:b/>
                      <w:szCs w:val="21"/>
                    </w:rPr>
                  </w:pPr>
                </w:p>
              </w:tc>
            </w:tr>
            <w:tr w14:paraId="402C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1" w:type="pct"/>
                  <w:vAlign w:val="center"/>
                </w:tcPr>
                <w:p w14:paraId="496BC437">
                  <w:pPr>
                    <w:adjustRightInd w:val="0"/>
                    <w:snapToGrid w:val="0"/>
                    <w:jc w:val="center"/>
                    <w:rPr>
                      <w:bCs/>
                      <w:szCs w:val="21"/>
                    </w:rPr>
                  </w:pPr>
                  <w:r>
                    <w:rPr>
                      <w:bCs/>
                      <w:szCs w:val="21"/>
                    </w:rPr>
                    <w:t>TSP</w:t>
                  </w:r>
                  <w:r>
                    <w:rPr>
                      <w:bCs/>
                      <w:szCs w:val="21"/>
                      <w:vertAlign w:val="superscript"/>
                    </w:rPr>
                    <w:t>a</w:t>
                  </w:r>
                </w:p>
              </w:tc>
              <w:tc>
                <w:tcPr>
                  <w:tcW w:w="780" w:type="pct"/>
                  <w:vAlign w:val="center"/>
                </w:tcPr>
                <w:p w14:paraId="1DC90BC4">
                  <w:pPr>
                    <w:adjustRightInd w:val="0"/>
                    <w:snapToGrid w:val="0"/>
                    <w:jc w:val="center"/>
                    <w:rPr>
                      <w:bCs/>
                      <w:szCs w:val="21"/>
                    </w:rPr>
                  </w:pPr>
                  <w:r>
                    <w:rPr>
                      <w:bCs/>
                      <w:szCs w:val="21"/>
                    </w:rPr>
                    <w:t>-</w:t>
                  </w:r>
                </w:p>
              </w:tc>
              <w:tc>
                <w:tcPr>
                  <w:tcW w:w="1449" w:type="pct"/>
                  <w:vAlign w:val="center"/>
                </w:tcPr>
                <w:p w14:paraId="5CD2A870">
                  <w:pPr>
                    <w:adjustRightInd w:val="0"/>
                    <w:snapToGrid w:val="0"/>
                    <w:jc w:val="center"/>
                    <w:rPr>
                      <w:bCs/>
                      <w:szCs w:val="21"/>
                    </w:rPr>
                  </w:pPr>
                  <w:r>
                    <w:rPr>
                      <w:bCs/>
                      <w:szCs w:val="21"/>
                    </w:rPr>
                    <w:t>0.5</w:t>
                  </w:r>
                </w:p>
              </w:tc>
              <w:tc>
                <w:tcPr>
                  <w:tcW w:w="1588" w:type="pct"/>
                  <w:vMerge w:val="restart"/>
                  <w:vAlign w:val="center"/>
                </w:tcPr>
                <w:p w14:paraId="38352839">
                  <w:pPr>
                    <w:adjustRightInd w:val="0"/>
                    <w:snapToGrid w:val="0"/>
                    <w:jc w:val="center"/>
                    <w:rPr>
                      <w:bCs/>
                      <w:szCs w:val="21"/>
                    </w:rPr>
                  </w:pPr>
                  <w:r>
                    <w:rPr>
                      <w:bCs/>
                      <w:szCs w:val="21"/>
                    </w:rPr>
                    <w:t>《施工场地扬尘排放标准》(DB32/4437-2022)</w:t>
                  </w:r>
                </w:p>
              </w:tc>
            </w:tr>
            <w:tr w14:paraId="5189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1" w:type="pct"/>
                  <w:vAlign w:val="center"/>
                </w:tcPr>
                <w:p w14:paraId="04EC5358">
                  <w:pPr>
                    <w:adjustRightInd w:val="0"/>
                    <w:snapToGrid w:val="0"/>
                    <w:jc w:val="center"/>
                    <w:rPr>
                      <w:bCs/>
                      <w:szCs w:val="21"/>
                    </w:rPr>
                  </w:pPr>
                  <w:r>
                    <w:rPr>
                      <w:bCs/>
                      <w:szCs w:val="21"/>
                    </w:rPr>
                    <w:t>PM</w:t>
                  </w:r>
                  <w:r>
                    <w:rPr>
                      <w:bCs/>
                      <w:szCs w:val="21"/>
                      <w:vertAlign w:val="subscript"/>
                    </w:rPr>
                    <w:t>10</w:t>
                  </w:r>
                  <w:r>
                    <w:rPr>
                      <w:bCs/>
                      <w:szCs w:val="21"/>
                      <w:vertAlign w:val="superscript"/>
                    </w:rPr>
                    <w:t>b</w:t>
                  </w:r>
                </w:p>
              </w:tc>
              <w:tc>
                <w:tcPr>
                  <w:tcW w:w="780" w:type="pct"/>
                  <w:vAlign w:val="center"/>
                </w:tcPr>
                <w:p w14:paraId="46757852">
                  <w:pPr>
                    <w:adjustRightInd w:val="0"/>
                    <w:snapToGrid w:val="0"/>
                    <w:jc w:val="center"/>
                    <w:rPr>
                      <w:bCs/>
                      <w:szCs w:val="21"/>
                    </w:rPr>
                  </w:pPr>
                  <w:r>
                    <w:rPr>
                      <w:bCs/>
                      <w:szCs w:val="21"/>
                    </w:rPr>
                    <w:t>-</w:t>
                  </w:r>
                </w:p>
              </w:tc>
              <w:tc>
                <w:tcPr>
                  <w:tcW w:w="1449" w:type="pct"/>
                  <w:vAlign w:val="center"/>
                </w:tcPr>
                <w:p w14:paraId="2829E099">
                  <w:pPr>
                    <w:adjustRightInd w:val="0"/>
                    <w:snapToGrid w:val="0"/>
                    <w:jc w:val="center"/>
                    <w:rPr>
                      <w:bCs/>
                      <w:szCs w:val="21"/>
                    </w:rPr>
                  </w:pPr>
                  <w:r>
                    <w:rPr>
                      <w:bCs/>
                      <w:szCs w:val="21"/>
                    </w:rPr>
                    <w:t>0.08</w:t>
                  </w:r>
                </w:p>
              </w:tc>
              <w:tc>
                <w:tcPr>
                  <w:tcW w:w="1588" w:type="pct"/>
                  <w:vMerge w:val="continue"/>
                  <w:vAlign w:val="center"/>
                </w:tcPr>
                <w:p w14:paraId="3A1A6BDD">
                  <w:pPr>
                    <w:adjustRightInd w:val="0"/>
                    <w:snapToGrid w:val="0"/>
                    <w:jc w:val="center"/>
                    <w:rPr>
                      <w:bCs/>
                      <w:szCs w:val="21"/>
                    </w:rPr>
                  </w:pPr>
                </w:p>
              </w:tc>
            </w:tr>
            <w:tr w14:paraId="355A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4"/>
                  <w:vAlign w:val="center"/>
                </w:tcPr>
                <w:p w14:paraId="74906061">
                  <w:pPr>
                    <w:adjustRightInd w:val="0"/>
                    <w:snapToGrid w:val="0"/>
                    <w:jc w:val="left"/>
                    <w:rPr>
                      <w:bCs/>
                      <w:szCs w:val="21"/>
                    </w:rPr>
                  </w:pPr>
                  <w:r>
                    <w:rPr>
                      <w:bCs/>
                      <w:szCs w:val="21"/>
                    </w:rPr>
                    <w:t>a任一监控点(TSP自动监测)自整时起依次顺延15min的总悬浮颗粒物浓度平均值不应超过的限值。根据HJ 633判定设区市AQI在200~300之间且首要污染物为PM</w:t>
                  </w:r>
                  <w:r>
                    <w:rPr>
                      <w:bCs/>
                      <w:szCs w:val="21"/>
                      <w:vertAlign w:val="subscript"/>
                    </w:rPr>
                    <w:t>10</w:t>
                  </w:r>
                  <w:r>
                    <w:rPr>
                      <w:bCs/>
                      <w:szCs w:val="21"/>
                    </w:rPr>
                    <w:t>或PM</w:t>
                  </w:r>
                  <w:r>
                    <w:rPr>
                      <w:bCs/>
                      <w:szCs w:val="21"/>
                      <w:vertAlign w:val="subscript"/>
                    </w:rPr>
                    <w:t>2.5</w:t>
                  </w:r>
                  <w:r>
                    <w:rPr>
                      <w:bCs/>
                      <w:szCs w:val="21"/>
                    </w:rPr>
                    <w:t>时，TSP实测值扣除200µg/m</w:t>
                  </w:r>
                  <w:r>
                    <w:rPr>
                      <w:bCs/>
                      <w:szCs w:val="21"/>
                      <w:vertAlign w:val="superscript"/>
                    </w:rPr>
                    <w:t>3</w:t>
                  </w:r>
                  <w:r>
                    <w:rPr>
                      <w:bCs/>
                      <w:szCs w:val="21"/>
                    </w:rPr>
                    <w:t>后再进行评价。</w:t>
                  </w:r>
                </w:p>
                <w:p w14:paraId="6DAF0A2E">
                  <w:pPr>
                    <w:adjustRightInd w:val="0"/>
                    <w:snapToGrid w:val="0"/>
                    <w:jc w:val="left"/>
                    <w:rPr>
                      <w:bCs/>
                      <w:szCs w:val="21"/>
                    </w:rPr>
                  </w:pPr>
                  <w:r>
                    <w:rPr>
                      <w:bCs/>
                      <w:szCs w:val="21"/>
                    </w:rPr>
                    <w:t>b任一监控点(PM</w:t>
                  </w:r>
                  <w:r>
                    <w:rPr>
                      <w:bCs/>
                      <w:szCs w:val="21"/>
                      <w:vertAlign w:val="subscript"/>
                    </w:rPr>
                    <w:t>10</w:t>
                  </w:r>
                  <w:r>
                    <w:rPr>
                      <w:bCs/>
                      <w:szCs w:val="21"/>
                    </w:rPr>
                    <w:t>自动监测)自整时起依次顺延1h的PM</w:t>
                  </w:r>
                  <w:r>
                    <w:rPr>
                      <w:bCs/>
                      <w:szCs w:val="21"/>
                      <w:vertAlign w:val="subscript"/>
                    </w:rPr>
                    <w:t>10</w:t>
                  </w:r>
                  <w:r>
                    <w:rPr>
                      <w:bCs/>
                      <w:szCs w:val="21"/>
                    </w:rPr>
                    <w:t>浓度平均值与同时段所属设区市PM</w:t>
                  </w:r>
                  <w:r>
                    <w:rPr>
                      <w:bCs/>
                      <w:szCs w:val="21"/>
                      <w:vertAlign w:val="subscript"/>
                    </w:rPr>
                    <w:t>10</w:t>
                  </w:r>
                  <w:r>
                    <w:rPr>
                      <w:bCs/>
                      <w:szCs w:val="21"/>
                    </w:rPr>
                    <w:t>小时平均浓度的差值不应超过的限值。</w:t>
                  </w:r>
                </w:p>
              </w:tc>
            </w:tr>
          </w:tbl>
          <w:p w14:paraId="54497E10">
            <w:pPr>
              <w:pStyle w:val="79"/>
              <w:ind w:firstLine="480"/>
            </w:pPr>
            <w:r>
              <w:t>（2）废水</w:t>
            </w:r>
          </w:p>
          <w:p w14:paraId="242F3D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highlight w:val="none"/>
              </w:rPr>
            </w:pPr>
            <w:r>
              <w:rPr>
                <w:rFonts w:hint="eastAsia"/>
                <w:sz w:val="24"/>
                <w:highlight w:val="none"/>
              </w:rPr>
              <w:t>施工废水经隔油池、沉淀处理后，回用于车辆冲洗或施工现场洒水降尘，不外排；生活污水经通过旱厕收集处理，定期清掏后回用于当地周边林地或周边农田施肥，不外排。</w:t>
            </w:r>
          </w:p>
          <w:p w14:paraId="0CF66C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highlight w:val="none"/>
                <w:lang w:eastAsia="zh-CN"/>
              </w:rPr>
            </w:pPr>
            <w:r>
              <w:rPr>
                <w:rFonts w:hint="eastAsia"/>
                <w:sz w:val="24"/>
                <w:highlight w:val="none"/>
              </w:rPr>
              <w:t>回用</w:t>
            </w:r>
            <w:r>
              <w:rPr>
                <w:rFonts w:hint="eastAsia" w:ascii="Times New Roman" w:hAnsi="Times New Roman" w:eastAsia="宋体" w:cs="Times New Roman"/>
                <w:sz w:val="24"/>
                <w:highlight w:val="none"/>
                <w:lang w:val="en-US" w:eastAsia="zh-CN"/>
              </w:rPr>
              <w:t>水</w:t>
            </w:r>
            <w:r>
              <w:rPr>
                <w:rFonts w:hint="eastAsia" w:ascii="Times New Roman" w:hAnsi="Times New Roman" w:eastAsia="宋体" w:cs="Times New Roman"/>
                <w:sz w:val="24"/>
                <w:highlight w:val="none"/>
              </w:rPr>
              <w:t>达到《城市污水再生利用 工业用水水质》</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rPr>
              <w:t>GBT19923-20</w:t>
            </w:r>
            <w:r>
              <w:rPr>
                <w:rFonts w:hint="eastAsia" w:ascii="Times New Roman" w:hAnsi="Times New Roman" w:eastAsia="宋体" w:cs="Times New Roman"/>
                <w:sz w:val="24"/>
                <w:highlight w:val="none"/>
                <w:lang w:val="en-US" w:eastAsia="zh-CN"/>
              </w:rPr>
              <w:t>24</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rPr>
              <w:t>标准后</w:t>
            </w:r>
            <w:r>
              <w:rPr>
                <w:rFonts w:hint="eastAsia"/>
                <w:sz w:val="24"/>
                <w:highlight w:val="none"/>
              </w:rPr>
              <w:t>回</w:t>
            </w:r>
            <w:r>
              <w:rPr>
                <w:rFonts w:hint="eastAsia" w:ascii="Times New Roman" w:hAnsi="Times New Roman" w:eastAsia="宋体" w:cs="Times New Roman"/>
                <w:sz w:val="24"/>
                <w:highlight w:val="none"/>
              </w:rPr>
              <w:t>用，详细水质见表</w:t>
            </w:r>
            <w:r>
              <w:rPr>
                <w:rFonts w:hint="eastAsia" w:ascii="Times New Roman" w:hAnsi="Times New Roman" w:eastAsia="宋体" w:cs="Times New Roman"/>
                <w:sz w:val="24"/>
                <w:highlight w:val="none"/>
                <w:lang w:val="en-US" w:eastAsia="zh-CN"/>
              </w:rPr>
              <w:t>3</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9</w:t>
            </w:r>
            <w:r>
              <w:rPr>
                <w:rFonts w:hint="eastAsia" w:ascii="Times New Roman" w:hAnsi="Times New Roman" w:eastAsia="宋体" w:cs="Times New Roman"/>
                <w:sz w:val="24"/>
                <w:highlight w:val="none"/>
                <w:lang w:eastAsia="zh-CN"/>
              </w:rPr>
              <w:t>。</w:t>
            </w:r>
          </w:p>
          <w:p w14:paraId="213259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3</w:t>
            </w:r>
            <w:r>
              <w:rPr>
                <w:rFonts w:hint="eastAsia"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9</w:t>
            </w:r>
            <w:r>
              <w:rPr>
                <w:rFonts w:hint="eastAsia" w:ascii="Times New Roman" w:hAnsi="Times New Roman" w:eastAsia="宋体" w:cs="Times New Roman"/>
                <w:b/>
                <w:bCs/>
                <w:color w:val="000000"/>
                <w:sz w:val="24"/>
                <w:szCs w:val="24"/>
              </w:rPr>
              <w:t xml:space="preserve">  设计处理出水标准</w:t>
            </w:r>
          </w:p>
          <w:tbl>
            <w:tblPr>
              <w:tblStyle w:val="8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4"/>
              <w:gridCol w:w="3147"/>
              <w:gridCol w:w="3153"/>
            </w:tblGrid>
            <w:tr w14:paraId="69C2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5" w:type="dxa"/>
                  <w:tcBorders>
                    <w:tl2br w:val="nil"/>
                    <w:tr2bl w:val="nil"/>
                  </w:tcBorders>
                  <w:noWrap w:val="0"/>
                  <w:vAlign w:val="center"/>
                </w:tcPr>
                <w:p w14:paraId="64C594C7">
                  <w:pPr>
                    <w:pStyle w:val="166"/>
                    <w:adjustRightInd w:val="0"/>
                    <w:snapToGrid w:val="0"/>
                    <w:ind w:firstLine="0" w:firstLineChars="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污染指标</w:t>
                  </w:r>
                </w:p>
              </w:tc>
              <w:tc>
                <w:tcPr>
                  <w:tcW w:w="3133" w:type="dxa"/>
                  <w:tcBorders>
                    <w:tl2br w:val="nil"/>
                    <w:tr2bl w:val="nil"/>
                  </w:tcBorders>
                  <w:noWrap w:val="0"/>
                  <w:vAlign w:val="center"/>
                </w:tcPr>
                <w:p w14:paraId="0687B2ED">
                  <w:pPr>
                    <w:pStyle w:val="166"/>
                    <w:adjustRightInd w:val="0"/>
                    <w:snapToGrid w:val="0"/>
                    <w:ind w:firstLine="0" w:firstLineChars="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设计出水水质标准</w:t>
                  </w:r>
                </w:p>
              </w:tc>
              <w:tc>
                <w:tcPr>
                  <w:tcW w:w="3139" w:type="dxa"/>
                  <w:tcBorders>
                    <w:tl2br w:val="nil"/>
                    <w:tr2bl w:val="nil"/>
                  </w:tcBorders>
                  <w:noWrap w:val="0"/>
                  <w:vAlign w:val="center"/>
                </w:tcPr>
                <w:p w14:paraId="0E682A86">
                  <w:pPr>
                    <w:pStyle w:val="166"/>
                    <w:adjustRightInd w:val="0"/>
                    <w:snapToGrid w:val="0"/>
                    <w:ind w:firstLine="0" w:firstLineChars="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执行标准</w:t>
                  </w:r>
                </w:p>
              </w:tc>
            </w:tr>
            <w:tr w14:paraId="4232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5" w:type="dxa"/>
                  <w:tcBorders>
                    <w:tl2br w:val="nil"/>
                    <w:tr2bl w:val="nil"/>
                  </w:tcBorders>
                  <w:noWrap w:val="0"/>
                  <w:vAlign w:val="center"/>
                </w:tcPr>
                <w:p w14:paraId="3B5EC3A0">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COD</w:t>
                  </w:r>
                  <w:r>
                    <w:rPr>
                      <w:rFonts w:ascii="Times New Roman" w:hAnsi="Times New Roman" w:eastAsia="宋体" w:cs="Times New Roman"/>
                      <w:color w:val="000000"/>
                      <w:sz w:val="21"/>
                      <w:szCs w:val="21"/>
                      <w:vertAlign w:val="subscript"/>
                    </w:rPr>
                    <w:t>Cr</w:t>
                  </w:r>
                </w:p>
              </w:tc>
              <w:tc>
                <w:tcPr>
                  <w:tcW w:w="3133" w:type="dxa"/>
                  <w:tcBorders>
                    <w:tl2br w:val="nil"/>
                    <w:tr2bl w:val="nil"/>
                  </w:tcBorders>
                  <w:noWrap w:val="0"/>
                  <w:vAlign w:val="center"/>
                </w:tcPr>
                <w:p w14:paraId="646695B1">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&lt;</w:t>
                  </w:r>
                  <w:r>
                    <w:rPr>
                      <w:rFonts w:hint="eastAsia" w:ascii="Times New Roman" w:hAnsi="Times New Roman" w:eastAsia="宋体" w:cs="Times New Roman"/>
                      <w:color w:val="000000"/>
                      <w:sz w:val="21"/>
                      <w:szCs w:val="21"/>
                      <w:lang w:val="en-US" w:eastAsia="zh-CN"/>
                    </w:rPr>
                    <w:t>5</w:t>
                  </w:r>
                  <w:r>
                    <w:rPr>
                      <w:rFonts w:ascii="Times New Roman" w:hAnsi="Times New Roman" w:eastAsia="宋体" w:cs="Times New Roman"/>
                      <w:color w:val="000000"/>
                      <w:sz w:val="21"/>
                      <w:szCs w:val="21"/>
                    </w:rPr>
                    <w:t>0mg/L</w:t>
                  </w:r>
                </w:p>
              </w:tc>
              <w:tc>
                <w:tcPr>
                  <w:tcW w:w="3139" w:type="dxa"/>
                  <w:tcBorders>
                    <w:tl2br w:val="nil"/>
                    <w:tr2bl w:val="nil"/>
                  </w:tcBorders>
                  <w:noWrap w:val="0"/>
                  <w:vAlign w:val="center"/>
                </w:tcPr>
                <w:p w14:paraId="62D61539">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&lt;</w:t>
                  </w:r>
                  <w:r>
                    <w:rPr>
                      <w:rFonts w:hint="eastAsia" w:ascii="Times New Roman" w:hAnsi="Times New Roman" w:eastAsia="宋体" w:cs="Times New Roman"/>
                      <w:color w:val="000000"/>
                      <w:sz w:val="21"/>
                      <w:szCs w:val="21"/>
                      <w:lang w:val="en-US" w:eastAsia="zh-CN"/>
                    </w:rPr>
                    <w:t>5</w:t>
                  </w:r>
                  <w:r>
                    <w:rPr>
                      <w:rFonts w:ascii="Times New Roman" w:hAnsi="Times New Roman" w:eastAsia="宋体" w:cs="Times New Roman"/>
                      <w:color w:val="000000"/>
                      <w:sz w:val="21"/>
                      <w:szCs w:val="21"/>
                    </w:rPr>
                    <w:t>0mg/L</w:t>
                  </w:r>
                </w:p>
              </w:tc>
            </w:tr>
            <w:tr w14:paraId="7A76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5" w:type="dxa"/>
                  <w:tcBorders>
                    <w:tl2br w:val="nil"/>
                    <w:tr2bl w:val="nil"/>
                  </w:tcBorders>
                  <w:noWrap w:val="0"/>
                  <w:vAlign w:val="center"/>
                </w:tcPr>
                <w:p w14:paraId="53862A62">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悬浮物</w:t>
                  </w:r>
                </w:p>
              </w:tc>
              <w:tc>
                <w:tcPr>
                  <w:tcW w:w="3133" w:type="dxa"/>
                  <w:tcBorders>
                    <w:tl2br w:val="nil"/>
                    <w:tr2bl w:val="nil"/>
                  </w:tcBorders>
                  <w:noWrap w:val="0"/>
                  <w:vAlign w:val="center"/>
                </w:tcPr>
                <w:p w14:paraId="6DE60617">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&lt;10</w:t>
                  </w:r>
                </w:p>
              </w:tc>
              <w:tc>
                <w:tcPr>
                  <w:tcW w:w="3139" w:type="dxa"/>
                  <w:tcBorders>
                    <w:tl2br w:val="nil"/>
                    <w:tr2bl w:val="nil"/>
                  </w:tcBorders>
                  <w:noWrap w:val="0"/>
                  <w:vAlign w:val="center"/>
                </w:tcPr>
                <w:p w14:paraId="3A87A33E">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7659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5" w:type="dxa"/>
                  <w:tcBorders>
                    <w:tl2br w:val="nil"/>
                    <w:tr2bl w:val="nil"/>
                  </w:tcBorders>
                  <w:noWrap w:val="0"/>
                  <w:vAlign w:val="center"/>
                </w:tcPr>
                <w:p w14:paraId="4E56B153">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pH</w:t>
                  </w:r>
                </w:p>
              </w:tc>
              <w:tc>
                <w:tcPr>
                  <w:tcW w:w="3133" w:type="dxa"/>
                  <w:tcBorders>
                    <w:tl2br w:val="nil"/>
                    <w:tr2bl w:val="nil"/>
                  </w:tcBorders>
                  <w:noWrap w:val="0"/>
                  <w:vAlign w:val="center"/>
                </w:tcPr>
                <w:p w14:paraId="31FF5B2F">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6.5～8.5</w:t>
                  </w:r>
                </w:p>
              </w:tc>
              <w:tc>
                <w:tcPr>
                  <w:tcW w:w="3139" w:type="dxa"/>
                  <w:tcBorders>
                    <w:tl2br w:val="nil"/>
                    <w:tr2bl w:val="nil"/>
                  </w:tcBorders>
                  <w:noWrap w:val="0"/>
                  <w:vAlign w:val="center"/>
                </w:tcPr>
                <w:p w14:paraId="1B1D2BA2">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6.5～8.5</w:t>
                  </w:r>
                </w:p>
              </w:tc>
            </w:tr>
            <w:tr w14:paraId="6F38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5" w:type="dxa"/>
                  <w:tcBorders>
                    <w:tl2br w:val="nil"/>
                    <w:tr2bl w:val="nil"/>
                  </w:tcBorders>
                  <w:noWrap w:val="0"/>
                  <w:vAlign w:val="center"/>
                </w:tcPr>
                <w:p w14:paraId="44BFF4FF">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TP</w:t>
                  </w:r>
                </w:p>
              </w:tc>
              <w:tc>
                <w:tcPr>
                  <w:tcW w:w="3133" w:type="dxa"/>
                  <w:tcBorders>
                    <w:tl2br w:val="nil"/>
                    <w:tr2bl w:val="nil"/>
                  </w:tcBorders>
                  <w:noWrap w:val="0"/>
                  <w:vAlign w:val="center"/>
                </w:tcPr>
                <w:p w14:paraId="214AA44F">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&lt;</w:t>
                  </w:r>
                  <w:r>
                    <w:rPr>
                      <w:rFonts w:hint="eastAsia" w:ascii="Times New Roman" w:hAnsi="Times New Roman" w:eastAsia="宋体" w:cs="Times New Roman"/>
                      <w:color w:val="000000"/>
                      <w:sz w:val="21"/>
                      <w:szCs w:val="21"/>
                      <w:lang w:val="en-US" w:eastAsia="zh-CN"/>
                    </w:rPr>
                    <w:t>0.5</w:t>
                  </w:r>
                  <w:r>
                    <w:rPr>
                      <w:rFonts w:ascii="Times New Roman" w:hAnsi="Times New Roman" w:eastAsia="宋体" w:cs="Times New Roman"/>
                      <w:color w:val="000000"/>
                      <w:sz w:val="21"/>
                      <w:szCs w:val="21"/>
                    </w:rPr>
                    <w:t>mg/L</w:t>
                  </w:r>
                </w:p>
              </w:tc>
              <w:tc>
                <w:tcPr>
                  <w:tcW w:w="3139" w:type="dxa"/>
                  <w:tcBorders>
                    <w:tl2br w:val="nil"/>
                    <w:tr2bl w:val="nil"/>
                  </w:tcBorders>
                  <w:noWrap w:val="0"/>
                  <w:vAlign w:val="center"/>
                </w:tcPr>
                <w:p w14:paraId="03AA545A">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&lt;</w:t>
                  </w:r>
                  <w:r>
                    <w:rPr>
                      <w:rFonts w:hint="eastAsia" w:ascii="Times New Roman" w:hAnsi="Times New Roman" w:eastAsia="宋体" w:cs="Times New Roman"/>
                      <w:color w:val="000000"/>
                      <w:sz w:val="21"/>
                      <w:szCs w:val="21"/>
                      <w:lang w:val="en-US" w:eastAsia="zh-CN"/>
                    </w:rPr>
                    <w:t>0.5</w:t>
                  </w:r>
                  <w:r>
                    <w:rPr>
                      <w:rFonts w:ascii="Times New Roman" w:hAnsi="Times New Roman" w:eastAsia="宋体" w:cs="Times New Roman"/>
                      <w:color w:val="000000"/>
                      <w:sz w:val="21"/>
                      <w:szCs w:val="21"/>
                    </w:rPr>
                    <w:t>mg/L</w:t>
                  </w:r>
                </w:p>
              </w:tc>
            </w:tr>
            <w:tr w14:paraId="189E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5" w:type="dxa"/>
                  <w:tcBorders>
                    <w:tl2br w:val="nil"/>
                    <w:tr2bl w:val="nil"/>
                  </w:tcBorders>
                  <w:noWrap w:val="0"/>
                  <w:vAlign w:val="center"/>
                </w:tcPr>
                <w:p w14:paraId="439C3BAD">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氨氮</w:t>
                  </w:r>
                </w:p>
              </w:tc>
              <w:tc>
                <w:tcPr>
                  <w:tcW w:w="3133" w:type="dxa"/>
                  <w:tcBorders>
                    <w:tl2br w:val="nil"/>
                    <w:tr2bl w:val="nil"/>
                  </w:tcBorders>
                  <w:noWrap w:val="0"/>
                  <w:vAlign w:val="center"/>
                </w:tcPr>
                <w:p w14:paraId="22C888EA">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&lt;</w:t>
                  </w:r>
                  <w:r>
                    <w:rPr>
                      <w:rFonts w:hint="eastAsia" w:ascii="Times New Roman" w:hAnsi="Times New Roman" w:eastAsia="宋体" w:cs="Times New Roman"/>
                      <w:color w:val="000000"/>
                      <w:sz w:val="21"/>
                      <w:szCs w:val="21"/>
                      <w:lang w:val="en-US" w:eastAsia="zh-CN"/>
                    </w:rPr>
                    <w:t>5</w:t>
                  </w:r>
                  <w:r>
                    <w:rPr>
                      <w:rFonts w:ascii="Times New Roman" w:hAnsi="Times New Roman" w:eastAsia="宋体" w:cs="Times New Roman"/>
                      <w:color w:val="000000"/>
                      <w:sz w:val="21"/>
                      <w:szCs w:val="21"/>
                    </w:rPr>
                    <w:t>mg/L</w:t>
                  </w:r>
                </w:p>
              </w:tc>
              <w:tc>
                <w:tcPr>
                  <w:tcW w:w="3139" w:type="dxa"/>
                  <w:tcBorders>
                    <w:tl2br w:val="nil"/>
                    <w:tr2bl w:val="nil"/>
                  </w:tcBorders>
                  <w:noWrap w:val="0"/>
                  <w:vAlign w:val="center"/>
                </w:tcPr>
                <w:p w14:paraId="54D03A7C">
                  <w:pPr>
                    <w:pStyle w:val="166"/>
                    <w:adjustRightInd w:val="0"/>
                    <w:snapToGrid w:val="0"/>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&lt;</w:t>
                  </w:r>
                  <w:r>
                    <w:rPr>
                      <w:rFonts w:hint="eastAsia" w:ascii="Times New Roman" w:hAnsi="Times New Roman" w:eastAsia="宋体" w:cs="Times New Roman"/>
                      <w:color w:val="000000"/>
                      <w:sz w:val="21"/>
                      <w:szCs w:val="21"/>
                      <w:lang w:val="en-US" w:eastAsia="zh-CN"/>
                    </w:rPr>
                    <w:t>5</w:t>
                  </w:r>
                  <w:r>
                    <w:rPr>
                      <w:rFonts w:ascii="Times New Roman" w:hAnsi="Times New Roman" w:eastAsia="宋体" w:cs="Times New Roman"/>
                      <w:color w:val="000000"/>
                      <w:sz w:val="21"/>
                      <w:szCs w:val="21"/>
                    </w:rPr>
                    <w:t>mg/L</w:t>
                  </w:r>
                </w:p>
              </w:tc>
            </w:tr>
          </w:tbl>
          <w:p w14:paraId="4FCD07D3">
            <w:pPr>
              <w:pStyle w:val="79"/>
              <w:ind w:left="0" w:leftChars="0" w:firstLine="480" w:firstLineChars="200"/>
            </w:pPr>
            <w:r>
              <w:t>（3）噪声</w:t>
            </w:r>
          </w:p>
          <w:p w14:paraId="623DA45F">
            <w:pPr>
              <w:pStyle w:val="76"/>
              <w:spacing w:line="360" w:lineRule="auto"/>
              <w:ind w:firstLine="452" w:firstLineChars="200"/>
              <w:rPr>
                <w:b/>
                <w:bCs/>
                <w:kern w:val="21"/>
              </w:rPr>
            </w:pPr>
            <w:r>
              <w:rPr>
                <w:spacing w:val="-7"/>
              </w:rPr>
              <w:t>施工期厂界噪声执行《建筑施工场界环境噪声排放标准》</w:t>
            </w:r>
            <w:r>
              <w:rPr>
                <w:spacing w:val="-4"/>
              </w:rPr>
              <w:t>（GB12523-2011）</w:t>
            </w:r>
            <w:r>
              <w:rPr>
                <w:rFonts w:hint="eastAsia"/>
                <w:spacing w:val="-4"/>
                <w:lang w:eastAsia="zh-CN"/>
              </w:rPr>
              <w:t>，</w:t>
            </w:r>
            <w:r>
              <w:t>运营期厂界噪声执行《工业企业厂界环境噪声排放标准》（GB12348-2008）中</w:t>
            </w:r>
            <w:r>
              <w:rPr>
                <w:rFonts w:hint="eastAsia"/>
                <w:lang w:val="en-US" w:eastAsia="zh-CN"/>
              </w:rPr>
              <w:t>4a</w:t>
            </w:r>
            <w:r>
              <w:t>类标准，具体见下表。</w:t>
            </w:r>
          </w:p>
          <w:p w14:paraId="4E66200F">
            <w:pPr>
              <w:tabs>
                <w:tab w:val="left" w:pos="3040"/>
              </w:tabs>
              <w:autoSpaceDE w:val="0"/>
              <w:autoSpaceDN w:val="0"/>
              <w:adjustRightInd w:val="0"/>
              <w:snapToGrid w:val="0"/>
              <w:jc w:val="center"/>
              <w:rPr>
                <w:b/>
                <w:bCs/>
                <w:kern w:val="21"/>
                <w:sz w:val="24"/>
              </w:rPr>
            </w:pPr>
            <w:r>
              <w:rPr>
                <w:b/>
                <w:bCs/>
                <w:kern w:val="21"/>
                <w:sz w:val="24"/>
              </w:rPr>
              <w:t>表3-</w:t>
            </w:r>
            <w:r>
              <w:rPr>
                <w:rFonts w:hint="eastAsia"/>
                <w:b/>
                <w:bCs/>
                <w:kern w:val="21"/>
                <w:sz w:val="24"/>
                <w:lang w:val="en-US" w:eastAsia="zh-CN"/>
              </w:rPr>
              <w:t>10</w:t>
            </w:r>
            <w:r>
              <w:rPr>
                <w:b/>
                <w:bCs/>
                <w:kern w:val="21"/>
                <w:sz w:val="24"/>
              </w:rPr>
              <w:t xml:space="preserve">  噪声排放标准单位：dB(A)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288"/>
              <w:gridCol w:w="1057"/>
              <w:gridCol w:w="5104"/>
            </w:tblGrid>
            <w:tr w14:paraId="7648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vAlign w:val="center"/>
                </w:tcPr>
                <w:p w14:paraId="17AC665F">
                  <w:pPr>
                    <w:pStyle w:val="61"/>
                    <w:spacing w:before="24" w:after="24"/>
                    <w:rPr>
                      <w:rFonts w:ascii="Times New Roman"/>
                      <w:b/>
                      <w:bCs/>
                      <w:szCs w:val="21"/>
                    </w:rPr>
                  </w:pPr>
                  <w:r>
                    <w:rPr>
                      <w:rFonts w:ascii="Times New Roman"/>
                      <w:b/>
                      <w:bCs/>
                      <w:szCs w:val="21"/>
                    </w:rPr>
                    <w:t>类别</w:t>
                  </w:r>
                </w:p>
              </w:tc>
              <w:tc>
                <w:tcPr>
                  <w:tcW w:w="1378" w:type="pct"/>
                  <w:gridSpan w:val="2"/>
                  <w:vAlign w:val="center"/>
                </w:tcPr>
                <w:p w14:paraId="46963689">
                  <w:pPr>
                    <w:pStyle w:val="61"/>
                    <w:spacing w:before="24" w:after="24"/>
                    <w:rPr>
                      <w:rFonts w:ascii="Times New Roman"/>
                      <w:b/>
                      <w:bCs/>
                      <w:szCs w:val="21"/>
                    </w:rPr>
                  </w:pPr>
                  <w:r>
                    <w:rPr>
                      <w:rFonts w:ascii="Times New Roman"/>
                      <w:b/>
                      <w:bCs/>
                      <w:szCs w:val="21"/>
                    </w:rPr>
                    <w:t>标准值</w:t>
                  </w:r>
                </w:p>
              </w:tc>
              <w:tc>
                <w:tcPr>
                  <w:tcW w:w="3000" w:type="pct"/>
                  <w:vMerge w:val="restart"/>
                  <w:vAlign w:val="center"/>
                </w:tcPr>
                <w:p w14:paraId="05FF95C7">
                  <w:pPr>
                    <w:pStyle w:val="61"/>
                    <w:spacing w:before="24" w:after="24"/>
                    <w:rPr>
                      <w:rFonts w:ascii="Times New Roman"/>
                      <w:szCs w:val="21"/>
                    </w:rPr>
                  </w:pPr>
                  <w:r>
                    <w:rPr>
                      <w:rFonts w:ascii="Times New Roman"/>
                      <w:b/>
                      <w:bCs/>
                      <w:szCs w:val="21"/>
                    </w:rPr>
                    <w:t>标准来源</w:t>
                  </w:r>
                </w:p>
              </w:tc>
            </w:tr>
            <w:tr w14:paraId="3091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vAlign w:val="center"/>
                </w:tcPr>
                <w:p w14:paraId="67B344C5">
                  <w:pPr>
                    <w:pStyle w:val="61"/>
                    <w:spacing w:before="24" w:after="24"/>
                    <w:rPr>
                      <w:rFonts w:ascii="Times New Roman"/>
                      <w:b/>
                      <w:bCs/>
                      <w:szCs w:val="21"/>
                    </w:rPr>
                  </w:pPr>
                </w:p>
              </w:tc>
              <w:tc>
                <w:tcPr>
                  <w:tcW w:w="757" w:type="pct"/>
                  <w:vAlign w:val="center"/>
                </w:tcPr>
                <w:p w14:paraId="250DA96E">
                  <w:pPr>
                    <w:pStyle w:val="61"/>
                    <w:spacing w:before="24" w:after="24"/>
                    <w:rPr>
                      <w:rFonts w:ascii="Times New Roman"/>
                      <w:b/>
                      <w:bCs/>
                      <w:szCs w:val="21"/>
                    </w:rPr>
                  </w:pPr>
                  <w:r>
                    <w:rPr>
                      <w:rFonts w:ascii="Times New Roman"/>
                      <w:b/>
                      <w:bCs/>
                      <w:szCs w:val="21"/>
                    </w:rPr>
                    <w:t>昼间</w:t>
                  </w:r>
                </w:p>
              </w:tc>
              <w:tc>
                <w:tcPr>
                  <w:tcW w:w="620" w:type="pct"/>
                  <w:vAlign w:val="center"/>
                </w:tcPr>
                <w:p w14:paraId="6F5CCAEE">
                  <w:pPr>
                    <w:pStyle w:val="61"/>
                    <w:spacing w:before="24" w:after="24"/>
                    <w:rPr>
                      <w:rFonts w:ascii="Times New Roman"/>
                      <w:b/>
                      <w:bCs/>
                      <w:szCs w:val="21"/>
                    </w:rPr>
                  </w:pPr>
                  <w:r>
                    <w:rPr>
                      <w:rFonts w:ascii="Times New Roman"/>
                      <w:b/>
                      <w:bCs/>
                      <w:szCs w:val="21"/>
                    </w:rPr>
                    <w:t>夜间</w:t>
                  </w:r>
                </w:p>
              </w:tc>
              <w:tc>
                <w:tcPr>
                  <w:tcW w:w="3000" w:type="pct"/>
                  <w:vMerge w:val="continue"/>
                  <w:vAlign w:val="center"/>
                </w:tcPr>
                <w:p w14:paraId="4DC9E43D">
                  <w:pPr>
                    <w:pStyle w:val="61"/>
                    <w:spacing w:before="24" w:after="24"/>
                    <w:rPr>
                      <w:rFonts w:ascii="Times New Roman"/>
                      <w:szCs w:val="21"/>
                    </w:rPr>
                  </w:pPr>
                </w:p>
              </w:tc>
            </w:tr>
            <w:tr w14:paraId="1C1F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14:paraId="0C9F6E27">
                  <w:pPr>
                    <w:pStyle w:val="61"/>
                    <w:spacing w:before="24" w:after="24"/>
                    <w:rPr>
                      <w:rFonts w:ascii="Times New Roman"/>
                      <w:szCs w:val="21"/>
                    </w:rPr>
                  </w:pPr>
                  <w:r>
                    <w:rPr>
                      <w:rFonts w:hint="eastAsia" w:ascii="Times New Roman"/>
                      <w:szCs w:val="21"/>
                      <w:lang w:val="en-US" w:eastAsia="zh-CN"/>
                    </w:rPr>
                    <w:t>4a</w:t>
                  </w:r>
                  <w:r>
                    <w:rPr>
                      <w:rFonts w:ascii="Times New Roman"/>
                      <w:szCs w:val="21"/>
                    </w:rPr>
                    <w:t>类</w:t>
                  </w:r>
                </w:p>
              </w:tc>
              <w:tc>
                <w:tcPr>
                  <w:tcW w:w="757" w:type="pct"/>
                  <w:vAlign w:val="center"/>
                </w:tcPr>
                <w:p w14:paraId="6B016367">
                  <w:pPr>
                    <w:pStyle w:val="61"/>
                    <w:spacing w:before="24" w:after="24"/>
                    <w:rPr>
                      <w:rFonts w:hint="default" w:ascii="Times New Roman" w:eastAsia="宋体"/>
                      <w:szCs w:val="21"/>
                      <w:lang w:val="en-US" w:eastAsia="zh-CN"/>
                    </w:rPr>
                  </w:pPr>
                  <w:r>
                    <w:rPr>
                      <w:rFonts w:hint="eastAsia" w:ascii="Times New Roman"/>
                      <w:szCs w:val="21"/>
                      <w:lang w:val="en-US" w:eastAsia="zh-CN"/>
                    </w:rPr>
                    <w:t>70</w:t>
                  </w:r>
                </w:p>
              </w:tc>
              <w:tc>
                <w:tcPr>
                  <w:tcW w:w="620" w:type="pct"/>
                  <w:vAlign w:val="center"/>
                </w:tcPr>
                <w:p w14:paraId="69959653">
                  <w:pPr>
                    <w:pStyle w:val="61"/>
                    <w:spacing w:before="24" w:after="24"/>
                    <w:rPr>
                      <w:rFonts w:ascii="Times New Roman"/>
                      <w:szCs w:val="21"/>
                    </w:rPr>
                  </w:pPr>
                  <w:r>
                    <w:rPr>
                      <w:rFonts w:hint="eastAsia" w:ascii="Times New Roman"/>
                      <w:szCs w:val="21"/>
                      <w:lang w:val="en-US" w:eastAsia="zh-CN"/>
                    </w:rPr>
                    <w:t>5</w:t>
                  </w:r>
                  <w:r>
                    <w:rPr>
                      <w:rFonts w:ascii="Times New Roman"/>
                      <w:szCs w:val="21"/>
                    </w:rPr>
                    <w:t>5</w:t>
                  </w:r>
                </w:p>
              </w:tc>
              <w:tc>
                <w:tcPr>
                  <w:tcW w:w="3000" w:type="pct"/>
                  <w:vAlign w:val="center"/>
                </w:tcPr>
                <w:p w14:paraId="50F26117">
                  <w:pPr>
                    <w:pStyle w:val="61"/>
                    <w:spacing w:before="24" w:after="24"/>
                    <w:rPr>
                      <w:rFonts w:ascii="Times New Roman"/>
                      <w:szCs w:val="21"/>
                    </w:rPr>
                  </w:pPr>
                  <w:r>
                    <w:rPr>
                      <w:rFonts w:ascii="Times New Roman"/>
                      <w:szCs w:val="21"/>
                    </w:rPr>
                    <w:t>《工业企业厂界环境噪声排放标准》（GB12348-2008）</w:t>
                  </w:r>
                </w:p>
              </w:tc>
            </w:tr>
            <w:tr w14:paraId="7162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14:paraId="44D1AA0B">
                  <w:pPr>
                    <w:pStyle w:val="61"/>
                    <w:spacing w:before="24" w:after="24"/>
                    <w:rPr>
                      <w:rFonts w:ascii="Times New Roman"/>
                      <w:szCs w:val="21"/>
                    </w:rPr>
                  </w:pPr>
                  <w:r>
                    <w:rPr>
                      <w:rFonts w:ascii="Times New Roman"/>
                      <w:szCs w:val="21"/>
                    </w:rPr>
                    <w:t>-</w:t>
                  </w:r>
                </w:p>
              </w:tc>
              <w:tc>
                <w:tcPr>
                  <w:tcW w:w="757" w:type="pct"/>
                  <w:vAlign w:val="center"/>
                </w:tcPr>
                <w:p w14:paraId="176C1A24">
                  <w:pPr>
                    <w:pStyle w:val="61"/>
                    <w:spacing w:before="24" w:after="24"/>
                    <w:rPr>
                      <w:rFonts w:ascii="Times New Roman"/>
                      <w:szCs w:val="21"/>
                    </w:rPr>
                  </w:pPr>
                  <w:r>
                    <w:rPr>
                      <w:rFonts w:ascii="Times New Roman"/>
                      <w:szCs w:val="21"/>
                    </w:rPr>
                    <w:t>70</w:t>
                  </w:r>
                </w:p>
              </w:tc>
              <w:tc>
                <w:tcPr>
                  <w:tcW w:w="620" w:type="pct"/>
                  <w:vAlign w:val="center"/>
                </w:tcPr>
                <w:p w14:paraId="0C3C1134">
                  <w:pPr>
                    <w:pStyle w:val="61"/>
                    <w:spacing w:before="24" w:after="24"/>
                    <w:rPr>
                      <w:rFonts w:ascii="Times New Roman"/>
                      <w:szCs w:val="21"/>
                    </w:rPr>
                  </w:pPr>
                  <w:r>
                    <w:rPr>
                      <w:rFonts w:ascii="Times New Roman"/>
                      <w:szCs w:val="21"/>
                    </w:rPr>
                    <w:t>55</w:t>
                  </w:r>
                </w:p>
              </w:tc>
              <w:tc>
                <w:tcPr>
                  <w:tcW w:w="3000" w:type="pct"/>
                  <w:vAlign w:val="center"/>
                </w:tcPr>
                <w:p w14:paraId="29C0CBEC">
                  <w:pPr>
                    <w:pStyle w:val="61"/>
                    <w:spacing w:before="24" w:after="24"/>
                    <w:rPr>
                      <w:rFonts w:ascii="Times New Roman"/>
                      <w:szCs w:val="21"/>
                    </w:rPr>
                  </w:pPr>
                  <w:r>
                    <w:rPr>
                      <w:rFonts w:ascii="Times New Roman"/>
                      <w:szCs w:val="21"/>
                    </w:rPr>
                    <w:t>《建筑施工场界环境噪声排放标准》（GB12523-2011）</w:t>
                  </w:r>
                </w:p>
              </w:tc>
            </w:tr>
          </w:tbl>
          <w:p w14:paraId="3A440A21">
            <w:pPr>
              <w:pStyle w:val="79"/>
              <w:spacing w:before="120" w:beforeLines="50"/>
              <w:ind w:firstLine="480"/>
            </w:pPr>
            <w:r>
              <w:t>（4）固体废物</w:t>
            </w:r>
          </w:p>
          <w:p w14:paraId="1CDCEDEF">
            <w:pPr>
              <w:adjustRightInd w:val="0"/>
              <w:snapToGrid w:val="0"/>
              <w:spacing w:line="360" w:lineRule="auto"/>
              <w:ind w:firstLine="480" w:firstLineChars="200"/>
              <w:rPr>
                <w:kern w:val="0"/>
                <w:szCs w:val="21"/>
              </w:rPr>
            </w:pPr>
            <w:r>
              <w:rPr>
                <w:kern w:val="0"/>
                <w:sz w:val="24"/>
              </w:rPr>
              <w:t>一般工业固体废物执行《一般工业固体废物贮存和填埋污染控制标准》（GB18599-2020），危险固体废物在厂内贮存、处置过程执行《危险废物贮存污染控制标准》（GB18597-2023）中的相关要求、《省生态环境厅关于印发江苏省危险废物贮存规范化管理专项整治行动方案的通知》（苏环办〔2019〕149号）、《省生态环境厅关于做好江苏省危险废物全生命周期监控系统上线运行工作的通知》（苏环办〔2020〕401号）、《省生态环境厅关于印发江苏省固体废物全过程环境监管工作意见的通知》（苏环办〔2024〕16号）等。</w:t>
            </w:r>
          </w:p>
        </w:tc>
      </w:tr>
      <w:tr w14:paraId="66913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17" w:type="dxa"/>
            <w:vAlign w:val="center"/>
          </w:tcPr>
          <w:p w14:paraId="0BF21692">
            <w:pPr>
              <w:adjustRightInd w:val="0"/>
              <w:snapToGrid w:val="0"/>
              <w:jc w:val="center"/>
              <w:rPr>
                <w:kern w:val="0"/>
                <w:sz w:val="24"/>
              </w:rPr>
            </w:pPr>
            <w:r>
              <w:rPr>
                <w:kern w:val="0"/>
                <w:sz w:val="24"/>
              </w:rPr>
              <w:t>其他</w:t>
            </w:r>
          </w:p>
        </w:tc>
        <w:tc>
          <w:tcPr>
            <w:tcW w:w="8440" w:type="dxa"/>
            <w:vAlign w:val="center"/>
          </w:tcPr>
          <w:p w14:paraId="628FFC1D">
            <w:pPr>
              <w:adjustRightInd w:val="0"/>
              <w:snapToGrid w:val="0"/>
              <w:spacing w:line="360" w:lineRule="auto"/>
              <w:ind w:firstLine="480" w:firstLineChars="200"/>
              <w:rPr>
                <w:kern w:val="0"/>
                <w:sz w:val="24"/>
              </w:rPr>
            </w:pPr>
          </w:p>
          <w:p w14:paraId="5D72725E">
            <w:pPr>
              <w:adjustRightInd w:val="0"/>
              <w:snapToGrid w:val="0"/>
              <w:spacing w:line="360" w:lineRule="auto"/>
              <w:ind w:firstLine="480" w:firstLineChars="200"/>
              <w:rPr>
                <w:kern w:val="0"/>
                <w:sz w:val="24"/>
              </w:rPr>
            </w:pPr>
          </w:p>
          <w:p w14:paraId="2047EB70">
            <w:pPr>
              <w:adjustRightInd w:val="0"/>
              <w:snapToGrid w:val="0"/>
              <w:spacing w:line="360" w:lineRule="auto"/>
              <w:ind w:firstLine="480" w:firstLineChars="200"/>
              <w:rPr>
                <w:kern w:val="0"/>
                <w:sz w:val="24"/>
              </w:rPr>
            </w:pPr>
          </w:p>
          <w:p w14:paraId="23AF554B">
            <w:pPr>
              <w:adjustRightInd w:val="0"/>
              <w:snapToGrid w:val="0"/>
              <w:spacing w:line="360" w:lineRule="auto"/>
              <w:ind w:firstLine="480" w:firstLineChars="200"/>
              <w:rPr>
                <w:kern w:val="0"/>
                <w:sz w:val="24"/>
              </w:rPr>
            </w:pPr>
            <w:r>
              <w:rPr>
                <w:kern w:val="0"/>
                <w:sz w:val="24"/>
              </w:rPr>
              <w:t>总量平衡方案：</w:t>
            </w:r>
          </w:p>
          <w:p w14:paraId="106D9A1A">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废气：本项目无废气排放，不需申请总量。</w:t>
            </w:r>
          </w:p>
          <w:p w14:paraId="507D6E09">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废水：本项目无废水排放，不需申请总量。</w:t>
            </w:r>
          </w:p>
          <w:p w14:paraId="5A384021">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固废：本项目固废排放量为零，无需申请总量。</w:t>
            </w:r>
          </w:p>
          <w:p w14:paraId="7702F5EE">
            <w:pPr>
              <w:adjustRightInd w:val="0"/>
              <w:snapToGrid w:val="0"/>
              <w:spacing w:line="360" w:lineRule="auto"/>
              <w:ind w:firstLine="480" w:firstLineChars="200"/>
              <w:rPr>
                <w:kern w:val="0"/>
                <w:sz w:val="24"/>
              </w:rPr>
            </w:pPr>
          </w:p>
          <w:p w14:paraId="726B2F38">
            <w:pPr>
              <w:adjustRightInd w:val="0"/>
              <w:snapToGrid w:val="0"/>
              <w:spacing w:line="360" w:lineRule="auto"/>
              <w:rPr>
                <w:kern w:val="0"/>
                <w:sz w:val="24"/>
              </w:rPr>
            </w:pPr>
          </w:p>
          <w:p w14:paraId="5872D62E">
            <w:pPr>
              <w:adjustRightInd w:val="0"/>
              <w:snapToGrid w:val="0"/>
              <w:spacing w:line="360" w:lineRule="auto"/>
              <w:ind w:firstLine="480" w:firstLineChars="200"/>
              <w:rPr>
                <w:rFonts w:hint="eastAsia" w:eastAsia="宋体"/>
                <w:sz w:val="24"/>
                <w:szCs w:val="28"/>
                <w:lang w:val="en-US" w:eastAsia="zh-CN"/>
              </w:rPr>
            </w:pPr>
          </w:p>
        </w:tc>
      </w:tr>
    </w:tbl>
    <w:p w14:paraId="361C2559">
      <w:pPr>
        <w:pStyle w:val="25"/>
        <w:spacing w:before="0" w:beforeAutospacing="0" w:after="0" w:afterAutospacing="0"/>
        <w:jc w:val="center"/>
        <w:outlineLvl w:val="0"/>
        <w:rPr>
          <w:rStyle w:val="42"/>
          <w:rFonts w:ascii="Times New Roman" w:hAnsi="Times New Roman"/>
          <w:color w:val="auto"/>
        </w:rPr>
      </w:pPr>
      <w:r>
        <w:rPr>
          <w:rFonts w:ascii="Times New Roman" w:hAnsi="Times New Roman"/>
          <w:snapToGrid w:val="0"/>
          <w:kern w:val="2"/>
          <w:sz w:val="36"/>
          <w:szCs w:val="36"/>
        </w:rPr>
        <w:br w:type="page"/>
      </w:r>
      <w:bookmarkStart w:id="22" w:name="_Toc4702"/>
      <w:bookmarkStart w:id="23" w:name="_Toc3485"/>
      <w:r>
        <w:rPr>
          <w:rStyle w:val="42"/>
          <w:rFonts w:ascii="Times New Roman" w:hAnsi="Times New Roman"/>
          <w:color w:val="auto"/>
        </w:rPr>
        <w:t>四、生态环境影响分析</w:t>
      </w:r>
      <w:bookmarkEnd w:id="22"/>
      <w:bookmarkEnd w:id="23"/>
    </w:p>
    <w:tbl>
      <w:tblPr>
        <w:tblStyle w:val="29"/>
        <w:tblW w:w="95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9023"/>
      </w:tblGrid>
      <w:tr w14:paraId="75311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7" w:hRule="atLeast"/>
          <w:jc w:val="center"/>
        </w:trPr>
        <w:tc>
          <w:tcPr>
            <w:tcW w:w="531" w:type="dxa"/>
            <w:tcMar>
              <w:left w:w="28" w:type="dxa"/>
              <w:right w:w="28" w:type="dxa"/>
            </w:tcMar>
            <w:vAlign w:val="center"/>
          </w:tcPr>
          <w:p w14:paraId="157034DA">
            <w:pPr>
              <w:pStyle w:val="25"/>
              <w:adjustRightInd w:val="0"/>
              <w:snapToGrid w:val="0"/>
              <w:spacing w:before="0" w:beforeAutospacing="0" w:after="0" w:afterAutospacing="0"/>
              <w:jc w:val="center"/>
              <w:rPr>
                <w:rFonts w:ascii="Times New Roman" w:hAnsi="Times New Roman"/>
                <w:bCs/>
                <w:kern w:val="2"/>
                <w:sz w:val="21"/>
                <w:szCs w:val="21"/>
              </w:rPr>
            </w:pPr>
            <w:bookmarkStart w:id="24" w:name="_Hlk49796138"/>
            <w:r>
              <w:rPr>
                <w:rFonts w:ascii="Times New Roman" w:hAnsi="Times New Roman"/>
                <w:bCs/>
                <w:spacing w:val="10"/>
                <w:kern w:val="2"/>
                <w:szCs w:val="24"/>
              </w:rPr>
              <w:t>施工期生态环境影响分析</w:t>
            </w:r>
            <w:bookmarkEnd w:id="24"/>
          </w:p>
        </w:tc>
        <w:tc>
          <w:tcPr>
            <w:tcW w:w="9023" w:type="dxa"/>
          </w:tcPr>
          <w:p w14:paraId="460CECE2">
            <w:pPr>
              <w:widowControl/>
              <w:spacing w:line="360" w:lineRule="auto"/>
              <w:ind w:firstLine="480" w:firstLineChars="200"/>
              <w:rPr>
                <w:bCs/>
                <w:sz w:val="24"/>
              </w:rPr>
            </w:pPr>
            <w:r>
              <w:rPr>
                <w:bCs/>
                <w:sz w:val="24"/>
              </w:rPr>
              <w:t>拟建项目在建设过程中逆变机房及箱变附近地面需做整体场地整平，光伏阵列基础全部选用成品预制混凝土空心管桩，采用机械打桩及静压桩方法进行施工。现有地块为水面的区域光伏阵列基础施工采取分片进行，</w:t>
            </w:r>
            <w:r>
              <w:rPr>
                <w:rFonts w:ascii="Times New Roman" w:hAnsi="Times New Roman" w:eastAsia="宋体" w:cs="Times New Roman"/>
                <w:kern w:val="2"/>
                <w:sz w:val="24"/>
                <w:szCs w:val="32"/>
                <w:lang w:val="en-US" w:eastAsia="zh-CN" w:bidi="ar-SA"/>
              </w:rPr>
              <w:t>对光伏场区先进行排水晾干</w:t>
            </w:r>
            <w:r>
              <w:rPr>
                <w:rFonts w:hint="eastAsia" w:ascii="Times New Roman" w:hAnsi="Times New Roman" w:eastAsia="宋体" w:cs="Times New Roman"/>
                <w:kern w:val="2"/>
                <w:sz w:val="24"/>
                <w:szCs w:val="32"/>
                <w:lang w:val="en-US" w:eastAsia="zh-CN" w:bidi="ar-SA"/>
              </w:rPr>
              <w:t>（动工区域鱼塘水排放至其他未动工区域鱼塘，鱼塘里鱼类捞走，塘底的淤泥清捞做护坡，尾水不外排，待动工的鱼塘建设完成，再将水引至建设完成的鱼塘中）</w:t>
            </w:r>
            <w:r>
              <w:rPr>
                <w:bCs/>
                <w:sz w:val="24"/>
              </w:rPr>
              <w:t>，然后再进行基础施工。根据建设单位提供的材料，项目分片区依次施工。</w:t>
            </w:r>
          </w:p>
          <w:p w14:paraId="27C952CF">
            <w:pPr>
              <w:widowControl/>
              <w:spacing w:line="360" w:lineRule="auto"/>
              <w:ind w:firstLine="480" w:firstLineChars="200"/>
              <w:rPr>
                <w:bCs/>
                <w:sz w:val="24"/>
              </w:rPr>
            </w:pPr>
            <w:r>
              <w:rPr>
                <w:bCs/>
                <w:sz w:val="24"/>
              </w:rPr>
              <w:t>项目建设施工期对外环境的影响主要来自施工开挖及车辆运输产生的扬尘、施工机械废气以及焊接烟尘；施工人员产生的生活废水、生活垃圾；设备机械及运输车辆产生的噪声以及施工期间造成的水土流失、地表植被破坏等生态影响。</w:t>
            </w:r>
          </w:p>
          <w:p w14:paraId="2625EF10">
            <w:pPr>
              <w:pStyle w:val="167"/>
              <w:spacing w:before="40" w:line="219" w:lineRule="auto"/>
              <w:ind w:left="112" w:firstLine="482" w:firstLineChars="200"/>
              <w:rPr>
                <w:rFonts w:ascii="Times New Roman" w:hAnsi="Times New Roman" w:eastAsia="宋体" w:cs="Times New Roman"/>
                <w:b/>
                <w:bCs/>
                <w:kern w:val="2"/>
                <w:sz w:val="24"/>
                <w:szCs w:val="32"/>
                <w:lang w:val="en-US" w:eastAsia="zh-CN" w:bidi="ar-SA"/>
              </w:rPr>
            </w:pPr>
            <w:r>
              <w:rPr>
                <w:rFonts w:hint="eastAsia" w:ascii="Times New Roman" w:hAnsi="Times New Roman" w:eastAsia="宋体" w:cs="Times New Roman"/>
                <w:b/>
                <w:bCs/>
                <w:kern w:val="2"/>
                <w:sz w:val="24"/>
                <w:szCs w:val="32"/>
                <w:lang w:val="en-US" w:eastAsia="zh-CN" w:bidi="ar-SA"/>
              </w:rPr>
              <w:t>1</w:t>
            </w:r>
            <w:r>
              <w:rPr>
                <w:rFonts w:ascii="Times New Roman" w:hAnsi="Times New Roman" w:eastAsia="宋体" w:cs="Times New Roman"/>
                <w:b/>
                <w:bCs/>
                <w:kern w:val="2"/>
                <w:sz w:val="24"/>
                <w:szCs w:val="32"/>
                <w:lang w:val="en-US" w:eastAsia="zh-CN" w:bidi="ar-SA"/>
              </w:rPr>
              <w:t>、产污环节</w:t>
            </w:r>
          </w:p>
          <w:p w14:paraId="4DF31F64">
            <w:pPr>
              <w:pStyle w:val="167"/>
              <w:spacing w:before="179" w:line="347" w:lineRule="auto"/>
              <w:ind w:left="127" w:right="129" w:firstLine="462"/>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本项目为新建项目，施工期可能产生的生态破坏和环境污染的主要环节、 因素如下：</w:t>
            </w:r>
          </w:p>
          <w:p w14:paraId="2EB30FA1">
            <w:pPr>
              <w:spacing w:before="17" w:line="5943" w:lineRule="exact"/>
              <w:ind w:firstLine="1808"/>
            </w:pPr>
            <w:r>
              <w:rPr>
                <w:position w:val="-118"/>
              </w:rPr>
              <w:drawing>
                <wp:inline distT="0" distB="0" distL="0" distR="0">
                  <wp:extent cx="2940685" cy="3773805"/>
                  <wp:effectExtent l="0" t="0" r="5715" b="1079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
                          <a:stretch>
                            <a:fillRect/>
                          </a:stretch>
                        </pic:blipFill>
                        <pic:spPr>
                          <a:xfrm>
                            <a:off x="0" y="0"/>
                            <a:ext cx="2940975" cy="3774002"/>
                          </a:xfrm>
                          <a:prstGeom prst="rect">
                            <a:avLst/>
                          </a:prstGeom>
                        </pic:spPr>
                      </pic:pic>
                    </a:graphicData>
                  </a:graphic>
                </wp:inline>
              </w:drawing>
            </w:r>
          </w:p>
          <w:p w14:paraId="637F3C58">
            <w:pPr>
              <w:pStyle w:val="167"/>
              <w:spacing w:before="55" w:line="219" w:lineRule="auto"/>
              <w:ind w:left="2255"/>
              <w:rPr>
                <w:b/>
                <w:bCs/>
                <w:sz w:val="24"/>
                <w:szCs w:val="32"/>
              </w:rPr>
            </w:pPr>
            <w:r>
              <w:rPr>
                <w:rFonts w:ascii="Times New Roman" w:hAnsi="Times New Roman" w:eastAsia="宋体" w:cs="Times New Roman"/>
                <w:b/>
                <w:bCs/>
                <w:kern w:val="2"/>
                <w:sz w:val="24"/>
                <w:szCs w:val="32"/>
                <w:lang w:val="en-US" w:eastAsia="zh-CN" w:bidi="ar-SA"/>
              </w:rPr>
              <w:t>图 4-1 施工期工艺流程及产污环节图</w:t>
            </w:r>
          </w:p>
          <w:p w14:paraId="6F87750F">
            <w:pPr>
              <w:widowControl/>
              <w:spacing w:line="360" w:lineRule="auto"/>
              <w:ind w:firstLine="482" w:firstLineChars="200"/>
              <w:rPr>
                <w:b/>
                <w:bCs/>
                <w:sz w:val="24"/>
                <w:szCs w:val="32"/>
              </w:rPr>
            </w:pPr>
            <w:r>
              <w:rPr>
                <w:rFonts w:hint="eastAsia"/>
                <w:b/>
                <w:bCs/>
                <w:sz w:val="24"/>
                <w:szCs w:val="32"/>
                <w:lang w:val="en-US" w:eastAsia="zh-CN"/>
              </w:rPr>
              <w:t>2</w:t>
            </w:r>
            <w:r>
              <w:rPr>
                <w:b/>
                <w:bCs/>
                <w:sz w:val="24"/>
                <w:szCs w:val="32"/>
              </w:rPr>
              <w:t>、施工期大气环境影响分析</w:t>
            </w:r>
          </w:p>
          <w:p w14:paraId="06F25ADB">
            <w:pPr>
              <w:adjustRightInd w:val="0"/>
              <w:snapToGrid w:val="0"/>
              <w:spacing w:line="360" w:lineRule="auto"/>
              <w:ind w:firstLine="480" w:firstLineChars="200"/>
              <w:rPr>
                <w:sz w:val="24"/>
                <w:szCs w:val="32"/>
              </w:rPr>
            </w:pPr>
            <w:r>
              <w:rPr>
                <w:sz w:val="24"/>
                <w:szCs w:val="32"/>
              </w:rPr>
              <w:t>本项目施工期对环境空气造成影响的因素主要是施工扬尘污染、运输车辆、施工机械产生的尾气以及焊接烟尘。</w:t>
            </w:r>
          </w:p>
          <w:p w14:paraId="3D6BC2A2">
            <w:pPr>
              <w:adjustRightInd w:val="0"/>
              <w:snapToGrid w:val="0"/>
              <w:spacing w:line="360" w:lineRule="auto"/>
              <w:ind w:firstLine="480" w:firstLineChars="200"/>
              <w:rPr>
                <w:sz w:val="24"/>
                <w:szCs w:val="32"/>
              </w:rPr>
            </w:pPr>
            <w:r>
              <w:rPr>
                <w:rFonts w:hint="eastAsia"/>
                <w:sz w:val="24"/>
                <w:szCs w:val="32"/>
                <w:lang w:eastAsia="zh-CN"/>
              </w:rPr>
              <w:t>（</w:t>
            </w:r>
            <w:r>
              <w:rPr>
                <w:sz w:val="24"/>
                <w:szCs w:val="32"/>
              </w:rPr>
              <w:t>1</w:t>
            </w:r>
            <w:r>
              <w:rPr>
                <w:rFonts w:hint="eastAsia"/>
                <w:sz w:val="24"/>
                <w:szCs w:val="32"/>
                <w:lang w:eastAsia="zh-CN"/>
              </w:rPr>
              <w:t>）</w:t>
            </w:r>
            <w:r>
              <w:rPr>
                <w:sz w:val="24"/>
                <w:szCs w:val="32"/>
              </w:rPr>
              <w:t>施工扬尘</w:t>
            </w:r>
          </w:p>
          <w:p w14:paraId="34C207A0">
            <w:pPr>
              <w:adjustRightInd w:val="0"/>
              <w:snapToGrid w:val="0"/>
              <w:spacing w:line="360" w:lineRule="auto"/>
              <w:ind w:firstLine="480" w:firstLineChars="200"/>
              <w:rPr>
                <w:sz w:val="24"/>
                <w:szCs w:val="32"/>
              </w:rPr>
            </w:pPr>
            <w:r>
              <w:rPr>
                <w:sz w:val="24"/>
                <w:szCs w:val="32"/>
              </w:rPr>
              <w:t>项目施工扬尘主要来自光伏组件基础、箱式变、集电线路、室外电气设备、道路等工程建设时施工开挖、粉状建筑材料的装卸、拉运粉状材料及土石方、施工粉状材料的临时堆存、车辆在道路上行走等。扬尘源多且分散，源高一般在15m以下，属无组织排放。施工扬尘产生量受施工方式、设备、气候等因素制约，产生的随机性和波动性大。</w:t>
            </w:r>
          </w:p>
          <w:p w14:paraId="25A89F89">
            <w:pPr>
              <w:adjustRightInd w:val="0"/>
              <w:snapToGrid w:val="0"/>
              <w:spacing w:line="360" w:lineRule="auto"/>
              <w:ind w:firstLine="480" w:firstLineChars="200"/>
              <w:rPr>
                <w:sz w:val="24"/>
                <w:szCs w:val="32"/>
              </w:rPr>
            </w:pPr>
            <w:r>
              <w:rPr>
                <w:sz w:val="24"/>
                <w:szCs w:val="32"/>
              </w:rPr>
              <w:t>工程施工时，由于土石方的开挖造成土地裸露，产生局部二次扬尘，工地周边颗粒物浓度要高于其它地方水平，且一般呈现施工工地下风向＞施工工地内＞施工工地上风向状态；此外，工地装卸、堆放材料及施工过程中由于地面干燥松散由风吹所引起的扬尘，也会增加空气中颗粒物含量，但若及时对场地进行洒水，扬尘量一般可减少25%-75%左右；同时，及早采取围挡措施亦可有效减少扬尘扩散，一般当风速为2.5m/s时，可使影响距离缩短40%左右，有效降低了对环境的影响，且随着工程的结束即可恢复；此外，大件设备及其他设备材料的运输，可能会使所经道路产生扬尘问题，如运输材料过程中由于公路凹凸不平或装运过于饱满等原因造成的抛洒以及运行车辆尾部卷扬造成的道路扬尘等，但该扬尘问题只是暂时的和流动的，在采取密闭、冲洗车辆轮胎等措施后可有效降低扬尘问题，且当建设期结束，此问题亦会消失。</w:t>
            </w:r>
          </w:p>
          <w:p w14:paraId="25C241A6">
            <w:pPr>
              <w:adjustRightInd w:val="0"/>
              <w:snapToGrid w:val="0"/>
              <w:spacing w:line="360" w:lineRule="auto"/>
              <w:ind w:firstLine="480" w:firstLineChars="200"/>
              <w:rPr>
                <w:sz w:val="24"/>
                <w:szCs w:val="32"/>
              </w:rPr>
            </w:pPr>
            <w:r>
              <w:rPr>
                <w:sz w:val="24"/>
                <w:szCs w:val="32"/>
              </w:rPr>
              <w:t>由于项目光伏区基础施工、道路施工等边界距离部分村庄居民点较近，为减少施工期扬尘对其影响，通过采取在临近村庄侧施工现场设置围挡和施工场地四周定期实施洒水抑尘；运输车辆尽量远离村庄一侧行驶，运输的粉状材料表面加盖篷布，且对施工车辆行驶的路面定期实施洒水抑尘；露天堆放的材料在表面加盖篷布，土石方开挖后尽快回填，临时建筑垃圾、土石方等堆场位置远离村庄布置，采取以上措施后可明显减轻扬尘对村庄环境的影响，且随着施工的结束污染及其影响随之结束。</w:t>
            </w:r>
          </w:p>
          <w:p w14:paraId="4661B302">
            <w:pPr>
              <w:adjustRightInd w:val="0"/>
              <w:snapToGrid w:val="0"/>
              <w:spacing w:line="360" w:lineRule="auto"/>
              <w:ind w:firstLine="480" w:firstLineChars="200"/>
              <w:rPr>
                <w:sz w:val="24"/>
                <w:szCs w:val="32"/>
              </w:rPr>
            </w:pPr>
            <w:r>
              <w:rPr>
                <w:sz w:val="24"/>
                <w:szCs w:val="32"/>
              </w:rPr>
              <w:t>综上，施工时产生的扬尘、粉尘对环境的影响是可控的。且考虑项目施工区布置较分散，周边地形较开阔，有利于污染物的扩散，这在一定程度上可减轻扬尘的影响。</w:t>
            </w:r>
          </w:p>
          <w:p w14:paraId="31CBFAA3">
            <w:pPr>
              <w:adjustRightInd w:val="0"/>
              <w:snapToGrid w:val="0"/>
              <w:spacing w:line="360" w:lineRule="auto"/>
              <w:ind w:firstLine="480" w:firstLineChars="200"/>
              <w:rPr>
                <w:sz w:val="24"/>
                <w:szCs w:val="32"/>
              </w:rPr>
            </w:pPr>
            <w:r>
              <w:rPr>
                <w:rFonts w:hint="eastAsia"/>
                <w:sz w:val="24"/>
                <w:szCs w:val="32"/>
                <w:lang w:eastAsia="zh-CN"/>
              </w:rPr>
              <w:t>（</w:t>
            </w:r>
            <w:r>
              <w:rPr>
                <w:rFonts w:hint="eastAsia"/>
                <w:sz w:val="24"/>
                <w:szCs w:val="32"/>
                <w:lang w:val="en-US" w:eastAsia="zh-CN"/>
              </w:rPr>
              <w:t>2</w:t>
            </w:r>
            <w:r>
              <w:rPr>
                <w:rFonts w:hint="eastAsia"/>
                <w:sz w:val="24"/>
                <w:szCs w:val="32"/>
                <w:lang w:eastAsia="zh-CN"/>
              </w:rPr>
              <w:t>）</w:t>
            </w:r>
            <w:r>
              <w:rPr>
                <w:sz w:val="24"/>
                <w:szCs w:val="32"/>
              </w:rPr>
              <w:t>施工机械废气</w:t>
            </w:r>
          </w:p>
          <w:p w14:paraId="7DA63F1B">
            <w:pPr>
              <w:adjustRightInd w:val="0"/>
              <w:snapToGrid w:val="0"/>
              <w:spacing w:line="360" w:lineRule="auto"/>
              <w:ind w:firstLine="480" w:firstLineChars="200"/>
              <w:rPr>
                <w:sz w:val="24"/>
                <w:szCs w:val="32"/>
              </w:rPr>
            </w:pPr>
            <w:r>
              <w:rPr>
                <w:sz w:val="24"/>
                <w:szCs w:val="32"/>
              </w:rPr>
              <w:t>以燃油为动力的施工机械、运输车辆等在施工场地附近排放一定量的废气，主要污染物是HC、CO、NOx等，因施工点较为分散，且施工场地周围空旷，施工机械废气易扩散，很难积累。因此，只要加强设备维护，控制排放未完全燃烧的黑烟，对周围环境空气将不会有较大的影响。</w:t>
            </w:r>
          </w:p>
          <w:p w14:paraId="7F34F59F">
            <w:pPr>
              <w:adjustRightInd w:val="0"/>
              <w:snapToGrid w:val="0"/>
              <w:spacing w:line="360" w:lineRule="auto"/>
              <w:ind w:firstLine="480" w:firstLineChars="200"/>
              <w:rPr>
                <w:sz w:val="24"/>
                <w:szCs w:val="32"/>
              </w:rPr>
            </w:pPr>
            <w:r>
              <w:rPr>
                <w:rFonts w:hint="eastAsia"/>
                <w:sz w:val="24"/>
                <w:szCs w:val="32"/>
                <w:lang w:eastAsia="zh-CN"/>
              </w:rPr>
              <w:t>（</w:t>
            </w:r>
            <w:r>
              <w:rPr>
                <w:rFonts w:hint="eastAsia"/>
                <w:sz w:val="24"/>
                <w:szCs w:val="32"/>
                <w:lang w:val="en-US" w:eastAsia="zh-CN"/>
              </w:rPr>
              <w:t>3</w:t>
            </w:r>
            <w:r>
              <w:rPr>
                <w:rFonts w:hint="eastAsia"/>
                <w:sz w:val="24"/>
                <w:szCs w:val="32"/>
                <w:lang w:eastAsia="zh-CN"/>
              </w:rPr>
              <w:t>）</w:t>
            </w:r>
            <w:r>
              <w:rPr>
                <w:sz w:val="24"/>
                <w:szCs w:val="32"/>
              </w:rPr>
              <w:t>焊接烟尘</w:t>
            </w:r>
          </w:p>
          <w:p w14:paraId="41859C9F">
            <w:pPr>
              <w:autoSpaceDE w:val="0"/>
              <w:autoSpaceDN w:val="0"/>
              <w:adjustRightInd w:val="0"/>
              <w:spacing w:line="360" w:lineRule="auto"/>
              <w:ind w:firstLine="480" w:firstLineChars="200"/>
              <w:rPr>
                <w:bCs/>
                <w:sz w:val="24"/>
              </w:rPr>
            </w:pPr>
            <w:r>
              <w:rPr>
                <w:bCs/>
                <w:sz w:val="24"/>
              </w:rPr>
              <w:t>光伏组件安装时需进行焊接，焊接烟尘主要成分为锰化物、三氧化二铁等金属氧化物。本项目施工期使用的焊机为氩弧焊机，预计消耗焊丝300kg，根据《机加工行业环境影响评价中常见污染物源强估算及污染治理》（许海萍等，湖北大学学报），本项目焊接烟尘产生量采用下公式进行估算：</w:t>
            </w:r>
          </w:p>
          <w:p w14:paraId="24D44581">
            <w:pPr>
              <w:autoSpaceDE w:val="0"/>
              <w:autoSpaceDN w:val="0"/>
              <w:adjustRightInd w:val="0"/>
              <w:spacing w:line="360" w:lineRule="auto"/>
              <w:ind w:firstLine="480" w:firstLineChars="200"/>
              <w:rPr>
                <w:bCs/>
                <w:sz w:val="24"/>
              </w:rPr>
            </w:pPr>
            <w:r>
              <w:rPr>
                <w:bCs/>
                <w:sz w:val="24"/>
              </w:rPr>
              <w:t>M=M2×M3</w:t>
            </w:r>
          </w:p>
          <w:p w14:paraId="29029972">
            <w:pPr>
              <w:autoSpaceDE w:val="0"/>
              <w:autoSpaceDN w:val="0"/>
              <w:adjustRightInd w:val="0"/>
              <w:spacing w:line="360" w:lineRule="auto"/>
              <w:ind w:firstLine="480" w:firstLineChars="200"/>
              <w:rPr>
                <w:bCs/>
                <w:sz w:val="24"/>
              </w:rPr>
            </w:pPr>
            <w:r>
              <w:rPr>
                <w:bCs/>
                <w:sz w:val="24"/>
              </w:rPr>
              <w:t>式中：M 为焊接烟气产生量，kg/a；</w:t>
            </w:r>
          </w:p>
          <w:p w14:paraId="0406C8E1">
            <w:pPr>
              <w:autoSpaceDE w:val="0"/>
              <w:autoSpaceDN w:val="0"/>
              <w:adjustRightInd w:val="0"/>
              <w:spacing w:line="360" w:lineRule="auto"/>
              <w:ind w:firstLine="480" w:firstLineChars="200"/>
              <w:rPr>
                <w:bCs/>
                <w:sz w:val="24"/>
              </w:rPr>
            </w:pPr>
            <w:r>
              <w:rPr>
                <w:bCs/>
                <w:sz w:val="24"/>
              </w:rPr>
              <w:t>M2 为每千克焊材发尘量，g/kg；</w:t>
            </w:r>
          </w:p>
          <w:p w14:paraId="1F2818AD">
            <w:pPr>
              <w:autoSpaceDE w:val="0"/>
              <w:autoSpaceDN w:val="0"/>
              <w:adjustRightInd w:val="0"/>
              <w:spacing w:line="360" w:lineRule="auto"/>
              <w:ind w:firstLine="480" w:firstLineChars="200"/>
              <w:rPr>
                <w:bCs/>
                <w:sz w:val="24"/>
              </w:rPr>
            </w:pPr>
            <w:r>
              <w:rPr>
                <w:bCs/>
                <w:sz w:val="24"/>
              </w:rPr>
              <w:t>M3 为焊材使用量，kg。</w:t>
            </w:r>
          </w:p>
          <w:p w14:paraId="4A3A32C5">
            <w:pPr>
              <w:autoSpaceDE w:val="0"/>
              <w:autoSpaceDN w:val="0"/>
              <w:adjustRightInd w:val="0"/>
              <w:spacing w:line="360" w:lineRule="auto"/>
              <w:ind w:firstLine="480" w:firstLineChars="200"/>
              <w:rPr>
                <w:sz w:val="24"/>
              </w:rPr>
            </w:pPr>
            <w:r>
              <w:rPr>
                <w:bCs/>
                <w:sz w:val="24"/>
              </w:rPr>
              <w:t>本项目使用的氩弧焊机发尘量（M2）为2~5g/kg，本评价按照5g/kg进行计算，本项目施工期焊材使用量为300kg，则焊接烟尘产生量为1.5kg。项目需焊接工程量较小且焊接地点较为分散，</w:t>
            </w:r>
            <w:r>
              <w:rPr>
                <w:rFonts w:hint="eastAsia"/>
                <w:bCs/>
                <w:sz w:val="24"/>
              </w:rPr>
              <w:t>采用移动式焊烟除尘器对焊接烟尘进行收集处理后达标排放，</w:t>
            </w:r>
            <w:r>
              <w:rPr>
                <w:bCs/>
                <w:sz w:val="24"/>
              </w:rPr>
              <w:t>施工场地周围空旷，烟尘易扩散不易积累，对周围环境空气影响较小。</w:t>
            </w:r>
          </w:p>
          <w:p w14:paraId="0DC30567">
            <w:pPr>
              <w:autoSpaceDE w:val="0"/>
              <w:autoSpaceDN w:val="0"/>
              <w:adjustRightInd w:val="0"/>
              <w:spacing w:line="360" w:lineRule="auto"/>
              <w:ind w:firstLine="482" w:firstLineChars="200"/>
              <w:rPr>
                <w:sz w:val="24"/>
                <w:szCs w:val="32"/>
              </w:rPr>
            </w:pPr>
            <w:r>
              <w:rPr>
                <w:rFonts w:hint="eastAsia"/>
                <w:b/>
                <w:bCs/>
                <w:sz w:val="24"/>
                <w:szCs w:val="32"/>
                <w:lang w:val="en-US" w:eastAsia="zh-CN"/>
              </w:rPr>
              <w:t>3</w:t>
            </w:r>
            <w:r>
              <w:rPr>
                <w:b/>
                <w:bCs/>
                <w:sz w:val="24"/>
                <w:szCs w:val="32"/>
              </w:rPr>
              <w:t>、施工期水环境影响分析</w:t>
            </w:r>
          </w:p>
          <w:p w14:paraId="12E9AC0A">
            <w:pPr>
              <w:autoSpaceDE w:val="0"/>
              <w:autoSpaceDN w:val="0"/>
              <w:adjustRightInd w:val="0"/>
              <w:spacing w:line="360" w:lineRule="auto"/>
              <w:ind w:firstLine="480" w:firstLineChars="200"/>
              <w:rPr>
                <w:bCs/>
                <w:kern w:val="0"/>
                <w:sz w:val="24"/>
              </w:rPr>
            </w:pPr>
            <w:r>
              <w:rPr>
                <w:bCs/>
                <w:kern w:val="0"/>
                <w:sz w:val="24"/>
              </w:rPr>
              <w:t>现有地块为水面的区域光伏阵列基础施工采取分片进行，依托现有鱼塘灌溉排涝系统，将鱼塘内的水排至农田灌溉沟渠，然后再进行基础施工。施工期废水污染源主要为施工机械、车辆和施工场地的冲洗废水、施工人员的生活污水。</w:t>
            </w:r>
          </w:p>
          <w:p w14:paraId="4F88C9D4">
            <w:pPr>
              <w:autoSpaceDE w:val="0"/>
              <w:autoSpaceDN w:val="0"/>
              <w:adjustRightInd w:val="0"/>
              <w:spacing w:line="360" w:lineRule="auto"/>
              <w:ind w:firstLine="480" w:firstLineChars="200"/>
              <w:rPr>
                <w:sz w:val="24"/>
                <w:szCs w:val="32"/>
              </w:rPr>
            </w:pPr>
            <w:r>
              <w:rPr>
                <w:rFonts w:hint="eastAsia"/>
                <w:sz w:val="24"/>
                <w:szCs w:val="32"/>
                <w:lang w:eastAsia="zh-CN"/>
              </w:rPr>
              <w:t>（</w:t>
            </w:r>
            <w:r>
              <w:rPr>
                <w:sz w:val="24"/>
                <w:szCs w:val="32"/>
              </w:rPr>
              <w:t>1</w:t>
            </w:r>
            <w:r>
              <w:rPr>
                <w:rFonts w:hint="eastAsia"/>
                <w:sz w:val="24"/>
                <w:szCs w:val="32"/>
                <w:lang w:eastAsia="zh-CN"/>
              </w:rPr>
              <w:t>）</w:t>
            </w:r>
            <w:r>
              <w:rPr>
                <w:sz w:val="24"/>
                <w:szCs w:val="32"/>
              </w:rPr>
              <w:t>施工废水</w:t>
            </w:r>
          </w:p>
          <w:p w14:paraId="4E00605B">
            <w:pPr>
              <w:autoSpaceDE w:val="0"/>
              <w:autoSpaceDN w:val="0"/>
              <w:adjustRightInd w:val="0"/>
              <w:spacing w:line="360" w:lineRule="auto"/>
              <w:ind w:firstLine="480" w:firstLineChars="200"/>
              <w:rPr>
                <w:bCs/>
              </w:rPr>
            </w:pPr>
            <w:r>
              <w:rPr>
                <w:sz w:val="24"/>
              </w:rPr>
              <w:t>施工废水主要为机械修配和冲洗废水。机械修配和冲洗、汽车保养产生的废水为含油废水，石油类浓度约20mg/L。应尽量要求施工机械和车辆到附近专门清洗点或修理点进行清洗和修理，小部分在施工现场进行清洗和修理的施工机械、车辆所产生的机械保养冲洗废水、含油污水不得随意排放，经隔油、沉淀池处理后回用于车辆冲洗或施工现场洒水降尘，不外排。</w:t>
            </w:r>
          </w:p>
          <w:p w14:paraId="1287B643">
            <w:pPr>
              <w:pStyle w:val="79"/>
              <w:numPr>
                <w:ilvl w:val="0"/>
                <w:numId w:val="0"/>
              </w:numPr>
              <w:ind w:firstLine="480" w:firstLineChars="200"/>
              <w:rPr>
                <w:szCs w:val="32"/>
              </w:rPr>
            </w:pPr>
            <w:r>
              <w:rPr>
                <w:rFonts w:hint="eastAsia"/>
                <w:szCs w:val="32"/>
                <w:lang w:eastAsia="zh-CN"/>
              </w:rPr>
              <w:t>（</w:t>
            </w:r>
            <w:r>
              <w:rPr>
                <w:rFonts w:hint="eastAsia"/>
                <w:szCs w:val="32"/>
                <w:lang w:val="en-US" w:eastAsia="zh-CN"/>
              </w:rPr>
              <w:t>2）</w:t>
            </w:r>
            <w:r>
              <w:rPr>
                <w:szCs w:val="32"/>
              </w:rPr>
              <w:t>生活污水</w:t>
            </w:r>
          </w:p>
          <w:p w14:paraId="18C78270">
            <w:pPr>
              <w:pStyle w:val="79"/>
              <w:ind w:firstLine="480"/>
              <w:rPr>
                <w:szCs w:val="32"/>
              </w:rPr>
            </w:pPr>
            <w:r>
              <w:rPr>
                <w:szCs w:val="32"/>
              </w:rPr>
              <w:t>施工人员高峰时约有30人，用水量按50L/d（根据《给排水设计手册》）测算，生活污水产生量按用量的80%计，则生活污水最大排放量为1.2m</w:t>
            </w:r>
            <w:r>
              <w:rPr>
                <w:szCs w:val="32"/>
                <w:vertAlign w:val="superscript"/>
              </w:rPr>
              <w:t>3</w:t>
            </w:r>
            <w:r>
              <w:rPr>
                <w:szCs w:val="32"/>
              </w:rPr>
              <w:t>/d。</w:t>
            </w:r>
            <w:r>
              <w:rPr>
                <w:rFonts w:hint="eastAsia"/>
                <w:szCs w:val="32"/>
              </w:rPr>
              <w:t>主要污染物为pH、COD、SS、NH</w:t>
            </w:r>
            <w:r>
              <w:rPr>
                <w:rFonts w:hint="eastAsia"/>
                <w:szCs w:val="32"/>
                <w:vertAlign w:val="subscript"/>
              </w:rPr>
              <w:t>3</w:t>
            </w:r>
            <w:r>
              <w:rPr>
                <w:rFonts w:hint="eastAsia"/>
                <w:szCs w:val="32"/>
              </w:rPr>
              <w:t>-N、TP、TN，根据《生活污染源产排污系数手册》：本项目所在地属于四区较发达城市。根据《生活污染源产排污系数手册》表1-1四区城镇生活源水污染物产污校核系数，本项目化学需氧量产生浓度为340mg/L、悬浮物产生浓度为250mg/L、氨氮产生浓度为32.6mg/L、总磷产生浓度为4.27mg/L、总氮产生浓度为44.8mg/L</w:t>
            </w:r>
            <w:r>
              <w:rPr>
                <w:szCs w:val="32"/>
              </w:rPr>
              <w:t>。</w:t>
            </w:r>
            <w:r>
              <w:rPr>
                <w:szCs w:val="22"/>
              </w:rPr>
              <w:t>生活污水经旱厕收集后定期清掏用于当地周边林地或周边农田施肥，不外排</w:t>
            </w:r>
            <w:r>
              <w:rPr>
                <w:szCs w:val="32"/>
              </w:rPr>
              <w:t>。</w:t>
            </w:r>
          </w:p>
          <w:p w14:paraId="6A002DB5">
            <w:pPr>
              <w:adjustRightInd w:val="0"/>
              <w:snapToGrid w:val="0"/>
              <w:spacing w:line="360" w:lineRule="auto"/>
              <w:ind w:firstLine="480" w:firstLineChars="200"/>
              <w:rPr>
                <w:sz w:val="24"/>
                <w:szCs w:val="32"/>
              </w:rPr>
            </w:pPr>
            <w:r>
              <w:rPr>
                <w:sz w:val="24"/>
                <w:szCs w:val="32"/>
              </w:rPr>
              <w:t>经采取上述处理措施后，不会对周围水环境产生影响。</w:t>
            </w:r>
          </w:p>
          <w:p w14:paraId="39030153">
            <w:pPr>
              <w:autoSpaceDE w:val="0"/>
              <w:autoSpaceDN w:val="0"/>
              <w:adjustRightInd w:val="0"/>
              <w:spacing w:line="360" w:lineRule="auto"/>
              <w:ind w:firstLine="482" w:firstLineChars="200"/>
              <w:rPr>
                <w:sz w:val="24"/>
                <w:szCs w:val="32"/>
              </w:rPr>
            </w:pPr>
            <w:r>
              <w:rPr>
                <w:rFonts w:hint="eastAsia"/>
                <w:b/>
                <w:bCs/>
                <w:sz w:val="24"/>
                <w:szCs w:val="32"/>
                <w:lang w:val="en-US" w:eastAsia="zh-CN"/>
              </w:rPr>
              <w:t>4</w:t>
            </w:r>
            <w:r>
              <w:rPr>
                <w:b/>
                <w:bCs/>
                <w:sz w:val="24"/>
                <w:szCs w:val="32"/>
              </w:rPr>
              <w:t>、施工期声环境影响分析</w:t>
            </w:r>
          </w:p>
          <w:p w14:paraId="2AF7A944">
            <w:pPr>
              <w:adjustRightInd w:val="0"/>
              <w:snapToGrid w:val="0"/>
              <w:spacing w:line="360" w:lineRule="auto"/>
              <w:ind w:firstLine="480" w:firstLineChars="200"/>
              <w:rPr>
                <w:sz w:val="24"/>
              </w:rPr>
            </w:pPr>
            <w:r>
              <w:rPr>
                <w:rFonts w:hint="eastAsia"/>
                <w:sz w:val="24"/>
                <w:lang w:eastAsia="zh-CN"/>
              </w:rPr>
              <w:t>（</w:t>
            </w:r>
            <w:r>
              <w:rPr>
                <w:sz w:val="24"/>
              </w:rPr>
              <w:t>1</w:t>
            </w:r>
            <w:r>
              <w:rPr>
                <w:rFonts w:hint="eastAsia"/>
                <w:sz w:val="24"/>
                <w:lang w:eastAsia="zh-CN"/>
              </w:rPr>
              <w:t>）</w:t>
            </w:r>
            <w:r>
              <w:rPr>
                <w:sz w:val="24"/>
              </w:rPr>
              <w:t>噪声源</w:t>
            </w:r>
          </w:p>
          <w:p w14:paraId="5BC886FF">
            <w:pPr>
              <w:adjustRightInd w:val="0"/>
              <w:snapToGrid w:val="0"/>
              <w:spacing w:line="360" w:lineRule="auto"/>
              <w:ind w:firstLine="480" w:firstLineChars="200"/>
              <w:rPr>
                <w:sz w:val="24"/>
              </w:rPr>
            </w:pPr>
            <w:r>
              <w:rPr>
                <w:sz w:val="24"/>
              </w:rPr>
              <w:t>工程建设期在挖填方、基础施工、设备安装等阶段中，可能产生施工噪声对环境的影响。噪声源主要来源于各类施工机械的运转噪声，施工主要机械有推土机、挖掘机、空压机等。根据《环境噪声与振动控制工程技术导则》（HJ 2034-2013），常见施工设备的声源声压级见下表。</w:t>
            </w:r>
          </w:p>
          <w:p w14:paraId="7216F0DD">
            <w:pPr>
              <w:pStyle w:val="154"/>
              <w:rPr>
                <w:b/>
                <w:bCs w:val="0"/>
                <w:sz w:val="24"/>
              </w:rPr>
            </w:pPr>
            <w:r>
              <w:rPr>
                <w:b/>
                <w:bCs w:val="0"/>
                <w:sz w:val="24"/>
              </w:rPr>
              <w:t>表4-1 施工期常见施工设备声源声压级（单位：dB（A））</w:t>
            </w:r>
          </w:p>
          <w:tbl>
            <w:tblPr>
              <w:tblStyle w:val="29"/>
              <w:tblW w:w="499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4616"/>
              <w:gridCol w:w="3081"/>
            </w:tblGrid>
            <w:tr w14:paraId="483626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23258EC6">
                  <w:pPr>
                    <w:pStyle w:val="154"/>
                    <w:adjustRightInd w:val="0"/>
                    <w:snapToGrid w:val="0"/>
                    <w:rPr>
                      <w:b/>
                      <w:bCs w:val="0"/>
                      <w:szCs w:val="21"/>
                    </w:rPr>
                  </w:pPr>
                  <w:r>
                    <w:rPr>
                      <w:b/>
                      <w:bCs w:val="0"/>
                      <w:szCs w:val="21"/>
                    </w:rPr>
                    <w:t>序号</w:t>
                  </w:r>
                </w:p>
              </w:tc>
              <w:tc>
                <w:tcPr>
                  <w:tcW w:w="2622" w:type="pct"/>
                  <w:tcBorders>
                    <w:tl2br w:val="nil"/>
                    <w:tr2bl w:val="nil"/>
                  </w:tcBorders>
                  <w:vAlign w:val="center"/>
                </w:tcPr>
                <w:p w14:paraId="3D795E1C">
                  <w:pPr>
                    <w:pStyle w:val="154"/>
                    <w:adjustRightInd w:val="0"/>
                    <w:snapToGrid w:val="0"/>
                    <w:rPr>
                      <w:b/>
                      <w:bCs w:val="0"/>
                      <w:szCs w:val="21"/>
                    </w:rPr>
                  </w:pPr>
                  <w:r>
                    <w:rPr>
                      <w:b/>
                      <w:bCs w:val="0"/>
                      <w:szCs w:val="21"/>
                    </w:rPr>
                    <w:t>施工设备名</w:t>
                  </w:r>
                </w:p>
              </w:tc>
              <w:tc>
                <w:tcPr>
                  <w:tcW w:w="1750" w:type="pct"/>
                  <w:tcBorders>
                    <w:tl2br w:val="nil"/>
                    <w:tr2bl w:val="nil"/>
                  </w:tcBorders>
                  <w:vAlign w:val="center"/>
                </w:tcPr>
                <w:p w14:paraId="209635A9">
                  <w:pPr>
                    <w:pStyle w:val="154"/>
                    <w:adjustRightInd w:val="0"/>
                    <w:snapToGrid w:val="0"/>
                    <w:rPr>
                      <w:b/>
                      <w:bCs w:val="0"/>
                      <w:szCs w:val="21"/>
                    </w:rPr>
                  </w:pPr>
                  <w:r>
                    <w:rPr>
                      <w:b/>
                      <w:bCs w:val="0"/>
                      <w:szCs w:val="21"/>
                    </w:rPr>
                    <w:t>距离声源5m</w:t>
                  </w:r>
                </w:p>
              </w:tc>
            </w:tr>
            <w:tr w14:paraId="4CD8DB6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1812EC3F">
                  <w:pPr>
                    <w:pStyle w:val="154"/>
                    <w:adjustRightInd w:val="0"/>
                    <w:snapToGrid w:val="0"/>
                    <w:rPr>
                      <w:szCs w:val="21"/>
                    </w:rPr>
                  </w:pPr>
                  <w:r>
                    <w:rPr>
                      <w:szCs w:val="21"/>
                    </w:rPr>
                    <w:t>1</w:t>
                  </w:r>
                </w:p>
              </w:tc>
              <w:tc>
                <w:tcPr>
                  <w:tcW w:w="2622" w:type="pct"/>
                  <w:tcBorders>
                    <w:tl2br w:val="nil"/>
                    <w:tr2bl w:val="nil"/>
                  </w:tcBorders>
                  <w:vAlign w:val="center"/>
                </w:tcPr>
                <w:p w14:paraId="17D71FDF">
                  <w:pPr>
                    <w:pStyle w:val="154"/>
                    <w:adjustRightInd w:val="0"/>
                    <w:snapToGrid w:val="0"/>
                    <w:rPr>
                      <w:szCs w:val="21"/>
                    </w:rPr>
                  </w:pPr>
                  <w:r>
                    <w:rPr>
                      <w:szCs w:val="21"/>
                    </w:rPr>
                    <w:t>液压挖掘机</w:t>
                  </w:r>
                </w:p>
              </w:tc>
              <w:tc>
                <w:tcPr>
                  <w:tcW w:w="1750" w:type="pct"/>
                  <w:tcBorders>
                    <w:tl2br w:val="nil"/>
                    <w:tr2bl w:val="nil"/>
                  </w:tcBorders>
                  <w:vAlign w:val="center"/>
                </w:tcPr>
                <w:p w14:paraId="5C876CA0">
                  <w:pPr>
                    <w:pStyle w:val="154"/>
                    <w:adjustRightInd w:val="0"/>
                    <w:snapToGrid w:val="0"/>
                    <w:rPr>
                      <w:szCs w:val="21"/>
                    </w:rPr>
                  </w:pPr>
                  <w:r>
                    <w:rPr>
                      <w:szCs w:val="21"/>
                    </w:rPr>
                    <w:t>82~90</w:t>
                  </w:r>
                </w:p>
              </w:tc>
            </w:tr>
            <w:tr w14:paraId="347572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2861138A">
                  <w:pPr>
                    <w:pStyle w:val="154"/>
                    <w:adjustRightInd w:val="0"/>
                    <w:snapToGrid w:val="0"/>
                    <w:rPr>
                      <w:szCs w:val="21"/>
                    </w:rPr>
                  </w:pPr>
                  <w:r>
                    <w:rPr>
                      <w:szCs w:val="21"/>
                    </w:rPr>
                    <w:t>2</w:t>
                  </w:r>
                </w:p>
              </w:tc>
              <w:tc>
                <w:tcPr>
                  <w:tcW w:w="2622" w:type="pct"/>
                  <w:tcBorders>
                    <w:tl2br w:val="nil"/>
                    <w:tr2bl w:val="nil"/>
                  </w:tcBorders>
                  <w:vAlign w:val="center"/>
                </w:tcPr>
                <w:p w14:paraId="1CB351F7">
                  <w:pPr>
                    <w:pStyle w:val="154"/>
                    <w:adjustRightInd w:val="0"/>
                    <w:snapToGrid w:val="0"/>
                    <w:rPr>
                      <w:szCs w:val="21"/>
                    </w:rPr>
                  </w:pPr>
                  <w:r>
                    <w:rPr>
                      <w:szCs w:val="21"/>
                    </w:rPr>
                    <w:t>推土机</w:t>
                  </w:r>
                </w:p>
              </w:tc>
              <w:tc>
                <w:tcPr>
                  <w:tcW w:w="1750" w:type="pct"/>
                  <w:tcBorders>
                    <w:tl2br w:val="nil"/>
                    <w:tr2bl w:val="nil"/>
                  </w:tcBorders>
                  <w:vAlign w:val="center"/>
                </w:tcPr>
                <w:p w14:paraId="38212248">
                  <w:pPr>
                    <w:pStyle w:val="154"/>
                    <w:adjustRightInd w:val="0"/>
                    <w:snapToGrid w:val="0"/>
                    <w:rPr>
                      <w:szCs w:val="21"/>
                    </w:rPr>
                  </w:pPr>
                  <w:r>
                    <w:rPr>
                      <w:szCs w:val="21"/>
                    </w:rPr>
                    <w:t>83~88</w:t>
                  </w:r>
                </w:p>
              </w:tc>
            </w:tr>
            <w:tr w14:paraId="38FC481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04BDD985">
                  <w:pPr>
                    <w:pStyle w:val="154"/>
                    <w:adjustRightInd w:val="0"/>
                    <w:snapToGrid w:val="0"/>
                    <w:rPr>
                      <w:szCs w:val="21"/>
                    </w:rPr>
                  </w:pPr>
                  <w:r>
                    <w:rPr>
                      <w:szCs w:val="21"/>
                    </w:rPr>
                    <w:t>3</w:t>
                  </w:r>
                </w:p>
              </w:tc>
              <w:tc>
                <w:tcPr>
                  <w:tcW w:w="2622" w:type="pct"/>
                  <w:tcBorders>
                    <w:tl2br w:val="nil"/>
                    <w:tr2bl w:val="nil"/>
                  </w:tcBorders>
                  <w:vAlign w:val="center"/>
                </w:tcPr>
                <w:p w14:paraId="3B1C70C1">
                  <w:pPr>
                    <w:pStyle w:val="154"/>
                    <w:adjustRightInd w:val="0"/>
                    <w:snapToGrid w:val="0"/>
                    <w:rPr>
                      <w:szCs w:val="21"/>
                    </w:rPr>
                  </w:pPr>
                  <w:r>
                    <w:rPr>
                      <w:szCs w:val="21"/>
                    </w:rPr>
                    <w:t>重型运输车</w:t>
                  </w:r>
                </w:p>
              </w:tc>
              <w:tc>
                <w:tcPr>
                  <w:tcW w:w="1750" w:type="pct"/>
                  <w:tcBorders>
                    <w:tl2br w:val="nil"/>
                    <w:tr2bl w:val="nil"/>
                  </w:tcBorders>
                  <w:vAlign w:val="center"/>
                </w:tcPr>
                <w:p w14:paraId="3DC161DA">
                  <w:pPr>
                    <w:pStyle w:val="154"/>
                    <w:adjustRightInd w:val="0"/>
                    <w:snapToGrid w:val="0"/>
                    <w:rPr>
                      <w:szCs w:val="21"/>
                    </w:rPr>
                  </w:pPr>
                  <w:r>
                    <w:rPr>
                      <w:szCs w:val="21"/>
                    </w:rPr>
                    <w:t>82~90</w:t>
                  </w:r>
                </w:p>
              </w:tc>
            </w:tr>
            <w:tr w14:paraId="15D8C88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6A3D749B">
                  <w:pPr>
                    <w:pStyle w:val="154"/>
                    <w:adjustRightInd w:val="0"/>
                    <w:snapToGrid w:val="0"/>
                    <w:rPr>
                      <w:szCs w:val="21"/>
                    </w:rPr>
                  </w:pPr>
                  <w:r>
                    <w:rPr>
                      <w:szCs w:val="21"/>
                    </w:rPr>
                    <w:t>4</w:t>
                  </w:r>
                </w:p>
              </w:tc>
              <w:tc>
                <w:tcPr>
                  <w:tcW w:w="2622" w:type="pct"/>
                  <w:tcBorders>
                    <w:tl2br w:val="nil"/>
                    <w:tr2bl w:val="nil"/>
                  </w:tcBorders>
                  <w:vAlign w:val="center"/>
                </w:tcPr>
                <w:p w14:paraId="7677C21C">
                  <w:pPr>
                    <w:pStyle w:val="154"/>
                    <w:adjustRightInd w:val="0"/>
                    <w:snapToGrid w:val="0"/>
                    <w:rPr>
                      <w:szCs w:val="21"/>
                    </w:rPr>
                  </w:pPr>
                  <w:r>
                    <w:rPr>
                      <w:szCs w:val="21"/>
                    </w:rPr>
                    <w:t>静力压桩机</w:t>
                  </w:r>
                </w:p>
              </w:tc>
              <w:tc>
                <w:tcPr>
                  <w:tcW w:w="1750" w:type="pct"/>
                  <w:tcBorders>
                    <w:tl2br w:val="nil"/>
                    <w:tr2bl w:val="nil"/>
                  </w:tcBorders>
                  <w:vAlign w:val="center"/>
                </w:tcPr>
                <w:p w14:paraId="4D9C21BB">
                  <w:pPr>
                    <w:pStyle w:val="154"/>
                    <w:adjustRightInd w:val="0"/>
                    <w:snapToGrid w:val="0"/>
                    <w:rPr>
                      <w:szCs w:val="21"/>
                    </w:rPr>
                  </w:pPr>
                  <w:r>
                    <w:rPr>
                      <w:szCs w:val="21"/>
                    </w:rPr>
                    <w:t>70</w:t>
                  </w:r>
                  <w:r>
                    <w:rPr>
                      <w:szCs w:val="21"/>
                    </w:rPr>
                    <w:cr/>
                  </w:r>
                  <w:r>
                    <w:rPr>
                      <w:szCs w:val="21"/>
                    </w:rPr>
                    <w:t>~75</w:t>
                  </w:r>
                </w:p>
              </w:tc>
            </w:tr>
            <w:tr w14:paraId="7F3A6B1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6B544A1A">
                  <w:pPr>
                    <w:pStyle w:val="154"/>
                    <w:adjustRightInd w:val="0"/>
                    <w:snapToGrid w:val="0"/>
                    <w:rPr>
                      <w:szCs w:val="21"/>
                    </w:rPr>
                  </w:pPr>
                  <w:r>
                    <w:rPr>
                      <w:szCs w:val="21"/>
                    </w:rPr>
                    <w:t>5</w:t>
                  </w:r>
                </w:p>
              </w:tc>
              <w:tc>
                <w:tcPr>
                  <w:tcW w:w="2622" w:type="pct"/>
                  <w:tcBorders>
                    <w:tl2br w:val="nil"/>
                    <w:tr2bl w:val="nil"/>
                  </w:tcBorders>
                  <w:vAlign w:val="center"/>
                </w:tcPr>
                <w:p w14:paraId="0A1C6124">
                  <w:pPr>
                    <w:pStyle w:val="154"/>
                    <w:adjustRightInd w:val="0"/>
                    <w:snapToGrid w:val="0"/>
                    <w:rPr>
                      <w:szCs w:val="21"/>
                    </w:rPr>
                  </w:pPr>
                  <w:r>
                    <w:rPr>
                      <w:szCs w:val="21"/>
                    </w:rPr>
                    <w:t>商砼搅拌车</w:t>
                  </w:r>
                </w:p>
              </w:tc>
              <w:tc>
                <w:tcPr>
                  <w:tcW w:w="1750" w:type="pct"/>
                  <w:tcBorders>
                    <w:tl2br w:val="nil"/>
                    <w:tr2bl w:val="nil"/>
                  </w:tcBorders>
                  <w:vAlign w:val="center"/>
                </w:tcPr>
                <w:p w14:paraId="5A046923">
                  <w:pPr>
                    <w:pStyle w:val="154"/>
                    <w:adjustRightInd w:val="0"/>
                    <w:snapToGrid w:val="0"/>
                    <w:rPr>
                      <w:szCs w:val="21"/>
                    </w:rPr>
                  </w:pPr>
                  <w:r>
                    <w:rPr>
                      <w:szCs w:val="21"/>
                    </w:rPr>
                    <w:t>85~90</w:t>
                  </w:r>
                </w:p>
              </w:tc>
            </w:tr>
            <w:tr w14:paraId="193FDB7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27858F88">
                  <w:pPr>
                    <w:pStyle w:val="154"/>
                    <w:adjustRightInd w:val="0"/>
                    <w:snapToGrid w:val="0"/>
                    <w:rPr>
                      <w:szCs w:val="21"/>
                    </w:rPr>
                  </w:pPr>
                  <w:r>
                    <w:rPr>
                      <w:szCs w:val="21"/>
                    </w:rPr>
                    <w:t>6</w:t>
                  </w:r>
                </w:p>
              </w:tc>
              <w:tc>
                <w:tcPr>
                  <w:tcW w:w="2622" w:type="pct"/>
                  <w:tcBorders>
                    <w:tl2br w:val="nil"/>
                    <w:tr2bl w:val="nil"/>
                  </w:tcBorders>
                  <w:vAlign w:val="center"/>
                </w:tcPr>
                <w:p w14:paraId="27BCA3EB">
                  <w:pPr>
                    <w:pStyle w:val="154"/>
                    <w:adjustRightInd w:val="0"/>
                    <w:snapToGrid w:val="0"/>
                    <w:rPr>
                      <w:szCs w:val="21"/>
                    </w:rPr>
                  </w:pPr>
                  <w:r>
                    <w:rPr>
                      <w:szCs w:val="21"/>
                    </w:rPr>
                    <w:t>混凝土振捣器</w:t>
                  </w:r>
                </w:p>
              </w:tc>
              <w:tc>
                <w:tcPr>
                  <w:tcW w:w="1750" w:type="pct"/>
                  <w:tcBorders>
                    <w:tl2br w:val="nil"/>
                    <w:tr2bl w:val="nil"/>
                  </w:tcBorders>
                  <w:vAlign w:val="center"/>
                </w:tcPr>
                <w:p w14:paraId="13CD7853">
                  <w:pPr>
                    <w:pStyle w:val="154"/>
                    <w:adjustRightInd w:val="0"/>
                    <w:snapToGrid w:val="0"/>
                    <w:rPr>
                      <w:szCs w:val="21"/>
                    </w:rPr>
                  </w:pPr>
                  <w:r>
                    <w:rPr>
                      <w:szCs w:val="21"/>
                    </w:rPr>
                    <w:t>80~88</w:t>
                  </w:r>
                </w:p>
              </w:tc>
            </w:tr>
            <w:tr w14:paraId="3D64A1A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27" w:type="pct"/>
                  <w:tcBorders>
                    <w:tl2br w:val="nil"/>
                    <w:tr2bl w:val="nil"/>
                  </w:tcBorders>
                  <w:vAlign w:val="center"/>
                </w:tcPr>
                <w:p w14:paraId="0419DD7D">
                  <w:pPr>
                    <w:pStyle w:val="154"/>
                    <w:adjustRightInd w:val="0"/>
                    <w:snapToGrid w:val="0"/>
                    <w:rPr>
                      <w:szCs w:val="21"/>
                    </w:rPr>
                  </w:pPr>
                  <w:r>
                    <w:rPr>
                      <w:szCs w:val="21"/>
                    </w:rPr>
                    <w:t>7</w:t>
                  </w:r>
                </w:p>
              </w:tc>
              <w:tc>
                <w:tcPr>
                  <w:tcW w:w="2622" w:type="pct"/>
                  <w:tcBorders>
                    <w:tl2br w:val="nil"/>
                    <w:tr2bl w:val="nil"/>
                  </w:tcBorders>
                  <w:vAlign w:val="center"/>
                </w:tcPr>
                <w:p w14:paraId="1AF20B61">
                  <w:pPr>
                    <w:pStyle w:val="154"/>
                    <w:adjustRightInd w:val="0"/>
                    <w:snapToGrid w:val="0"/>
                    <w:rPr>
                      <w:szCs w:val="21"/>
                    </w:rPr>
                  </w:pPr>
                  <w:r>
                    <w:rPr>
                      <w:szCs w:val="21"/>
                    </w:rPr>
                    <w:t>空压机</w:t>
                  </w:r>
                </w:p>
              </w:tc>
              <w:tc>
                <w:tcPr>
                  <w:tcW w:w="1750" w:type="pct"/>
                  <w:tcBorders>
                    <w:tl2br w:val="nil"/>
                    <w:tr2bl w:val="nil"/>
                  </w:tcBorders>
                  <w:vAlign w:val="center"/>
                </w:tcPr>
                <w:p w14:paraId="680333F6">
                  <w:pPr>
                    <w:pStyle w:val="154"/>
                    <w:adjustRightInd w:val="0"/>
                    <w:snapToGrid w:val="0"/>
                    <w:rPr>
                      <w:szCs w:val="21"/>
                    </w:rPr>
                  </w:pPr>
                  <w:r>
                    <w:rPr>
                      <w:szCs w:val="21"/>
                    </w:rPr>
                    <w:t>88~92</w:t>
                  </w:r>
                </w:p>
              </w:tc>
            </w:tr>
          </w:tbl>
          <w:p w14:paraId="3751EE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lang w:eastAsia="zh-CN"/>
              </w:rPr>
              <w:t>（</w:t>
            </w:r>
            <w:r>
              <w:rPr>
                <w:sz w:val="24"/>
              </w:rPr>
              <w:t>2</w:t>
            </w:r>
            <w:r>
              <w:rPr>
                <w:rFonts w:hint="eastAsia"/>
                <w:sz w:val="24"/>
                <w:lang w:eastAsia="zh-CN"/>
              </w:rPr>
              <w:t>）</w:t>
            </w:r>
            <w:r>
              <w:rPr>
                <w:sz w:val="24"/>
              </w:rPr>
              <w:t>施工期噪声影响分析</w:t>
            </w:r>
          </w:p>
          <w:p w14:paraId="6CA5A8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施工期噪声预测计算公式如下：</w:t>
            </w:r>
          </w:p>
          <w:p w14:paraId="07458A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object>
                <v:shape id="_x0000_i1025" o:spt="75" type="#_x0000_t75" style="height:34.35pt;width:81.2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p>
          <w:p w14:paraId="186AA0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式中，L</w:t>
            </w:r>
            <w:r>
              <w:rPr>
                <w:sz w:val="24"/>
                <w:vertAlign w:val="subscript"/>
              </w:rPr>
              <w:t>1</w:t>
            </w:r>
            <w:r>
              <w:rPr>
                <w:sz w:val="24"/>
              </w:rPr>
              <w:t>、L</w:t>
            </w:r>
            <w:r>
              <w:rPr>
                <w:sz w:val="24"/>
                <w:vertAlign w:val="subscript"/>
              </w:rPr>
              <w:t>2</w:t>
            </w:r>
            <w:r>
              <w:rPr>
                <w:sz w:val="24"/>
              </w:rPr>
              <w:t>－为与声源相距r</w:t>
            </w:r>
            <w:r>
              <w:rPr>
                <w:sz w:val="24"/>
                <w:vertAlign w:val="subscript"/>
              </w:rPr>
              <w:t>1</w:t>
            </w:r>
            <w:r>
              <w:rPr>
                <w:sz w:val="24"/>
              </w:rPr>
              <w:t>、r</w:t>
            </w:r>
            <w:r>
              <w:rPr>
                <w:sz w:val="24"/>
                <w:vertAlign w:val="subscript"/>
              </w:rPr>
              <w:t>2</w:t>
            </w:r>
            <w:r>
              <w:rPr>
                <w:sz w:val="24"/>
              </w:rPr>
              <w:t>处的施工噪声级，dB（A）。</w:t>
            </w:r>
          </w:p>
          <w:p w14:paraId="2FC807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在不采取任何噪声污染防治措施情况下施工期间各施工设备的噪声（取最大值）随距离的衰减变化情况，具体结果详见下表。</w:t>
            </w:r>
          </w:p>
          <w:p w14:paraId="782DC425">
            <w:pPr>
              <w:pStyle w:val="154"/>
              <w:rPr>
                <w:b/>
                <w:bCs w:val="0"/>
                <w:sz w:val="24"/>
              </w:rPr>
            </w:pPr>
            <w:r>
              <w:rPr>
                <w:b/>
                <w:bCs w:val="0"/>
                <w:sz w:val="24"/>
              </w:rPr>
              <w:t>表4-2 施工设备噪声贡献值预测表 （不采取防治措施，单位：dB（A））</w:t>
            </w:r>
          </w:p>
          <w:tbl>
            <w:tblPr>
              <w:tblStyle w:val="29"/>
              <w:tblW w:w="499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592"/>
              <w:gridCol w:w="1619"/>
              <w:gridCol w:w="655"/>
              <w:gridCol w:w="655"/>
              <w:gridCol w:w="655"/>
              <w:gridCol w:w="655"/>
              <w:gridCol w:w="655"/>
              <w:gridCol w:w="655"/>
              <w:gridCol w:w="655"/>
              <w:gridCol w:w="655"/>
              <w:gridCol w:w="655"/>
              <w:gridCol w:w="694"/>
            </w:tblGrid>
            <w:tr w14:paraId="2FC7933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vMerge w:val="restart"/>
                  <w:tcBorders>
                    <w:tl2br w:val="nil"/>
                    <w:tr2bl w:val="nil"/>
                  </w:tcBorders>
                  <w:vAlign w:val="center"/>
                </w:tcPr>
                <w:p w14:paraId="2FAD6F82">
                  <w:pPr>
                    <w:pStyle w:val="154"/>
                    <w:adjustRightInd w:val="0"/>
                    <w:snapToGrid w:val="0"/>
                    <w:rPr>
                      <w:b/>
                      <w:bCs w:val="0"/>
                      <w:szCs w:val="21"/>
                    </w:rPr>
                  </w:pPr>
                  <w:r>
                    <w:rPr>
                      <w:b/>
                      <w:bCs w:val="0"/>
                      <w:szCs w:val="21"/>
                    </w:rPr>
                    <w:t>序号</w:t>
                  </w:r>
                </w:p>
              </w:tc>
              <w:tc>
                <w:tcPr>
                  <w:tcW w:w="919" w:type="pct"/>
                  <w:vMerge w:val="restart"/>
                  <w:tcBorders>
                    <w:tl2br w:val="nil"/>
                    <w:tr2bl w:val="nil"/>
                  </w:tcBorders>
                  <w:vAlign w:val="center"/>
                </w:tcPr>
                <w:p w14:paraId="60463D39">
                  <w:pPr>
                    <w:pStyle w:val="76"/>
                    <w:snapToGrid w:val="0"/>
                    <w:ind w:left="-111" w:leftChars="-53" w:firstLine="112" w:firstLineChars="53"/>
                    <w:jc w:val="center"/>
                    <w:rPr>
                      <w:b/>
                      <w:sz w:val="21"/>
                      <w:szCs w:val="21"/>
                    </w:rPr>
                  </w:pPr>
                  <w:r>
                    <w:rPr>
                      <w:b/>
                      <w:sz w:val="21"/>
                      <w:szCs w:val="21"/>
                    </w:rPr>
                    <w:t>施工设备名称</w:t>
                  </w:r>
                </w:p>
              </w:tc>
              <w:tc>
                <w:tcPr>
                  <w:tcW w:w="3742" w:type="pct"/>
                  <w:gridSpan w:val="10"/>
                  <w:tcBorders>
                    <w:tl2br w:val="nil"/>
                    <w:tr2bl w:val="nil"/>
                  </w:tcBorders>
                  <w:vAlign w:val="center"/>
                </w:tcPr>
                <w:p w14:paraId="2F7150FA">
                  <w:pPr>
                    <w:pStyle w:val="154"/>
                    <w:adjustRightInd w:val="0"/>
                    <w:snapToGrid w:val="0"/>
                    <w:rPr>
                      <w:b/>
                      <w:bCs w:val="0"/>
                      <w:szCs w:val="21"/>
                    </w:rPr>
                  </w:pPr>
                  <w:r>
                    <w:rPr>
                      <w:b/>
                      <w:bCs w:val="0"/>
                      <w:szCs w:val="21"/>
                    </w:rPr>
                    <w:t>距离声源的距离</w:t>
                  </w:r>
                </w:p>
              </w:tc>
            </w:tr>
            <w:tr w14:paraId="3CB152D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vMerge w:val="continue"/>
                  <w:tcBorders>
                    <w:tl2br w:val="nil"/>
                    <w:tr2bl w:val="nil"/>
                  </w:tcBorders>
                  <w:vAlign w:val="center"/>
                </w:tcPr>
                <w:p w14:paraId="5BDE8D0E">
                  <w:pPr>
                    <w:pStyle w:val="154"/>
                    <w:adjustRightInd w:val="0"/>
                    <w:snapToGrid w:val="0"/>
                    <w:rPr>
                      <w:b/>
                      <w:bCs w:val="0"/>
                      <w:szCs w:val="21"/>
                    </w:rPr>
                  </w:pPr>
                </w:p>
              </w:tc>
              <w:tc>
                <w:tcPr>
                  <w:tcW w:w="919" w:type="pct"/>
                  <w:vMerge w:val="continue"/>
                  <w:tcBorders>
                    <w:tl2br w:val="nil"/>
                    <w:tr2bl w:val="nil"/>
                  </w:tcBorders>
                  <w:vAlign w:val="center"/>
                </w:tcPr>
                <w:p w14:paraId="76C1D954">
                  <w:pPr>
                    <w:pStyle w:val="154"/>
                    <w:adjustRightInd w:val="0"/>
                    <w:snapToGrid w:val="0"/>
                    <w:rPr>
                      <w:b/>
                      <w:bCs w:val="0"/>
                      <w:szCs w:val="21"/>
                    </w:rPr>
                  </w:pPr>
                </w:p>
              </w:tc>
              <w:tc>
                <w:tcPr>
                  <w:tcW w:w="372" w:type="pct"/>
                  <w:tcBorders>
                    <w:tl2br w:val="nil"/>
                    <w:tr2bl w:val="nil"/>
                  </w:tcBorders>
                  <w:vAlign w:val="center"/>
                </w:tcPr>
                <w:p w14:paraId="32979BFD">
                  <w:pPr>
                    <w:pStyle w:val="76"/>
                    <w:snapToGrid w:val="0"/>
                    <w:jc w:val="center"/>
                    <w:rPr>
                      <w:rFonts w:eastAsia="Times New Roman"/>
                      <w:b/>
                      <w:sz w:val="21"/>
                      <w:szCs w:val="21"/>
                    </w:rPr>
                  </w:pPr>
                  <w:r>
                    <w:rPr>
                      <w:b/>
                      <w:spacing w:val="3"/>
                      <w:sz w:val="21"/>
                      <w:szCs w:val="21"/>
                    </w:rPr>
                    <w:t>5m</w:t>
                  </w:r>
                </w:p>
              </w:tc>
              <w:tc>
                <w:tcPr>
                  <w:tcW w:w="372" w:type="pct"/>
                  <w:tcBorders>
                    <w:tl2br w:val="nil"/>
                    <w:tr2bl w:val="nil"/>
                  </w:tcBorders>
                  <w:vAlign w:val="center"/>
                </w:tcPr>
                <w:p w14:paraId="5D8D3FC9">
                  <w:pPr>
                    <w:pStyle w:val="76"/>
                    <w:snapToGrid w:val="0"/>
                    <w:ind w:left="10"/>
                    <w:jc w:val="center"/>
                    <w:rPr>
                      <w:rFonts w:eastAsia="Times New Roman"/>
                      <w:b/>
                      <w:sz w:val="21"/>
                      <w:szCs w:val="21"/>
                    </w:rPr>
                  </w:pPr>
                  <w:r>
                    <w:rPr>
                      <w:b/>
                      <w:sz w:val="21"/>
                      <w:szCs w:val="21"/>
                    </w:rPr>
                    <w:t>10m</w:t>
                  </w:r>
                </w:p>
              </w:tc>
              <w:tc>
                <w:tcPr>
                  <w:tcW w:w="372" w:type="pct"/>
                  <w:tcBorders>
                    <w:tl2br w:val="nil"/>
                    <w:tr2bl w:val="nil"/>
                  </w:tcBorders>
                  <w:vAlign w:val="center"/>
                </w:tcPr>
                <w:p w14:paraId="0BE3A53B">
                  <w:pPr>
                    <w:pStyle w:val="76"/>
                    <w:snapToGrid w:val="0"/>
                    <w:ind w:left="15"/>
                    <w:jc w:val="center"/>
                    <w:rPr>
                      <w:rFonts w:eastAsia="Times New Roman"/>
                      <w:b/>
                      <w:sz w:val="21"/>
                      <w:szCs w:val="21"/>
                    </w:rPr>
                  </w:pPr>
                  <w:r>
                    <w:rPr>
                      <w:b/>
                      <w:sz w:val="21"/>
                      <w:szCs w:val="21"/>
                    </w:rPr>
                    <w:t>15m</w:t>
                  </w:r>
                </w:p>
              </w:tc>
              <w:tc>
                <w:tcPr>
                  <w:tcW w:w="372" w:type="pct"/>
                  <w:tcBorders>
                    <w:tl2br w:val="nil"/>
                    <w:tr2bl w:val="nil"/>
                  </w:tcBorders>
                  <w:vAlign w:val="center"/>
                </w:tcPr>
                <w:p w14:paraId="72218D0B">
                  <w:pPr>
                    <w:pStyle w:val="76"/>
                    <w:snapToGrid w:val="0"/>
                    <w:ind w:left="5"/>
                    <w:jc w:val="center"/>
                    <w:rPr>
                      <w:rFonts w:eastAsia="Times New Roman"/>
                      <w:b/>
                      <w:sz w:val="21"/>
                      <w:szCs w:val="21"/>
                    </w:rPr>
                  </w:pPr>
                  <w:r>
                    <w:rPr>
                      <w:b/>
                      <w:sz w:val="21"/>
                      <w:szCs w:val="21"/>
                    </w:rPr>
                    <w:t>20m</w:t>
                  </w:r>
                </w:p>
              </w:tc>
              <w:tc>
                <w:tcPr>
                  <w:tcW w:w="372" w:type="pct"/>
                  <w:tcBorders>
                    <w:tl2br w:val="nil"/>
                    <w:tr2bl w:val="nil"/>
                  </w:tcBorders>
                  <w:vAlign w:val="center"/>
                </w:tcPr>
                <w:p w14:paraId="04B06C6A">
                  <w:pPr>
                    <w:pStyle w:val="76"/>
                    <w:snapToGrid w:val="0"/>
                    <w:ind w:left="10"/>
                    <w:jc w:val="center"/>
                    <w:rPr>
                      <w:rFonts w:eastAsia="Times New Roman"/>
                      <w:b/>
                      <w:sz w:val="21"/>
                      <w:szCs w:val="21"/>
                    </w:rPr>
                  </w:pPr>
                  <w:r>
                    <w:rPr>
                      <w:b/>
                      <w:sz w:val="21"/>
                      <w:szCs w:val="21"/>
                    </w:rPr>
                    <w:t>40m</w:t>
                  </w:r>
                </w:p>
              </w:tc>
              <w:tc>
                <w:tcPr>
                  <w:tcW w:w="372" w:type="pct"/>
                  <w:tcBorders>
                    <w:tl2br w:val="nil"/>
                    <w:tr2bl w:val="nil"/>
                  </w:tcBorders>
                  <w:vAlign w:val="center"/>
                </w:tcPr>
                <w:p w14:paraId="2FE581F1">
                  <w:pPr>
                    <w:pStyle w:val="76"/>
                    <w:snapToGrid w:val="0"/>
                    <w:ind w:left="10"/>
                    <w:jc w:val="center"/>
                    <w:rPr>
                      <w:rFonts w:eastAsia="Times New Roman"/>
                      <w:b/>
                      <w:sz w:val="21"/>
                      <w:szCs w:val="21"/>
                    </w:rPr>
                  </w:pPr>
                  <w:r>
                    <w:rPr>
                      <w:b/>
                      <w:sz w:val="21"/>
                      <w:szCs w:val="21"/>
                    </w:rPr>
                    <w:t>60m</w:t>
                  </w:r>
                </w:p>
              </w:tc>
              <w:tc>
                <w:tcPr>
                  <w:tcW w:w="372" w:type="pct"/>
                  <w:tcBorders>
                    <w:tl2br w:val="nil"/>
                    <w:tr2bl w:val="nil"/>
                  </w:tcBorders>
                  <w:vAlign w:val="center"/>
                </w:tcPr>
                <w:p w14:paraId="30C0D5F4">
                  <w:pPr>
                    <w:pStyle w:val="76"/>
                    <w:snapToGrid w:val="0"/>
                    <w:ind w:right="1"/>
                    <w:jc w:val="center"/>
                    <w:rPr>
                      <w:b/>
                      <w:sz w:val="21"/>
                      <w:szCs w:val="21"/>
                    </w:rPr>
                  </w:pPr>
                  <w:r>
                    <w:rPr>
                      <w:b/>
                      <w:sz w:val="21"/>
                      <w:szCs w:val="21"/>
                    </w:rPr>
                    <w:t>80m</w:t>
                  </w:r>
                </w:p>
              </w:tc>
              <w:tc>
                <w:tcPr>
                  <w:tcW w:w="372" w:type="pct"/>
                  <w:tcBorders>
                    <w:tl2br w:val="nil"/>
                    <w:tr2bl w:val="nil"/>
                  </w:tcBorders>
                  <w:vAlign w:val="center"/>
                </w:tcPr>
                <w:p w14:paraId="2EC8ABAC">
                  <w:pPr>
                    <w:pStyle w:val="76"/>
                    <w:snapToGrid w:val="0"/>
                    <w:ind w:right="1"/>
                    <w:jc w:val="center"/>
                    <w:rPr>
                      <w:b/>
                      <w:sz w:val="21"/>
                      <w:szCs w:val="21"/>
                    </w:rPr>
                  </w:pPr>
                  <w:r>
                    <w:rPr>
                      <w:b/>
                      <w:sz w:val="21"/>
                      <w:szCs w:val="21"/>
                    </w:rPr>
                    <w:t>100m</w:t>
                  </w:r>
                </w:p>
              </w:tc>
              <w:tc>
                <w:tcPr>
                  <w:tcW w:w="372" w:type="pct"/>
                  <w:tcBorders>
                    <w:tl2br w:val="nil"/>
                    <w:tr2bl w:val="nil"/>
                  </w:tcBorders>
                  <w:vAlign w:val="center"/>
                </w:tcPr>
                <w:p w14:paraId="2C3FBF87">
                  <w:pPr>
                    <w:pStyle w:val="154"/>
                    <w:adjustRightInd w:val="0"/>
                    <w:snapToGrid w:val="0"/>
                    <w:rPr>
                      <w:b/>
                      <w:bCs w:val="0"/>
                      <w:szCs w:val="21"/>
                    </w:rPr>
                  </w:pPr>
                  <w:r>
                    <w:rPr>
                      <w:b/>
                      <w:bCs w:val="0"/>
                      <w:szCs w:val="21"/>
                    </w:rPr>
                    <w:t>150m</w:t>
                  </w:r>
                </w:p>
              </w:tc>
              <w:tc>
                <w:tcPr>
                  <w:tcW w:w="391" w:type="pct"/>
                  <w:tcBorders>
                    <w:tl2br w:val="nil"/>
                    <w:tr2bl w:val="nil"/>
                  </w:tcBorders>
                  <w:vAlign w:val="center"/>
                </w:tcPr>
                <w:p w14:paraId="3E813C5A">
                  <w:pPr>
                    <w:pStyle w:val="154"/>
                    <w:adjustRightInd w:val="0"/>
                    <w:snapToGrid w:val="0"/>
                    <w:rPr>
                      <w:b/>
                      <w:bCs w:val="0"/>
                      <w:szCs w:val="21"/>
                    </w:rPr>
                  </w:pPr>
                  <w:r>
                    <w:rPr>
                      <w:b/>
                      <w:bCs w:val="0"/>
                      <w:szCs w:val="21"/>
                    </w:rPr>
                    <w:t>250m</w:t>
                  </w:r>
                </w:p>
              </w:tc>
            </w:tr>
            <w:tr w14:paraId="100037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tcBorders>
                    <w:tl2br w:val="nil"/>
                    <w:tr2bl w:val="nil"/>
                  </w:tcBorders>
                </w:tcPr>
                <w:p w14:paraId="623D758D">
                  <w:pPr>
                    <w:pStyle w:val="154"/>
                    <w:adjustRightInd w:val="0"/>
                    <w:snapToGrid w:val="0"/>
                    <w:rPr>
                      <w:szCs w:val="21"/>
                    </w:rPr>
                  </w:pPr>
                  <w:r>
                    <w:rPr>
                      <w:szCs w:val="21"/>
                    </w:rPr>
                    <w:t>1</w:t>
                  </w:r>
                </w:p>
              </w:tc>
              <w:tc>
                <w:tcPr>
                  <w:tcW w:w="919" w:type="pct"/>
                  <w:tcBorders>
                    <w:tl2br w:val="nil"/>
                    <w:tr2bl w:val="nil"/>
                  </w:tcBorders>
                </w:tcPr>
                <w:p w14:paraId="42D7AA5A">
                  <w:pPr>
                    <w:pStyle w:val="154"/>
                    <w:adjustRightInd w:val="0"/>
                    <w:snapToGrid w:val="0"/>
                    <w:rPr>
                      <w:szCs w:val="21"/>
                    </w:rPr>
                  </w:pPr>
                  <w:r>
                    <w:rPr>
                      <w:szCs w:val="21"/>
                    </w:rPr>
                    <w:t>液压挖掘机</w:t>
                  </w:r>
                </w:p>
              </w:tc>
              <w:tc>
                <w:tcPr>
                  <w:tcW w:w="372" w:type="pct"/>
                  <w:tcBorders>
                    <w:tl2br w:val="nil"/>
                    <w:tr2bl w:val="nil"/>
                  </w:tcBorders>
                  <w:vAlign w:val="center"/>
                </w:tcPr>
                <w:p w14:paraId="52226B06">
                  <w:pPr>
                    <w:pStyle w:val="76"/>
                    <w:snapToGrid w:val="0"/>
                    <w:jc w:val="center"/>
                    <w:rPr>
                      <w:rFonts w:eastAsia="Times New Roman"/>
                      <w:sz w:val="21"/>
                      <w:szCs w:val="21"/>
                    </w:rPr>
                  </w:pPr>
                  <w:r>
                    <w:rPr>
                      <w:sz w:val="21"/>
                      <w:szCs w:val="21"/>
                    </w:rPr>
                    <w:t>90</w:t>
                  </w:r>
                </w:p>
              </w:tc>
              <w:tc>
                <w:tcPr>
                  <w:tcW w:w="372" w:type="pct"/>
                  <w:tcBorders>
                    <w:tl2br w:val="nil"/>
                    <w:tr2bl w:val="nil"/>
                  </w:tcBorders>
                  <w:vAlign w:val="center"/>
                </w:tcPr>
                <w:p w14:paraId="2178F491">
                  <w:pPr>
                    <w:pStyle w:val="76"/>
                    <w:snapToGrid w:val="0"/>
                    <w:ind w:left="5"/>
                    <w:jc w:val="center"/>
                    <w:rPr>
                      <w:sz w:val="21"/>
                      <w:szCs w:val="21"/>
                    </w:rPr>
                  </w:pPr>
                  <w:r>
                    <w:rPr>
                      <w:sz w:val="21"/>
                      <w:szCs w:val="21"/>
                    </w:rPr>
                    <w:t>84</w:t>
                  </w:r>
                </w:p>
              </w:tc>
              <w:tc>
                <w:tcPr>
                  <w:tcW w:w="372" w:type="pct"/>
                  <w:tcBorders>
                    <w:tl2br w:val="nil"/>
                    <w:tr2bl w:val="nil"/>
                  </w:tcBorders>
                  <w:vAlign w:val="center"/>
                </w:tcPr>
                <w:p w14:paraId="1E337125">
                  <w:pPr>
                    <w:pStyle w:val="76"/>
                    <w:snapToGrid w:val="0"/>
                    <w:ind w:left="4"/>
                    <w:jc w:val="center"/>
                    <w:rPr>
                      <w:sz w:val="21"/>
                      <w:szCs w:val="21"/>
                    </w:rPr>
                  </w:pPr>
                  <w:r>
                    <w:rPr>
                      <w:sz w:val="21"/>
                      <w:szCs w:val="21"/>
                    </w:rPr>
                    <w:t>80</w:t>
                  </w:r>
                </w:p>
              </w:tc>
              <w:tc>
                <w:tcPr>
                  <w:tcW w:w="372" w:type="pct"/>
                  <w:tcBorders>
                    <w:tl2br w:val="nil"/>
                    <w:tr2bl w:val="nil"/>
                  </w:tcBorders>
                  <w:vAlign w:val="center"/>
                </w:tcPr>
                <w:p w14:paraId="29007339">
                  <w:pPr>
                    <w:pStyle w:val="76"/>
                    <w:snapToGrid w:val="0"/>
                    <w:ind w:right="3"/>
                    <w:jc w:val="center"/>
                    <w:rPr>
                      <w:sz w:val="21"/>
                      <w:szCs w:val="21"/>
                    </w:rPr>
                  </w:pPr>
                  <w:r>
                    <w:rPr>
                      <w:sz w:val="21"/>
                      <w:szCs w:val="21"/>
                    </w:rPr>
                    <w:t>78</w:t>
                  </w:r>
                </w:p>
              </w:tc>
              <w:tc>
                <w:tcPr>
                  <w:tcW w:w="372" w:type="pct"/>
                  <w:tcBorders>
                    <w:tl2br w:val="nil"/>
                    <w:tr2bl w:val="nil"/>
                  </w:tcBorders>
                  <w:vAlign w:val="center"/>
                </w:tcPr>
                <w:p w14:paraId="6D134A0D">
                  <w:pPr>
                    <w:pStyle w:val="154"/>
                    <w:adjustRightInd w:val="0"/>
                    <w:snapToGrid w:val="0"/>
                    <w:rPr>
                      <w:szCs w:val="21"/>
                    </w:rPr>
                  </w:pPr>
                  <w:r>
                    <w:rPr>
                      <w:szCs w:val="21"/>
                    </w:rPr>
                    <w:t>72</w:t>
                  </w:r>
                </w:p>
              </w:tc>
              <w:tc>
                <w:tcPr>
                  <w:tcW w:w="372" w:type="pct"/>
                  <w:tcBorders>
                    <w:tl2br w:val="nil"/>
                    <w:tr2bl w:val="nil"/>
                  </w:tcBorders>
                  <w:vAlign w:val="center"/>
                </w:tcPr>
                <w:p w14:paraId="0E14EFFB">
                  <w:pPr>
                    <w:pStyle w:val="154"/>
                    <w:adjustRightInd w:val="0"/>
                    <w:snapToGrid w:val="0"/>
                    <w:rPr>
                      <w:szCs w:val="21"/>
                    </w:rPr>
                  </w:pPr>
                  <w:r>
                    <w:rPr>
                      <w:szCs w:val="21"/>
                    </w:rPr>
                    <w:t>68</w:t>
                  </w:r>
                </w:p>
              </w:tc>
              <w:tc>
                <w:tcPr>
                  <w:tcW w:w="372" w:type="pct"/>
                  <w:tcBorders>
                    <w:tl2br w:val="nil"/>
                    <w:tr2bl w:val="nil"/>
                  </w:tcBorders>
                  <w:vAlign w:val="center"/>
                </w:tcPr>
                <w:p w14:paraId="76CA1B0A">
                  <w:pPr>
                    <w:pStyle w:val="154"/>
                    <w:adjustRightInd w:val="0"/>
                    <w:snapToGrid w:val="0"/>
                    <w:rPr>
                      <w:szCs w:val="21"/>
                    </w:rPr>
                  </w:pPr>
                  <w:r>
                    <w:rPr>
                      <w:szCs w:val="21"/>
                    </w:rPr>
                    <w:t>66</w:t>
                  </w:r>
                </w:p>
              </w:tc>
              <w:tc>
                <w:tcPr>
                  <w:tcW w:w="372" w:type="pct"/>
                  <w:tcBorders>
                    <w:tl2br w:val="nil"/>
                    <w:tr2bl w:val="nil"/>
                  </w:tcBorders>
                  <w:vAlign w:val="center"/>
                </w:tcPr>
                <w:p w14:paraId="3DE71714">
                  <w:pPr>
                    <w:pStyle w:val="154"/>
                    <w:adjustRightInd w:val="0"/>
                    <w:snapToGrid w:val="0"/>
                    <w:rPr>
                      <w:szCs w:val="21"/>
                    </w:rPr>
                  </w:pPr>
                  <w:r>
                    <w:rPr>
                      <w:szCs w:val="21"/>
                    </w:rPr>
                    <w:t>64</w:t>
                  </w:r>
                </w:p>
              </w:tc>
              <w:tc>
                <w:tcPr>
                  <w:tcW w:w="372" w:type="pct"/>
                  <w:tcBorders>
                    <w:tl2br w:val="nil"/>
                    <w:tr2bl w:val="nil"/>
                  </w:tcBorders>
                  <w:vAlign w:val="center"/>
                </w:tcPr>
                <w:p w14:paraId="727F1BF5">
                  <w:pPr>
                    <w:pStyle w:val="154"/>
                    <w:adjustRightInd w:val="0"/>
                    <w:snapToGrid w:val="0"/>
                    <w:rPr>
                      <w:szCs w:val="21"/>
                    </w:rPr>
                  </w:pPr>
                  <w:r>
                    <w:rPr>
                      <w:szCs w:val="21"/>
                    </w:rPr>
                    <w:t>60</w:t>
                  </w:r>
                </w:p>
              </w:tc>
              <w:tc>
                <w:tcPr>
                  <w:tcW w:w="391" w:type="pct"/>
                  <w:tcBorders>
                    <w:tl2br w:val="nil"/>
                    <w:tr2bl w:val="nil"/>
                  </w:tcBorders>
                  <w:vAlign w:val="center"/>
                </w:tcPr>
                <w:p w14:paraId="5AE28F2E">
                  <w:pPr>
                    <w:pStyle w:val="154"/>
                    <w:adjustRightInd w:val="0"/>
                    <w:snapToGrid w:val="0"/>
                    <w:rPr>
                      <w:szCs w:val="21"/>
                    </w:rPr>
                  </w:pPr>
                  <w:r>
                    <w:rPr>
                      <w:szCs w:val="21"/>
                    </w:rPr>
                    <w:t>56</w:t>
                  </w:r>
                </w:p>
              </w:tc>
            </w:tr>
            <w:tr w14:paraId="107021C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tcBorders>
                    <w:tl2br w:val="nil"/>
                    <w:tr2bl w:val="nil"/>
                  </w:tcBorders>
                </w:tcPr>
                <w:p w14:paraId="239413E6">
                  <w:pPr>
                    <w:pStyle w:val="154"/>
                    <w:adjustRightInd w:val="0"/>
                    <w:snapToGrid w:val="0"/>
                    <w:rPr>
                      <w:szCs w:val="21"/>
                    </w:rPr>
                  </w:pPr>
                  <w:r>
                    <w:rPr>
                      <w:szCs w:val="21"/>
                    </w:rPr>
                    <w:t>2</w:t>
                  </w:r>
                </w:p>
              </w:tc>
              <w:tc>
                <w:tcPr>
                  <w:tcW w:w="919" w:type="pct"/>
                  <w:tcBorders>
                    <w:tl2br w:val="nil"/>
                    <w:tr2bl w:val="nil"/>
                  </w:tcBorders>
                </w:tcPr>
                <w:p w14:paraId="07C094DF">
                  <w:pPr>
                    <w:pStyle w:val="154"/>
                    <w:adjustRightInd w:val="0"/>
                    <w:snapToGrid w:val="0"/>
                    <w:rPr>
                      <w:szCs w:val="21"/>
                    </w:rPr>
                  </w:pPr>
                  <w:r>
                    <w:rPr>
                      <w:szCs w:val="21"/>
                    </w:rPr>
                    <w:t>推土机</w:t>
                  </w:r>
                </w:p>
              </w:tc>
              <w:tc>
                <w:tcPr>
                  <w:tcW w:w="372" w:type="pct"/>
                  <w:tcBorders>
                    <w:tl2br w:val="nil"/>
                    <w:tr2bl w:val="nil"/>
                  </w:tcBorders>
                  <w:vAlign w:val="center"/>
                </w:tcPr>
                <w:p w14:paraId="16985755">
                  <w:pPr>
                    <w:pStyle w:val="76"/>
                    <w:snapToGrid w:val="0"/>
                    <w:jc w:val="center"/>
                    <w:rPr>
                      <w:rFonts w:eastAsia="Times New Roman"/>
                      <w:sz w:val="21"/>
                      <w:szCs w:val="21"/>
                    </w:rPr>
                  </w:pPr>
                  <w:r>
                    <w:rPr>
                      <w:sz w:val="21"/>
                      <w:szCs w:val="21"/>
                    </w:rPr>
                    <w:t>88</w:t>
                  </w:r>
                </w:p>
              </w:tc>
              <w:tc>
                <w:tcPr>
                  <w:tcW w:w="372" w:type="pct"/>
                  <w:tcBorders>
                    <w:tl2br w:val="nil"/>
                    <w:tr2bl w:val="nil"/>
                  </w:tcBorders>
                  <w:vAlign w:val="center"/>
                </w:tcPr>
                <w:p w14:paraId="06D943ED">
                  <w:pPr>
                    <w:pStyle w:val="76"/>
                    <w:snapToGrid w:val="0"/>
                    <w:ind w:left="5"/>
                    <w:jc w:val="center"/>
                    <w:rPr>
                      <w:sz w:val="21"/>
                      <w:szCs w:val="21"/>
                    </w:rPr>
                  </w:pPr>
                  <w:r>
                    <w:rPr>
                      <w:sz w:val="21"/>
                      <w:szCs w:val="21"/>
                    </w:rPr>
                    <w:t>82</w:t>
                  </w:r>
                </w:p>
              </w:tc>
              <w:tc>
                <w:tcPr>
                  <w:tcW w:w="372" w:type="pct"/>
                  <w:tcBorders>
                    <w:tl2br w:val="nil"/>
                    <w:tr2bl w:val="nil"/>
                  </w:tcBorders>
                  <w:vAlign w:val="center"/>
                </w:tcPr>
                <w:p w14:paraId="73A9C8D9">
                  <w:pPr>
                    <w:pStyle w:val="76"/>
                    <w:snapToGrid w:val="0"/>
                    <w:ind w:left="4"/>
                    <w:jc w:val="center"/>
                    <w:rPr>
                      <w:sz w:val="21"/>
                      <w:szCs w:val="21"/>
                    </w:rPr>
                  </w:pPr>
                  <w:r>
                    <w:rPr>
                      <w:sz w:val="21"/>
                      <w:szCs w:val="21"/>
                    </w:rPr>
                    <w:t>78</w:t>
                  </w:r>
                </w:p>
              </w:tc>
              <w:tc>
                <w:tcPr>
                  <w:tcW w:w="372" w:type="pct"/>
                  <w:tcBorders>
                    <w:tl2br w:val="nil"/>
                    <w:tr2bl w:val="nil"/>
                  </w:tcBorders>
                  <w:vAlign w:val="center"/>
                </w:tcPr>
                <w:p w14:paraId="3C874586">
                  <w:pPr>
                    <w:pStyle w:val="76"/>
                    <w:snapToGrid w:val="0"/>
                    <w:ind w:right="3"/>
                    <w:jc w:val="center"/>
                    <w:rPr>
                      <w:sz w:val="21"/>
                      <w:szCs w:val="21"/>
                    </w:rPr>
                  </w:pPr>
                  <w:r>
                    <w:rPr>
                      <w:sz w:val="21"/>
                      <w:szCs w:val="21"/>
                    </w:rPr>
                    <w:t>76</w:t>
                  </w:r>
                </w:p>
              </w:tc>
              <w:tc>
                <w:tcPr>
                  <w:tcW w:w="372" w:type="pct"/>
                  <w:tcBorders>
                    <w:tl2br w:val="nil"/>
                    <w:tr2bl w:val="nil"/>
                  </w:tcBorders>
                  <w:vAlign w:val="center"/>
                </w:tcPr>
                <w:p w14:paraId="3F3C7C61">
                  <w:pPr>
                    <w:pStyle w:val="154"/>
                    <w:adjustRightInd w:val="0"/>
                    <w:snapToGrid w:val="0"/>
                    <w:rPr>
                      <w:szCs w:val="21"/>
                    </w:rPr>
                  </w:pPr>
                  <w:r>
                    <w:rPr>
                      <w:szCs w:val="21"/>
                    </w:rPr>
                    <w:t>70</w:t>
                  </w:r>
                </w:p>
              </w:tc>
              <w:tc>
                <w:tcPr>
                  <w:tcW w:w="372" w:type="pct"/>
                  <w:tcBorders>
                    <w:tl2br w:val="nil"/>
                    <w:tr2bl w:val="nil"/>
                  </w:tcBorders>
                  <w:vAlign w:val="center"/>
                </w:tcPr>
                <w:p w14:paraId="3450B363">
                  <w:pPr>
                    <w:pStyle w:val="154"/>
                    <w:adjustRightInd w:val="0"/>
                    <w:snapToGrid w:val="0"/>
                    <w:rPr>
                      <w:szCs w:val="21"/>
                    </w:rPr>
                  </w:pPr>
                  <w:r>
                    <w:rPr>
                      <w:szCs w:val="21"/>
                    </w:rPr>
                    <w:t>66</w:t>
                  </w:r>
                </w:p>
              </w:tc>
              <w:tc>
                <w:tcPr>
                  <w:tcW w:w="372" w:type="pct"/>
                  <w:tcBorders>
                    <w:tl2br w:val="nil"/>
                    <w:tr2bl w:val="nil"/>
                  </w:tcBorders>
                  <w:vAlign w:val="center"/>
                </w:tcPr>
                <w:p w14:paraId="234095AC">
                  <w:pPr>
                    <w:pStyle w:val="154"/>
                    <w:adjustRightInd w:val="0"/>
                    <w:snapToGrid w:val="0"/>
                    <w:rPr>
                      <w:szCs w:val="21"/>
                    </w:rPr>
                  </w:pPr>
                  <w:r>
                    <w:rPr>
                      <w:szCs w:val="21"/>
                    </w:rPr>
                    <w:t>64</w:t>
                  </w:r>
                </w:p>
              </w:tc>
              <w:tc>
                <w:tcPr>
                  <w:tcW w:w="372" w:type="pct"/>
                  <w:tcBorders>
                    <w:tl2br w:val="nil"/>
                    <w:tr2bl w:val="nil"/>
                  </w:tcBorders>
                  <w:vAlign w:val="center"/>
                </w:tcPr>
                <w:p w14:paraId="27C734B5">
                  <w:pPr>
                    <w:pStyle w:val="154"/>
                    <w:adjustRightInd w:val="0"/>
                    <w:snapToGrid w:val="0"/>
                    <w:rPr>
                      <w:szCs w:val="21"/>
                    </w:rPr>
                  </w:pPr>
                  <w:r>
                    <w:rPr>
                      <w:szCs w:val="21"/>
                    </w:rPr>
                    <w:t>62</w:t>
                  </w:r>
                </w:p>
              </w:tc>
              <w:tc>
                <w:tcPr>
                  <w:tcW w:w="372" w:type="pct"/>
                  <w:tcBorders>
                    <w:tl2br w:val="nil"/>
                    <w:tr2bl w:val="nil"/>
                  </w:tcBorders>
                  <w:vAlign w:val="center"/>
                </w:tcPr>
                <w:p w14:paraId="7CB75026">
                  <w:pPr>
                    <w:pStyle w:val="154"/>
                    <w:adjustRightInd w:val="0"/>
                    <w:snapToGrid w:val="0"/>
                    <w:rPr>
                      <w:szCs w:val="21"/>
                    </w:rPr>
                  </w:pPr>
                  <w:r>
                    <w:rPr>
                      <w:szCs w:val="21"/>
                    </w:rPr>
                    <w:t>58</w:t>
                  </w:r>
                </w:p>
              </w:tc>
              <w:tc>
                <w:tcPr>
                  <w:tcW w:w="391" w:type="pct"/>
                  <w:tcBorders>
                    <w:tl2br w:val="nil"/>
                    <w:tr2bl w:val="nil"/>
                  </w:tcBorders>
                  <w:vAlign w:val="center"/>
                </w:tcPr>
                <w:p w14:paraId="2C51ABE7">
                  <w:pPr>
                    <w:pStyle w:val="154"/>
                    <w:adjustRightInd w:val="0"/>
                    <w:snapToGrid w:val="0"/>
                    <w:rPr>
                      <w:szCs w:val="21"/>
                    </w:rPr>
                  </w:pPr>
                  <w:r>
                    <w:rPr>
                      <w:szCs w:val="21"/>
                    </w:rPr>
                    <w:t>54</w:t>
                  </w:r>
                </w:p>
              </w:tc>
            </w:tr>
            <w:tr w14:paraId="689E37C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tcBorders>
                    <w:tl2br w:val="nil"/>
                    <w:tr2bl w:val="nil"/>
                  </w:tcBorders>
                </w:tcPr>
                <w:p w14:paraId="1F37D0AC">
                  <w:pPr>
                    <w:pStyle w:val="154"/>
                    <w:adjustRightInd w:val="0"/>
                    <w:snapToGrid w:val="0"/>
                    <w:rPr>
                      <w:szCs w:val="21"/>
                    </w:rPr>
                  </w:pPr>
                  <w:r>
                    <w:rPr>
                      <w:szCs w:val="21"/>
                    </w:rPr>
                    <w:t>3</w:t>
                  </w:r>
                </w:p>
              </w:tc>
              <w:tc>
                <w:tcPr>
                  <w:tcW w:w="919" w:type="pct"/>
                  <w:tcBorders>
                    <w:tl2br w:val="nil"/>
                    <w:tr2bl w:val="nil"/>
                  </w:tcBorders>
                </w:tcPr>
                <w:p w14:paraId="2B2D26F4">
                  <w:pPr>
                    <w:pStyle w:val="154"/>
                    <w:adjustRightInd w:val="0"/>
                    <w:snapToGrid w:val="0"/>
                    <w:rPr>
                      <w:szCs w:val="21"/>
                    </w:rPr>
                  </w:pPr>
                  <w:r>
                    <w:rPr>
                      <w:szCs w:val="21"/>
                    </w:rPr>
                    <w:t>重型运输车</w:t>
                  </w:r>
                </w:p>
              </w:tc>
              <w:tc>
                <w:tcPr>
                  <w:tcW w:w="372" w:type="pct"/>
                  <w:tcBorders>
                    <w:tl2br w:val="nil"/>
                    <w:tr2bl w:val="nil"/>
                  </w:tcBorders>
                  <w:vAlign w:val="center"/>
                </w:tcPr>
                <w:p w14:paraId="492899C9">
                  <w:pPr>
                    <w:pStyle w:val="76"/>
                    <w:snapToGrid w:val="0"/>
                    <w:jc w:val="center"/>
                    <w:rPr>
                      <w:rFonts w:eastAsia="Times New Roman"/>
                      <w:sz w:val="21"/>
                      <w:szCs w:val="21"/>
                    </w:rPr>
                  </w:pPr>
                  <w:r>
                    <w:rPr>
                      <w:sz w:val="21"/>
                      <w:szCs w:val="21"/>
                    </w:rPr>
                    <w:t>90</w:t>
                  </w:r>
                </w:p>
              </w:tc>
              <w:tc>
                <w:tcPr>
                  <w:tcW w:w="372" w:type="pct"/>
                  <w:tcBorders>
                    <w:tl2br w:val="nil"/>
                    <w:tr2bl w:val="nil"/>
                  </w:tcBorders>
                  <w:vAlign w:val="center"/>
                </w:tcPr>
                <w:p w14:paraId="7F07D135">
                  <w:pPr>
                    <w:pStyle w:val="76"/>
                    <w:snapToGrid w:val="0"/>
                    <w:ind w:left="5"/>
                    <w:jc w:val="center"/>
                    <w:rPr>
                      <w:rFonts w:eastAsia="Times New Roman"/>
                      <w:sz w:val="21"/>
                      <w:szCs w:val="21"/>
                    </w:rPr>
                  </w:pPr>
                  <w:r>
                    <w:rPr>
                      <w:sz w:val="21"/>
                      <w:szCs w:val="21"/>
                    </w:rPr>
                    <w:t>84</w:t>
                  </w:r>
                </w:p>
              </w:tc>
              <w:tc>
                <w:tcPr>
                  <w:tcW w:w="372" w:type="pct"/>
                  <w:tcBorders>
                    <w:tl2br w:val="nil"/>
                    <w:tr2bl w:val="nil"/>
                  </w:tcBorders>
                  <w:vAlign w:val="center"/>
                </w:tcPr>
                <w:p w14:paraId="0C725BEA">
                  <w:pPr>
                    <w:pStyle w:val="76"/>
                    <w:snapToGrid w:val="0"/>
                    <w:ind w:left="4"/>
                    <w:jc w:val="center"/>
                    <w:rPr>
                      <w:rFonts w:eastAsia="Times New Roman"/>
                      <w:sz w:val="21"/>
                      <w:szCs w:val="21"/>
                    </w:rPr>
                  </w:pPr>
                  <w:r>
                    <w:rPr>
                      <w:sz w:val="21"/>
                      <w:szCs w:val="21"/>
                    </w:rPr>
                    <w:t>80</w:t>
                  </w:r>
                </w:p>
              </w:tc>
              <w:tc>
                <w:tcPr>
                  <w:tcW w:w="372" w:type="pct"/>
                  <w:tcBorders>
                    <w:tl2br w:val="nil"/>
                    <w:tr2bl w:val="nil"/>
                  </w:tcBorders>
                  <w:vAlign w:val="center"/>
                </w:tcPr>
                <w:p w14:paraId="464147D1">
                  <w:pPr>
                    <w:pStyle w:val="76"/>
                    <w:snapToGrid w:val="0"/>
                    <w:ind w:right="3"/>
                    <w:jc w:val="center"/>
                    <w:rPr>
                      <w:rFonts w:eastAsia="Times New Roman"/>
                      <w:sz w:val="21"/>
                      <w:szCs w:val="21"/>
                    </w:rPr>
                  </w:pPr>
                  <w:r>
                    <w:rPr>
                      <w:sz w:val="21"/>
                      <w:szCs w:val="21"/>
                    </w:rPr>
                    <w:t>78</w:t>
                  </w:r>
                </w:p>
              </w:tc>
              <w:tc>
                <w:tcPr>
                  <w:tcW w:w="372" w:type="pct"/>
                  <w:tcBorders>
                    <w:tl2br w:val="nil"/>
                    <w:tr2bl w:val="nil"/>
                  </w:tcBorders>
                  <w:vAlign w:val="center"/>
                </w:tcPr>
                <w:p w14:paraId="136C12B3">
                  <w:pPr>
                    <w:pStyle w:val="154"/>
                    <w:adjustRightInd w:val="0"/>
                    <w:snapToGrid w:val="0"/>
                    <w:rPr>
                      <w:szCs w:val="21"/>
                    </w:rPr>
                  </w:pPr>
                  <w:r>
                    <w:rPr>
                      <w:szCs w:val="21"/>
                    </w:rPr>
                    <w:t>72</w:t>
                  </w:r>
                </w:p>
              </w:tc>
              <w:tc>
                <w:tcPr>
                  <w:tcW w:w="372" w:type="pct"/>
                  <w:tcBorders>
                    <w:tl2br w:val="nil"/>
                    <w:tr2bl w:val="nil"/>
                  </w:tcBorders>
                  <w:vAlign w:val="center"/>
                </w:tcPr>
                <w:p w14:paraId="1E374B04">
                  <w:pPr>
                    <w:pStyle w:val="154"/>
                    <w:adjustRightInd w:val="0"/>
                    <w:snapToGrid w:val="0"/>
                    <w:rPr>
                      <w:szCs w:val="21"/>
                    </w:rPr>
                  </w:pPr>
                  <w:r>
                    <w:rPr>
                      <w:szCs w:val="21"/>
                    </w:rPr>
                    <w:t>68</w:t>
                  </w:r>
                </w:p>
              </w:tc>
              <w:tc>
                <w:tcPr>
                  <w:tcW w:w="372" w:type="pct"/>
                  <w:tcBorders>
                    <w:tl2br w:val="nil"/>
                    <w:tr2bl w:val="nil"/>
                  </w:tcBorders>
                  <w:vAlign w:val="center"/>
                </w:tcPr>
                <w:p w14:paraId="44F493E0">
                  <w:pPr>
                    <w:pStyle w:val="154"/>
                    <w:adjustRightInd w:val="0"/>
                    <w:snapToGrid w:val="0"/>
                    <w:rPr>
                      <w:szCs w:val="21"/>
                    </w:rPr>
                  </w:pPr>
                  <w:r>
                    <w:rPr>
                      <w:szCs w:val="21"/>
                    </w:rPr>
                    <w:t>66</w:t>
                  </w:r>
                </w:p>
              </w:tc>
              <w:tc>
                <w:tcPr>
                  <w:tcW w:w="372" w:type="pct"/>
                  <w:tcBorders>
                    <w:tl2br w:val="nil"/>
                    <w:tr2bl w:val="nil"/>
                  </w:tcBorders>
                  <w:vAlign w:val="center"/>
                </w:tcPr>
                <w:p w14:paraId="70DD27F2">
                  <w:pPr>
                    <w:pStyle w:val="154"/>
                    <w:adjustRightInd w:val="0"/>
                    <w:snapToGrid w:val="0"/>
                    <w:rPr>
                      <w:szCs w:val="21"/>
                    </w:rPr>
                  </w:pPr>
                  <w:r>
                    <w:rPr>
                      <w:szCs w:val="21"/>
                    </w:rPr>
                    <w:t>64</w:t>
                  </w:r>
                </w:p>
              </w:tc>
              <w:tc>
                <w:tcPr>
                  <w:tcW w:w="372" w:type="pct"/>
                  <w:tcBorders>
                    <w:tl2br w:val="nil"/>
                    <w:tr2bl w:val="nil"/>
                  </w:tcBorders>
                  <w:vAlign w:val="center"/>
                </w:tcPr>
                <w:p w14:paraId="735D6148">
                  <w:pPr>
                    <w:pStyle w:val="154"/>
                    <w:adjustRightInd w:val="0"/>
                    <w:snapToGrid w:val="0"/>
                    <w:rPr>
                      <w:szCs w:val="21"/>
                    </w:rPr>
                  </w:pPr>
                  <w:r>
                    <w:rPr>
                      <w:szCs w:val="21"/>
                    </w:rPr>
                    <w:t>60</w:t>
                  </w:r>
                </w:p>
              </w:tc>
              <w:tc>
                <w:tcPr>
                  <w:tcW w:w="391" w:type="pct"/>
                  <w:tcBorders>
                    <w:tl2br w:val="nil"/>
                    <w:tr2bl w:val="nil"/>
                  </w:tcBorders>
                  <w:vAlign w:val="center"/>
                </w:tcPr>
                <w:p w14:paraId="5FE3E24C">
                  <w:pPr>
                    <w:pStyle w:val="154"/>
                    <w:adjustRightInd w:val="0"/>
                    <w:snapToGrid w:val="0"/>
                    <w:rPr>
                      <w:szCs w:val="21"/>
                    </w:rPr>
                  </w:pPr>
                  <w:r>
                    <w:rPr>
                      <w:szCs w:val="21"/>
                    </w:rPr>
                    <w:t>56</w:t>
                  </w:r>
                </w:p>
              </w:tc>
            </w:tr>
            <w:tr w14:paraId="0CA3EE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tcBorders>
                    <w:tl2br w:val="nil"/>
                    <w:tr2bl w:val="nil"/>
                  </w:tcBorders>
                </w:tcPr>
                <w:p w14:paraId="292CF2F6">
                  <w:pPr>
                    <w:pStyle w:val="154"/>
                    <w:adjustRightInd w:val="0"/>
                    <w:snapToGrid w:val="0"/>
                    <w:rPr>
                      <w:szCs w:val="21"/>
                    </w:rPr>
                  </w:pPr>
                  <w:r>
                    <w:rPr>
                      <w:szCs w:val="21"/>
                    </w:rPr>
                    <w:t>4</w:t>
                  </w:r>
                </w:p>
              </w:tc>
              <w:tc>
                <w:tcPr>
                  <w:tcW w:w="919" w:type="pct"/>
                  <w:tcBorders>
                    <w:tl2br w:val="nil"/>
                    <w:tr2bl w:val="nil"/>
                  </w:tcBorders>
                </w:tcPr>
                <w:p w14:paraId="794D20C3">
                  <w:pPr>
                    <w:pStyle w:val="154"/>
                    <w:adjustRightInd w:val="0"/>
                    <w:snapToGrid w:val="0"/>
                    <w:rPr>
                      <w:szCs w:val="21"/>
                    </w:rPr>
                  </w:pPr>
                  <w:r>
                    <w:rPr>
                      <w:szCs w:val="21"/>
                    </w:rPr>
                    <w:t>静力压桩机</w:t>
                  </w:r>
                </w:p>
              </w:tc>
              <w:tc>
                <w:tcPr>
                  <w:tcW w:w="372" w:type="pct"/>
                  <w:tcBorders>
                    <w:tl2br w:val="nil"/>
                    <w:tr2bl w:val="nil"/>
                  </w:tcBorders>
                  <w:vAlign w:val="center"/>
                </w:tcPr>
                <w:p w14:paraId="7EE8A367">
                  <w:pPr>
                    <w:pStyle w:val="76"/>
                    <w:snapToGrid w:val="0"/>
                    <w:jc w:val="center"/>
                    <w:rPr>
                      <w:sz w:val="21"/>
                      <w:szCs w:val="21"/>
                    </w:rPr>
                  </w:pPr>
                  <w:r>
                    <w:rPr>
                      <w:sz w:val="21"/>
                      <w:szCs w:val="21"/>
                    </w:rPr>
                    <w:t>75</w:t>
                  </w:r>
                </w:p>
              </w:tc>
              <w:tc>
                <w:tcPr>
                  <w:tcW w:w="372" w:type="pct"/>
                  <w:tcBorders>
                    <w:tl2br w:val="nil"/>
                    <w:tr2bl w:val="nil"/>
                  </w:tcBorders>
                  <w:vAlign w:val="center"/>
                </w:tcPr>
                <w:p w14:paraId="431226C7">
                  <w:pPr>
                    <w:pStyle w:val="76"/>
                    <w:snapToGrid w:val="0"/>
                    <w:ind w:left="5"/>
                    <w:jc w:val="center"/>
                    <w:rPr>
                      <w:sz w:val="21"/>
                      <w:szCs w:val="21"/>
                    </w:rPr>
                  </w:pPr>
                  <w:r>
                    <w:rPr>
                      <w:sz w:val="21"/>
                      <w:szCs w:val="21"/>
                    </w:rPr>
                    <w:t>69</w:t>
                  </w:r>
                </w:p>
              </w:tc>
              <w:tc>
                <w:tcPr>
                  <w:tcW w:w="372" w:type="pct"/>
                  <w:tcBorders>
                    <w:tl2br w:val="nil"/>
                    <w:tr2bl w:val="nil"/>
                  </w:tcBorders>
                  <w:vAlign w:val="center"/>
                </w:tcPr>
                <w:p w14:paraId="6365B44F">
                  <w:pPr>
                    <w:pStyle w:val="76"/>
                    <w:snapToGrid w:val="0"/>
                    <w:ind w:left="4"/>
                    <w:jc w:val="center"/>
                    <w:rPr>
                      <w:sz w:val="21"/>
                      <w:szCs w:val="21"/>
                    </w:rPr>
                  </w:pPr>
                  <w:r>
                    <w:rPr>
                      <w:sz w:val="21"/>
                      <w:szCs w:val="21"/>
                    </w:rPr>
                    <w:t>65</w:t>
                  </w:r>
                </w:p>
              </w:tc>
              <w:tc>
                <w:tcPr>
                  <w:tcW w:w="372" w:type="pct"/>
                  <w:tcBorders>
                    <w:tl2br w:val="nil"/>
                    <w:tr2bl w:val="nil"/>
                  </w:tcBorders>
                  <w:vAlign w:val="center"/>
                </w:tcPr>
                <w:p w14:paraId="0A2E0DD2">
                  <w:pPr>
                    <w:pStyle w:val="76"/>
                    <w:snapToGrid w:val="0"/>
                    <w:ind w:right="3"/>
                    <w:jc w:val="center"/>
                    <w:rPr>
                      <w:sz w:val="21"/>
                      <w:szCs w:val="21"/>
                    </w:rPr>
                  </w:pPr>
                  <w:r>
                    <w:rPr>
                      <w:sz w:val="21"/>
                      <w:szCs w:val="21"/>
                    </w:rPr>
                    <w:t>63</w:t>
                  </w:r>
                </w:p>
              </w:tc>
              <w:tc>
                <w:tcPr>
                  <w:tcW w:w="372" w:type="pct"/>
                  <w:tcBorders>
                    <w:tl2br w:val="nil"/>
                    <w:tr2bl w:val="nil"/>
                  </w:tcBorders>
                  <w:vAlign w:val="center"/>
                </w:tcPr>
                <w:p w14:paraId="0B9BCC12">
                  <w:pPr>
                    <w:pStyle w:val="154"/>
                    <w:adjustRightInd w:val="0"/>
                    <w:snapToGrid w:val="0"/>
                    <w:rPr>
                      <w:szCs w:val="21"/>
                    </w:rPr>
                  </w:pPr>
                  <w:r>
                    <w:rPr>
                      <w:szCs w:val="21"/>
                    </w:rPr>
                    <w:t>57</w:t>
                  </w:r>
                </w:p>
              </w:tc>
              <w:tc>
                <w:tcPr>
                  <w:tcW w:w="372" w:type="pct"/>
                  <w:tcBorders>
                    <w:tl2br w:val="nil"/>
                    <w:tr2bl w:val="nil"/>
                  </w:tcBorders>
                  <w:vAlign w:val="center"/>
                </w:tcPr>
                <w:p w14:paraId="7E0B9F1B">
                  <w:pPr>
                    <w:pStyle w:val="154"/>
                    <w:adjustRightInd w:val="0"/>
                    <w:snapToGrid w:val="0"/>
                    <w:rPr>
                      <w:szCs w:val="21"/>
                    </w:rPr>
                  </w:pPr>
                  <w:r>
                    <w:rPr>
                      <w:szCs w:val="21"/>
                    </w:rPr>
                    <w:t>53</w:t>
                  </w:r>
                </w:p>
              </w:tc>
              <w:tc>
                <w:tcPr>
                  <w:tcW w:w="372" w:type="pct"/>
                  <w:tcBorders>
                    <w:tl2br w:val="nil"/>
                    <w:tr2bl w:val="nil"/>
                  </w:tcBorders>
                  <w:vAlign w:val="center"/>
                </w:tcPr>
                <w:p w14:paraId="1E5070EC">
                  <w:pPr>
                    <w:pStyle w:val="154"/>
                    <w:adjustRightInd w:val="0"/>
                    <w:snapToGrid w:val="0"/>
                    <w:rPr>
                      <w:szCs w:val="21"/>
                    </w:rPr>
                  </w:pPr>
                  <w:r>
                    <w:rPr>
                      <w:szCs w:val="21"/>
                    </w:rPr>
                    <w:t>51</w:t>
                  </w:r>
                </w:p>
              </w:tc>
              <w:tc>
                <w:tcPr>
                  <w:tcW w:w="372" w:type="pct"/>
                  <w:tcBorders>
                    <w:tl2br w:val="nil"/>
                    <w:tr2bl w:val="nil"/>
                  </w:tcBorders>
                  <w:vAlign w:val="center"/>
                </w:tcPr>
                <w:p w14:paraId="3CD3A333">
                  <w:pPr>
                    <w:pStyle w:val="154"/>
                    <w:adjustRightInd w:val="0"/>
                    <w:snapToGrid w:val="0"/>
                    <w:rPr>
                      <w:szCs w:val="21"/>
                    </w:rPr>
                  </w:pPr>
                  <w:r>
                    <w:rPr>
                      <w:szCs w:val="21"/>
                    </w:rPr>
                    <w:t>49</w:t>
                  </w:r>
                </w:p>
              </w:tc>
              <w:tc>
                <w:tcPr>
                  <w:tcW w:w="372" w:type="pct"/>
                  <w:tcBorders>
                    <w:tl2br w:val="nil"/>
                    <w:tr2bl w:val="nil"/>
                  </w:tcBorders>
                  <w:vAlign w:val="center"/>
                </w:tcPr>
                <w:p w14:paraId="008FFB23">
                  <w:pPr>
                    <w:pStyle w:val="154"/>
                    <w:adjustRightInd w:val="0"/>
                    <w:snapToGrid w:val="0"/>
                    <w:rPr>
                      <w:szCs w:val="21"/>
                    </w:rPr>
                  </w:pPr>
                  <w:r>
                    <w:rPr>
                      <w:szCs w:val="21"/>
                    </w:rPr>
                    <w:t>45</w:t>
                  </w:r>
                </w:p>
              </w:tc>
              <w:tc>
                <w:tcPr>
                  <w:tcW w:w="391" w:type="pct"/>
                  <w:tcBorders>
                    <w:tl2br w:val="nil"/>
                    <w:tr2bl w:val="nil"/>
                  </w:tcBorders>
                  <w:vAlign w:val="center"/>
                </w:tcPr>
                <w:p w14:paraId="728AB718">
                  <w:pPr>
                    <w:pStyle w:val="154"/>
                    <w:adjustRightInd w:val="0"/>
                    <w:snapToGrid w:val="0"/>
                    <w:rPr>
                      <w:szCs w:val="21"/>
                    </w:rPr>
                  </w:pPr>
                  <w:r>
                    <w:rPr>
                      <w:szCs w:val="21"/>
                    </w:rPr>
                    <w:t>41</w:t>
                  </w:r>
                </w:p>
              </w:tc>
            </w:tr>
            <w:tr w14:paraId="3FC605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tcBorders>
                    <w:tl2br w:val="nil"/>
                    <w:tr2bl w:val="nil"/>
                  </w:tcBorders>
                </w:tcPr>
                <w:p w14:paraId="7FD80986">
                  <w:pPr>
                    <w:pStyle w:val="154"/>
                    <w:adjustRightInd w:val="0"/>
                    <w:snapToGrid w:val="0"/>
                    <w:rPr>
                      <w:szCs w:val="21"/>
                    </w:rPr>
                  </w:pPr>
                  <w:r>
                    <w:rPr>
                      <w:szCs w:val="21"/>
                    </w:rPr>
                    <w:t>5</w:t>
                  </w:r>
                </w:p>
              </w:tc>
              <w:tc>
                <w:tcPr>
                  <w:tcW w:w="919" w:type="pct"/>
                  <w:tcBorders>
                    <w:tl2br w:val="nil"/>
                    <w:tr2bl w:val="nil"/>
                  </w:tcBorders>
                </w:tcPr>
                <w:p w14:paraId="3CDAD7B0">
                  <w:pPr>
                    <w:pStyle w:val="154"/>
                    <w:adjustRightInd w:val="0"/>
                    <w:snapToGrid w:val="0"/>
                    <w:rPr>
                      <w:szCs w:val="21"/>
                    </w:rPr>
                  </w:pPr>
                  <w:r>
                    <w:rPr>
                      <w:szCs w:val="21"/>
                    </w:rPr>
                    <w:t>商砼搅拌车</w:t>
                  </w:r>
                </w:p>
              </w:tc>
              <w:tc>
                <w:tcPr>
                  <w:tcW w:w="372" w:type="pct"/>
                  <w:tcBorders>
                    <w:tl2br w:val="nil"/>
                    <w:tr2bl w:val="nil"/>
                  </w:tcBorders>
                  <w:vAlign w:val="center"/>
                </w:tcPr>
                <w:p w14:paraId="0A6934E3">
                  <w:pPr>
                    <w:pStyle w:val="76"/>
                    <w:snapToGrid w:val="0"/>
                    <w:jc w:val="center"/>
                    <w:rPr>
                      <w:rFonts w:eastAsia="Times New Roman"/>
                      <w:sz w:val="21"/>
                      <w:szCs w:val="21"/>
                    </w:rPr>
                  </w:pPr>
                  <w:r>
                    <w:rPr>
                      <w:sz w:val="21"/>
                      <w:szCs w:val="21"/>
                    </w:rPr>
                    <w:t>90</w:t>
                  </w:r>
                </w:p>
              </w:tc>
              <w:tc>
                <w:tcPr>
                  <w:tcW w:w="372" w:type="pct"/>
                  <w:tcBorders>
                    <w:tl2br w:val="nil"/>
                    <w:tr2bl w:val="nil"/>
                  </w:tcBorders>
                  <w:vAlign w:val="center"/>
                </w:tcPr>
                <w:p w14:paraId="2683860B">
                  <w:pPr>
                    <w:pStyle w:val="76"/>
                    <w:snapToGrid w:val="0"/>
                    <w:ind w:left="5"/>
                    <w:jc w:val="center"/>
                    <w:rPr>
                      <w:rFonts w:eastAsia="Times New Roman"/>
                      <w:sz w:val="21"/>
                      <w:szCs w:val="21"/>
                    </w:rPr>
                  </w:pPr>
                  <w:r>
                    <w:rPr>
                      <w:sz w:val="21"/>
                      <w:szCs w:val="21"/>
                    </w:rPr>
                    <w:t>84</w:t>
                  </w:r>
                </w:p>
              </w:tc>
              <w:tc>
                <w:tcPr>
                  <w:tcW w:w="372" w:type="pct"/>
                  <w:tcBorders>
                    <w:tl2br w:val="nil"/>
                    <w:tr2bl w:val="nil"/>
                  </w:tcBorders>
                  <w:vAlign w:val="center"/>
                </w:tcPr>
                <w:p w14:paraId="01CA6D60">
                  <w:pPr>
                    <w:pStyle w:val="76"/>
                    <w:snapToGrid w:val="0"/>
                    <w:ind w:left="4"/>
                    <w:jc w:val="center"/>
                    <w:rPr>
                      <w:rFonts w:eastAsia="Times New Roman"/>
                      <w:sz w:val="21"/>
                      <w:szCs w:val="21"/>
                    </w:rPr>
                  </w:pPr>
                  <w:r>
                    <w:rPr>
                      <w:sz w:val="21"/>
                      <w:szCs w:val="21"/>
                    </w:rPr>
                    <w:t>80</w:t>
                  </w:r>
                </w:p>
              </w:tc>
              <w:tc>
                <w:tcPr>
                  <w:tcW w:w="372" w:type="pct"/>
                  <w:tcBorders>
                    <w:tl2br w:val="nil"/>
                    <w:tr2bl w:val="nil"/>
                  </w:tcBorders>
                  <w:vAlign w:val="center"/>
                </w:tcPr>
                <w:p w14:paraId="18D1887C">
                  <w:pPr>
                    <w:pStyle w:val="76"/>
                    <w:snapToGrid w:val="0"/>
                    <w:ind w:right="3"/>
                    <w:jc w:val="center"/>
                    <w:rPr>
                      <w:rFonts w:eastAsia="Times New Roman"/>
                      <w:sz w:val="21"/>
                      <w:szCs w:val="21"/>
                    </w:rPr>
                  </w:pPr>
                  <w:r>
                    <w:rPr>
                      <w:sz w:val="21"/>
                      <w:szCs w:val="21"/>
                    </w:rPr>
                    <w:t>78</w:t>
                  </w:r>
                </w:p>
              </w:tc>
              <w:tc>
                <w:tcPr>
                  <w:tcW w:w="372" w:type="pct"/>
                  <w:tcBorders>
                    <w:tl2br w:val="nil"/>
                    <w:tr2bl w:val="nil"/>
                  </w:tcBorders>
                  <w:vAlign w:val="center"/>
                </w:tcPr>
                <w:p w14:paraId="1C778531">
                  <w:pPr>
                    <w:pStyle w:val="154"/>
                    <w:adjustRightInd w:val="0"/>
                    <w:snapToGrid w:val="0"/>
                    <w:rPr>
                      <w:szCs w:val="21"/>
                    </w:rPr>
                  </w:pPr>
                  <w:r>
                    <w:rPr>
                      <w:szCs w:val="21"/>
                    </w:rPr>
                    <w:t>72</w:t>
                  </w:r>
                </w:p>
              </w:tc>
              <w:tc>
                <w:tcPr>
                  <w:tcW w:w="372" w:type="pct"/>
                  <w:tcBorders>
                    <w:tl2br w:val="nil"/>
                    <w:tr2bl w:val="nil"/>
                  </w:tcBorders>
                  <w:vAlign w:val="center"/>
                </w:tcPr>
                <w:p w14:paraId="7FEECC33">
                  <w:pPr>
                    <w:pStyle w:val="154"/>
                    <w:adjustRightInd w:val="0"/>
                    <w:snapToGrid w:val="0"/>
                    <w:rPr>
                      <w:szCs w:val="21"/>
                    </w:rPr>
                  </w:pPr>
                  <w:r>
                    <w:rPr>
                      <w:szCs w:val="21"/>
                    </w:rPr>
                    <w:t>68</w:t>
                  </w:r>
                </w:p>
              </w:tc>
              <w:tc>
                <w:tcPr>
                  <w:tcW w:w="372" w:type="pct"/>
                  <w:tcBorders>
                    <w:tl2br w:val="nil"/>
                    <w:tr2bl w:val="nil"/>
                  </w:tcBorders>
                  <w:vAlign w:val="center"/>
                </w:tcPr>
                <w:p w14:paraId="28D4B172">
                  <w:pPr>
                    <w:pStyle w:val="154"/>
                    <w:adjustRightInd w:val="0"/>
                    <w:snapToGrid w:val="0"/>
                    <w:rPr>
                      <w:szCs w:val="21"/>
                    </w:rPr>
                  </w:pPr>
                  <w:r>
                    <w:rPr>
                      <w:szCs w:val="21"/>
                    </w:rPr>
                    <w:t>66</w:t>
                  </w:r>
                </w:p>
              </w:tc>
              <w:tc>
                <w:tcPr>
                  <w:tcW w:w="372" w:type="pct"/>
                  <w:tcBorders>
                    <w:tl2br w:val="nil"/>
                    <w:tr2bl w:val="nil"/>
                  </w:tcBorders>
                  <w:vAlign w:val="center"/>
                </w:tcPr>
                <w:p w14:paraId="45D3A4E8">
                  <w:pPr>
                    <w:pStyle w:val="154"/>
                    <w:adjustRightInd w:val="0"/>
                    <w:snapToGrid w:val="0"/>
                    <w:rPr>
                      <w:szCs w:val="21"/>
                    </w:rPr>
                  </w:pPr>
                  <w:r>
                    <w:rPr>
                      <w:szCs w:val="21"/>
                    </w:rPr>
                    <w:t>64</w:t>
                  </w:r>
                </w:p>
              </w:tc>
              <w:tc>
                <w:tcPr>
                  <w:tcW w:w="372" w:type="pct"/>
                  <w:tcBorders>
                    <w:tl2br w:val="nil"/>
                    <w:tr2bl w:val="nil"/>
                  </w:tcBorders>
                  <w:vAlign w:val="center"/>
                </w:tcPr>
                <w:p w14:paraId="052AD6D9">
                  <w:pPr>
                    <w:pStyle w:val="154"/>
                    <w:adjustRightInd w:val="0"/>
                    <w:snapToGrid w:val="0"/>
                    <w:rPr>
                      <w:szCs w:val="21"/>
                    </w:rPr>
                  </w:pPr>
                  <w:r>
                    <w:rPr>
                      <w:szCs w:val="21"/>
                    </w:rPr>
                    <w:t>60</w:t>
                  </w:r>
                </w:p>
              </w:tc>
              <w:tc>
                <w:tcPr>
                  <w:tcW w:w="391" w:type="pct"/>
                  <w:tcBorders>
                    <w:tl2br w:val="nil"/>
                    <w:tr2bl w:val="nil"/>
                  </w:tcBorders>
                  <w:vAlign w:val="center"/>
                </w:tcPr>
                <w:p w14:paraId="4D6817A3">
                  <w:pPr>
                    <w:pStyle w:val="154"/>
                    <w:adjustRightInd w:val="0"/>
                    <w:snapToGrid w:val="0"/>
                    <w:rPr>
                      <w:szCs w:val="21"/>
                    </w:rPr>
                  </w:pPr>
                  <w:r>
                    <w:rPr>
                      <w:szCs w:val="21"/>
                    </w:rPr>
                    <w:t>56</w:t>
                  </w:r>
                </w:p>
              </w:tc>
            </w:tr>
            <w:tr w14:paraId="7104DD0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tcBorders>
                    <w:tl2br w:val="nil"/>
                    <w:tr2bl w:val="nil"/>
                  </w:tcBorders>
                </w:tcPr>
                <w:p w14:paraId="02E9575D">
                  <w:pPr>
                    <w:pStyle w:val="154"/>
                    <w:adjustRightInd w:val="0"/>
                    <w:snapToGrid w:val="0"/>
                    <w:rPr>
                      <w:szCs w:val="21"/>
                    </w:rPr>
                  </w:pPr>
                  <w:r>
                    <w:rPr>
                      <w:szCs w:val="21"/>
                    </w:rPr>
                    <w:t>6</w:t>
                  </w:r>
                </w:p>
              </w:tc>
              <w:tc>
                <w:tcPr>
                  <w:tcW w:w="919" w:type="pct"/>
                  <w:tcBorders>
                    <w:tl2br w:val="nil"/>
                    <w:tr2bl w:val="nil"/>
                  </w:tcBorders>
                </w:tcPr>
                <w:p w14:paraId="6BD4AFC8">
                  <w:pPr>
                    <w:pStyle w:val="154"/>
                    <w:adjustRightInd w:val="0"/>
                    <w:snapToGrid w:val="0"/>
                    <w:rPr>
                      <w:szCs w:val="21"/>
                    </w:rPr>
                  </w:pPr>
                  <w:r>
                    <w:rPr>
                      <w:szCs w:val="21"/>
                    </w:rPr>
                    <w:t>混凝土振捣器</w:t>
                  </w:r>
                </w:p>
              </w:tc>
              <w:tc>
                <w:tcPr>
                  <w:tcW w:w="372" w:type="pct"/>
                  <w:tcBorders>
                    <w:tl2br w:val="nil"/>
                    <w:tr2bl w:val="nil"/>
                  </w:tcBorders>
                  <w:vAlign w:val="center"/>
                </w:tcPr>
                <w:p w14:paraId="6E7ABC99">
                  <w:pPr>
                    <w:pStyle w:val="76"/>
                    <w:snapToGrid w:val="0"/>
                    <w:jc w:val="center"/>
                    <w:rPr>
                      <w:rFonts w:eastAsia="Times New Roman"/>
                      <w:sz w:val="21"/>
                      <w:szCs w:val="21"/>
                    </w:rPr>
                  </w:pPr>
                  <w:r>
                    <w:rPr>
                      <w:sz w:val="21"/>
                      <w:szCs w:val="21"/>
                    </w:rPr>
                    <w:t>88</w:t>
                  </w:r>
                </w:p>
              </w:tc>
              <w:tc>
                <w:tcPr>
                  <w:tcW w:w="372" w:type="pct"/>
                  <w:tcBorders>
                    <w:tl2br w:val="nil"/>
                    <w:tr2bl w:val="nil"/>
                  </w:tcBorders>
                  <w:vAlign w:val="center"/>
                </w:tcPr>
                <w:p w14:paraId="0D1A3740">
                  <w:pPr>
                    <w:pStyle w:val="76"/>
                    <w:snapToGrid w:val="0"/>
                    <w:ind w:left="5"/>
                    <w:jc w:val="center"/>
                    <w:rPr>
                      <w:rFonts w:eastAsia="Times New Roman"/>
                      <w:sz w:val="21"/>
                      <w:szCs w:val="21"/>
                    </w:rPr>
                  </w:pPr>
                  <w:r>
                    <w:rPr>
                      <w:sz w:val="21"/>
                      <w:szCs w:val="21"/>
                    </w:rPr>
                    <w:t>82</w:t>
                  </w:r>
                </w:p>
              </w:tc>
              <w:tc>
                <w:tcPr>
                  <w:tcW w:w="372" w:type="pct"/>
                  <w:tcBorders>
                    <w:tl2br w:val="nil"/>
                    <w:tr2bl w:val="nil"/>
                  </w:tcBorders>
                  <w:vAlign w:val="center"/>
                </w:tcPr>
                <w:p w14:paraId="72D690DC">
                  <w:pPr>
                    <w:pStyle w:val="76"/>
                    <w:snapToGrid w:val="0"/>
                    <w:ind w:left="4"/>
                    <w:jc w:val="center"/>
                    <w:rPr>
                      <w:rFonts w:eastAsia="Times New Roman"/>
                      <w:sz w:val="21"/>
                      <w:szCs w:val="21"/>
                    </w:rPr>
                  </w:pPr>
                  <w:r>
                    <w:rPr>
                      <w:sz w:val="21"/>
                      <w:szCs w:val="21"/>
                    </w:rPr>
                    <w:t>78</w:t>
                  </w:r>
                </w:p>
              </w:tc>
              <w:tc>
                <w:tcPr>
                  <w:tcW w:w="372" w:type="pct"/>
                  <w:tcBorders>
                    <w:tl2br w:val="nil"/>
                    <w:tr2bl w:val="nil"/>
                  </w:tcBorders>
                  <w:vAlign w:val="center"/>
                </w:tcPr>
                <w:p w14:paraId="3FBE8485">
                  <w:pPr>
                    <w:pStyle w:val="76"/>
                    <w:snapToGrid w:val="0"/>
                    <w:ind w:right="3"/>
                    <w:jc w:val="center"/>
                    <w:rPr>
                      <w:rFonts w:eastAsia="Times New Roman"/>
                      <w:sz w:val="21"/>
                      <w:szCs w:val="21"/>
                    </w:rPr>
                  </w:pPr>
                  <w:r>
                    <w:rPr>
                      <w:sz w:val="21"/>
                      <w:szCs w:val="21"/>
                    </w:rPr>
                    <w:t>76</w:t>
                  </w:r>
                </w:p>
              </w:tc>
              <w:tc>
                <w:tcPr>
                  <w:tcW w:w="372" w:type="pct"/>
                  <w:tcBorders>
                    <w:tl2br w:val="nil"/>
                    <w:tr2bl w:val="nil"/>
                  </w:tcBorders>
                  <w:vAlign w:val="center"/>
                </w:tcPr>
                <w:p w14:paraId="05A716C2">
                  <w:pPr>
                    <w:pStyle w:val="154"/>
                    <w:adjustRightInd w:val="0"/>
                    <w:snapToGrid w:val="0"/>
                    <w:rPr>
                      <w:szCs w:val="21"/>
                    </w:rPr>
                  </w:pPr>
                  <w:r>
                    <w:rPr>
                      <w:szCs w:val="21"/>
                    </w:rPr>
                    <w:t>70</w:t>
                  </w:r>
                </w:p>
              </w:tc>
              <w:tc>
                <w:tcPr>
                  <w:tcW w:w="372" w:type="pct"/>
                  <w:tcBorders>
                    <w:tl2br w:val="nil"/>
                    <w:tr2bl w:val="nil"/>
                  </w:tcBorders>
                  <w:vAlign w:val="center"/>
                </w:tcPr>
                <w:p w14:paraId="3C5CCD33">
                  <w:pPr>
                    <w:pStyle w:val="154"/>
                    <w:adjustRightInd w:val="0"/>
                    <w:snapToGrid w:val="0"/>
                    <w:rPr>
                      <w:szCs w:val="21"/>
                    </w:rPr>
                  </w:pPr>
                  <w:r>
                    <w:rPr>
                      <w:szCs w:val="21"/>
                    </w:rPr>
                    <w:t>66</w:t>
                  </w:r>
                </w:p>
              </w:tc>
              <w:tc>
                <w:tcPr>
                  <w:tcW w:w="372" w:type="pct"/>
                  <w:tcBorders>
                    <w:tl2br w:val="nil"/>
                    <w:tr2bl w:val="nil"/>
                  </w:tcBorders>
                  <w:vAlign w:val="center"/>
                </w:tcPr>
                <w:p w14:paraId="1147D980">
                  <w:pPr>
                    <w:pStyle w:val="154"/>
                    <w:adjustRightInd w:val="0"/>
                    <w:snapToGrid w:val="0"/>
                    <w:rPr>
                      <w:szCs w:val="21"/>
                    </w:rPr>
                  </w:pPr>
                  <w:r>
                    <w:rPr>
                      <w:szCs w:val="21"/>
                    </w:rPr>
                    <w:t>64</w:t>
                  </w:r>
                </w:p>
              </w:tc>
              <w:tc>
                <w:tcPr>
                  <w:tcW w:w="372" w:type="pct"/>
                  <w:tcBorders>
                    <w:tl2br w:val="nil"/>
                    <w:tr2bl w:val="nil"/>
                  </w:tcBorders>
                  <w:vAlign w:val="center"/>
                </w:tcPr>
                <w:p w14:paraId="72BAD26A">
                  <w:pPr>
                    <w:pStyle w:val="154"/>
                    <w:adjustRightInd w:val="0"/>
                    <w:snapToGrid w:val="0"/>
                    <w:rPr>
                      <w:szCs w:val="21"/>
                    </w:rPr>
                  </w:pPr>
                  <w:r>
                    <w:rPr>
                      <w:szCs w:val="21"/>
                    </w:rPr>
                    <w:t>62</w:t>
                  </w:r>
                </w:p>
              </w:tc>
              <w:tc>
                <w:tcPr>
                  <w:tcW w:w="372" w:type="pct"/>
                  <w:tcBorders>
                    <w:tl2br w:val="nil"/>
                    <w:tr2bl w:val="nil"/>
                  </w:tcBorders>
                  <w:vAlign w:val="center"/>
                </w:tcPr>
                <w:p w14:paraId="10477A29">
                  <w:pPr>
                    <w:pStyle w:val="154"/>
                    <w:adjustRightInd w:val="0"/>
                    <w:snapToGrid w:val="0"/>
                    <w:rPr>
                      <w:szCs w:val="21"/>
                    </w:rPr>
                  </w:pPr>
                  <w:r>
                    <w:rPr>
                      <w:szCs w:val="21"/>
                    </w:rPr>
                    <w:t>58</w:t>
                  </w:r>
                </w:p>
              </w:tc>
              <w:tc>
                <w:tcPr>
                  <w:tcW w:w="391" w:type="pct"/>
                  <w:tcBorders>
                    <w:tl2br w:val="nil"/>
                    <w:tr2bl w:val="nil"/>
                  </w:tcBorders>
                  <w:vAlign w:val="center"/>
                </w:tcPr>
                <w:p w14:paraId="6631640E">
                  <w:pPr>
                    <w:pStyle w:val="154"/>
                    <w:adjustRightInd w:val="0"/>
                    <w:snapToGrid w:val="0"/>
                    <w:rPr>
                      <w:szCs w:val="21"/>
                    </w:rPr>
                  </w:pPr>
                  <w:r>
                    <w:rPr>
                      <w:szCs w:val="21"/>
                    </w:rPr>
                    <w:t>54</w:t>
                  </w:r>
                </w:p>
              </w:tc>
            </w:tr>
            <w:tr w14:paraId="50D5D11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337" w:type="pct"/>
                  <w:tcBorders>
                    <w:tl2br w:val="nil"/>
                    <w:tr2bl w:val="nil"/>
                  </w:tcBorders>
                </w:tcPr>
                <w:p w14:paraId="383EC844">
                  <w:pPr>
                    <w:pStyle w:val="154"/>
                    <w:adjustRightInd w:val="0"/>
                    <w:snapToGrid w:val="0"/>
                    <w:rPr>
                      <w:szCs w:val="21"/>
                    </w:rPr>
                  </w:pPr>
                  <w:r>
                    <w:rPr>
                      <w:szCs w:val="21"/>
                    </w:rPr>
                    <w:t>7</w:t>
                  </w:r>
                </w:p>
              </w:tc>
              <w:tc>
                <w:tcPr>
                  <w:tcW w:w="919" w:type="pct"/>
                  <w:tcBorders>
                    <w:tl2br w:val="nil"/>
                    <w:tr2bl w:val="nil"/>
                  </w:tcBorders>
                </w:tcPr>
                <w:p w14:paraId="1023C3C3">
                  <w:pPr>
                    <w:pStyle w:val="154"/>
                    <w:adjustRightInd w:val="0"/>
                    <w:snapToGrid w:val="0"/>
                    <w:rPr>
                      <w:szCs w:val="21"/>
                    </w:rPr>
                  </w:pPr>
                  <w:r>
                    <w:rPr>
                      <w:szCs w:val="21"/>
                    </w:rPr>
                    <w:t>空压机</w:t>
                  </w:r>
                </w:p>
              </w:tc>
              <w:tc>
                <w:tcPr>
                  <w:tcW w:w="372" w:type="pct"/>
                  <w:tcBorders>
                    <w:tl2br w:val="nil"/>
                    <w:tr2bl w:val="nil"/>
                  </w:tcBorders>
                  <w:vAlign w:val="center"/>
                </w:tcPr>
                <w:p w14:paraId="2AB030FA">
                  <w:pPr>
                    <w:pStyle w:val="76"/>
                    <w:snapToGrid w:val="0"/>
                    <w:jc w:val="center"/>
                    <w:rPr>
                      <w:sz w:val="21"/>
                      <w:szCs w:val="21"/>
                    </w:rPr>
                  </w:pPr>
                  <w:r>
                    <w:rPr>
                      <w:sz w:val="21"/>
                      <w:szCs w:val="21"/>
                    </w:rPr>
                    <w:t>92</w:t>
                  </w:r>
                </w:p>
              </w:tc>
              <w:tc>
                <w:tcPr>
                  <w:tcW w:w="372" w:type="pct"/>
                  <w:tcBorders>
                    <w:tl2br w:val="nil"/>
                    <w:tr2bl w:val="nil"/>
                  </w:tcBorders>
                  <w:vAlign w:val="center"/>
                </w:tcPr>
                <w:p w14:paraId="3EB6656D">
                  <w:pPr>
                    <w:pStyle w:val="76"/>
                    <w:snapToGrid w:val="0"/>
                    <w:ind w:left="5"/>
                    <w:jc w:val="center"/>
                    <w:rPr>
                      <w:sz w:val="21"/>
                      <w:szCs w:val="21"/>
                    </w:rPr>
                  </w:pPr>
                  <w:r>
                    <w:rPr>
                      <w:sz w:val="21"/>
                      <w:szCs w:val="21"/>
                    </w:rPr>
                    <w:t>86</w:t>
                  </w:r>
                </w:p>
              </w:tc>
              <w:tc>
                <w:tcPr>
                  <w:tcW w:w="372" w:type="pct"/>
                  <w:tcBorders>
                    <w:tl2br w:val="nil"/>
                    <w:tr2bl w:val="nil"/>
                  </w:tcBorders>
                  <w:vAlign w:val="center"/>
                </w:tcPr>
                <w:p w14:paraId="1E6A2F68">
                  <w:pPr>
                    <w:pStyle w:val="76"/>
                    <w:snapToGrid w:val="0"/>
                    <w:ind w:left="4"/>
                    <w:jc w:val="center"/>
                    <w:rPr>
                      <w:sz w:val="21"/>
                      <w:szCs w:val="21"/>
                    </w:rPr>
                  </w:pPr>
                  <w:r>
                    <w:rPr>
                      <w:sz w:val="21"/>
                      <w:szCs w:val="21"/>
                    </w:rPr>
                    <w:t>83</w:t>
                  </w:r>
                </w:p>
              </w:tc>
              <w:tc>
                <w:tcPr>
                  <w:tcW w:w="372" w:type="pct"/>
                  <w:tcBorders>
                    <w:tl2br w:val="nil"/>
                    <w:tr2bl w:val="nil"/>
                  </w:tcBorders>
                  <w:vAlign w:val="center"/>
                </w:tcPr>
                <w:p w14:paraId="104082F1">
                  <w:pPr>
                    <w:pStyle w:val="76"/>
                    <w:snapToGrid w:val="0"/>
                    <w:ind w:right="3"/>
                    <w:jc w:val="center"/>
                    <w:rPr>
                      <w:sz w:val="21"/>
                      <w:szCs w:val="21"/>
                    </w:rPr>
                  </w:pPr>
                  <w:r>
                    <w:rPr>
                      <w:sz w:val="21"/>
                      <w:szCs w:val="21"/>
                    </w:rPr>
                    <w:t>80</w:t>
                  </w:r>
                </w:p>
              </w:tc>
              <w:tc>
                <w:tcPr>
                  <w:tcW w:w="372" w:type="pct"/>
                  <w:tcBorders>
                    <w:tl2br w:val="nil"/>
                    <w:tr2bl w:val="nil"/>
                  </w:tcBorders>
                  <w:vAlign w:val="center"/>
                </w:tcPr>
                <w:p w14:paraId="3F3273BC">
                  <w:pPr>
                    <w:pStyle w:val="154"/>
                    <w:adjustRightInd w:val="0"/>
                    <w:snapToGrid w:val="0"/>
                    <w:rPr>
                      <w:szCs w:val="21"/>
                    </w:rPr>
                  </w:pPr>
                  <w:r>
                    <w:rPr>
                      <w:szCs w:val="21"/>
                    </w:rPr>
                    <w:t>74</w:t>
                  </w:r>
                </w:p>
              </w:tc>
              <w:tc>
                <w:tcPr>
                  <w:tcW w:w="372" w:type="pct"/>
                  <w:tcBorders>
                    <w:tl2br w:val="nil"/>
                    <w:tr2bl w:val="nil"/>
                  </w:tcBorders>
                  <w:vAlign w:val="center"/>
                </w:tcPr>
                <w:p w14:paraId="378FD01B">
                  <w:pPr>
                    <w:pStyle w:val="154"/>
                    <w:adjustRightInd w:val="0"/>
                    <w:snapToGrid w:val="0"/>
                    <w:rPr>
                      <w:szCs w:val="21"/>
                    </w:rPr>
                  </w:pPr>
                  <w:r>
                    <w:rPr>
                      <w:szCs w:val="21"/>
                    </w:rPr>
                    <w:t>70</w:t>
                  </w:r>
                </w:p>
              </w:tc>
              <w:tc>
                <w:tcPr>
                  <w:tcW w:w="372" w:type="pct"/>
                  <w:tcBorders>
                    <w:tl2br w:val="nil"/>
                    <w:tr2bl w:val="nil"/>
                  </w:tcBorders>
                  <w:vAlign w:val="center"/>
                </w:tcPr>
                <w:p w14:paraId="624183C4">
                  <w:pPr>
                    <w:pStyle w:val="154"/>
                    <w:adjustRightInd w:val="0"/>
                    <w:snapToGrid w:val="0"/>
                    <w:rPr>
                      <w:szCs w:val="21"/>
                    </w:rPr>
                  </w:pPr>
                  <w:r>
                    <w:rPr>
                      <w:szCs w:val="21"/>
                    </w:rPr>
                    <w:t>68</w:t>
                  </w:r>
                </w:p>
              </w:tc>
              <w:tc>
                <w:tcPr>
                  <w:tcW w:w="372" w:type="pct"/>
                  <w:tcBorders>
                    <w:tl2br w:val="nil"/>
                    <w:tr2bl w:val="nil"/>
                  </w:tcBorders>
                  <w:vAlign w:val="center"/>
                </w:tcPr>
                <w:p w14:paraId="37485A0B">
                  <w:pPr>
                    <w:pStyle w:val="154"/>
                    <w:adjustRightInd w:val="0"/>
                    <w:snapToGrid w:val="0"/>
                    <w:rPr>
                      <w:szCs w:val="21"/>
                    </w:rPr>
                  </w:pPr>
                  <w:r>
                    <w:rPr>
                      <w:szCs w:val="21"/>
                    </w:rPr>
                    <w:t>66</w:t>
                  </w:r>
                </w:p>
              </w:tc>
              <w:tc>
                <w:tcPr>
                  <w:tcW w:w="372" w:type="pct"/>
                  <w:tcBorders>
                    <w:tl2br w:val="nil"/>
                    <w:tr2bl w:val="nil"/>
                  </w:tcBorders>
                  <w:vAlign w:val="center"/>
                </w:tcPr>
                <w:p w14:paraId="0E0867CC">
                  <w:pPr>
                    <w:pStyle w:val="154"/>
                    <w:adjustRightInd w:val="0"/>
                    <w:snapToGrid w:val="0"/>
                    <w:rPr>
                      <w:szCs w:val="21"/>
                    </w:rPr>
                  </w:pPr>
                  <w:r>
                    <w:rPr>
                      <w:szCs w:val="21"/>
                    </w:rPr>
                    <w:t>62</w:t>
                  </w:r>
                </w:p>
              </w:tc>
              <w:tc>
                <w:tcPr>
                  <w:tcW w:w="391" w:type="pct"/>
                  <w:tcBorders>
                    <w:tl2br w:val="nil"/>
                    <w:tr2bl w:val="nil"/>
                  </w:tcBorders>
                  <w:vAlign w:val="center"/>
                </w:tcPr>
                <w:p w14:paraId="5ED8F5BE">
                  <w:pPr>
                    <w:pStyle w:val="154"/>
                    <w:adjustRightInd w:val="0"/>
                    <w:snapToGrid w:val="0"/>
                    <w:rPr>
                      <w:szCs w:val="21"/>
                    </w:rPr>
                  </w:pPr>
                  <w:r>
                    <w:rPr>
                      <w:szCs w:val="21"/>
                    </w:rPr>
                    <w:t>58</w:t>
                  </w:r>
                </w:p>
              </w:tc>
            </w:tr>
            <w:tr w14:paraId="6D8482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1257" w:type="pct"/>
                  <w:gridSpan w:val="2"/>
                  <w:tcBorders>
                    <w:tl2br w:val="nil"/>
                    <w:tr2bl w:val="nil"/>
                  </w:tcBorders>
                </w:tcPr>
                <w:p w14:paraId="75E97670">
                  <w:pPr>
                    <w:pStyle w:val="76"/>
                    <w:snapToGrid w:val="0"/>
                    <w:ind w:left="109"/>
                    <w:jc w:val="center"/>
                    <w:rPr>
                      <w:b/>
                      <w:sz w:val="21"/>
                      <w:szCs w:val="21"/>
                    </w:rPr>
                  </w:pPr>
                  <w:r>
                    <w:rPr>
                      <w:sz w:val="21"/>
                      <w:szCs w:val="21"/>
                    </w:rPr>
                    <w:t>各施工设备噪声源等效声级的叠加影响</w:t>
                  </w:r>
                </w:p>
              </w:tc>
              <w:tc>
                <w:tcPr>
                  <w:tcW w:w="372" w:type="pct"/>
                  <w:tcBorders>
                    <w:tl2br w:val="nil"/>
                    <w:tr2bl w:val="nil"/>
                  </w:tcBorders>
                  <w:vAlign w:val="center"/>
                </w:tcPr>
                <w:p w14:paraId="7B248A89">
                  <w:pPr>
                    <w:pStyle w:val="76"/>
                    <w:snapToGrid w:val="0"/>
                    <w:jc w:val="center"/>
                    <w:rPr>
                      <w:sz w:val="21"/>
                      <w:szCs w:val="21"/>
                    </w:rPr>
                  </w:pPr>
                  <w:r>
                    <w:rPr>
                      <w:sz w:val="21"/>
                      <w:szCs w:val="21"/>
                    </w:rPr>
                    <w:t>97.7</w:t>
                  </w:r>
                </w:p>
              </w:tc>
              <w:tc>
                <w:tcPr>
                  <w:tcW w:w="372" w:type="pct"/>
                  <w:tcBorders>
                    <w:tl2br w:val="nil"/>
                    <w:tr2bl w:val="nil"/>
                  </w:tcBorders>
                  <w:vAlign w:val="center"/>
                </w:tcPr>
                <w:p w14:paraId="37C43902">
                  <w:pPr>
                    <w:pStyle w:val="76"/>
                    <w:snapToGrid w:val="0"/>
                    <w:ind w:left="5"/>
                    <w:jc w:val="center"/>
                    <w:rPr>
                      <w:sz w:val="21"/>
                      <w:szCs w:val="21"/>
                    </w:rPr>
                  </w:pPr>
                  <w:r>
                    <w:rPr>
                      <w:sz w:val="21"/>
                      <w:szCs w:val="21"/>
                    </w:rPr>
                    <w:t>91.7</w:t>
                  </w:r>
                </w:p>
              </w:tc>
              <w:tc>
                <w:tcPr>
                  <w:tcW w:w="372" w:type="pct"/>
                  <w:tcBorders>
                    <w:tl2br w:val="nil"/>
                    <w:tr2bl w:val="nil"/>
                  </w:tcBorders>
                  <w:vAlign w:val="center"/>
                </w:tcPr>
                <w:p w14:paraId="16168B1C">
                  <w:pPr>
                    <w:pStyle w:val="76"/>
                    <w:snapToGrid w:val="0"/>
                    <w:ind w:left="4"/>
                    <w:jc w:val="center"/>
                    <w:rPr>
                      <w:sz w:val="21"/>
                      <w:szCs w:val="21"/>
                    </w:rPr>
                  </w:pPr>
                  <w:r>
                    <w:rPr>
                      <w:sz w:val="21"/>
                      <w:szCs w:val="21"/>
                    </w:rPr>
                    <w:t>88.0</w:t>
                  </w:r>
                </w:p>
              </w:tc>
              <w:tc>
                <w:tcPr>
                  <w:tcW w:w="372" w:type="pct"/>
                  <w:tcBorders>
                    <w:tl2br w:val="nil"/>
                    <w:tr2bl w:val="nil"/>
                  </w:tcBorders>
                  <w:vAlign w:val="center"/>
                </w:tcPr>
                <w:p w14:paraId="24A1FB9B">
                  <w:pPr>
                    <w:pStyle w:val="76"/>
                    <w:snapToGrid w:val="0"/>
                    <w:ind w:right="3"/>
                    <w:jc w:val="center"/>
                    <w:rPr>
                      <w:sz w:val="21"/>
                      <w:szCs w:val="21"/>
                    </w:rPr>
                  </w:pPr>
                  <w:r>
                    <w:rPr>
                      <w:sz w:val="21"/>
                      <w:szCs w:val="21"/>
                    </w:rPr>
                    <w:t>85.7</w:t>
                  </w:r>
                </w:p>
              </w:tc>
              <w:tc>
                <w:tcPr>
                  <w:tcW w:w="372" w:type="pct"/>
                  <w:tcBorders>
                    <w:tl2br w:val="nil"/>
                    <w:tr2bl w:val="nil"/>
                  </w:tcBorders>
                  <w:vAlign w:val="center"/>
                </w:tcPr>
                <w:p w14:paraId="319AA942">
                  <w:pPr>
                    <w:pStyle w:val="154"/>
                    <w:adjustRightInd w:val="0"/>
                    <w:snapToGrid w:val="0"/>
                    <w:rPr>
                      <w:szCs w:val="21"/>
                    </w:rPr>
                  </w:pPr>
                  <w:r>
                    <w:rPr>
                      <w:szCs w:val="21"/>
                    </w:rPr>
                    <w:t>79.7</w:t>
                  </w:r>
                </w:p>
              </w:tc>
              <w:tc>
                <w:tcPr>
                  <w:tcW w:w="372" w:type="pct"/>
                  <w:tcBorders>
                    <w:tl2br w:val="nil"/>
                    <w:tr2bl w:val="nil"/>
                  </w:tcBorders>
                  <w:vAlign w:val="center"/>
                </w:tcPr>
                <w:p w14:paraId="0C52E468">
                  <w:pPr>
                    <w:pStyle w:val="154"/>
                    <w:adjustRightInd w:val="0"/>
                    <w:snapToGrid w:val="0"/>
                    <w:rPr>
                      <w:szCs w:val="21"/>
                    </w:rPr>
                  </w:pPr>
                  <w:r>
                    <w:rPr>
                      <w:szCs w:val="21"/>
                    </w:rPr>
                    <w:t>75.7</w:t>
                  </w:r>
                </w:p>
              </w:tc>
              <w:tc>
                <w:tcPr>
                  <w:tcW w:w="372" w:type="pct"/>
                  <w:tcBorders>
                    <w:tl2br w:val="nil"/>
                    <w:tr2bl w:val="nil"/>
                  </w:tcBorders>
                  <w:vAlign w:val="center"/>
                </w:tcPr>
                <w:p w14:paraId="706E547C">
                  <w:pPr>
                    <w:pStyle w:val="154"/>
                    <w:adjustRightInd w:val="0"/>
                    <w:snapToGrid w:val="0"/>
                    <w:rPr>
                      <w:szCs w:val="21"/>
                    </w:rPr>
                  </w:pPr>
                  <w:r>
                    <w:rPr>
                      <w:szCs w:val="21"/>
                    </w:rPr>
                    <w:t>73.7</w:t>
                  </w:r>
                </w:p>
              </w:tc>
              <w:tc>
                <w:tcPr>
                  <w:tcW w:w="372" w:type="pct"/>
                  <w:tcBorders>
                    <w:tl2br w:val="nil"/>
                    <w:tr2bl w:val="nil"/>
                  </w:tcBorders>
                  <w:vAlign w:val="center"/>
                </w:tcPr>
                <w:p w14:paraId="08A8F004">
                  <w:pPr>
                    <w:pStyle w:val="154"/>
                    <w:adjustRightInd w:val="0"/>
                    <w:snapToGrid w:val="0"/>
                    <w:rPr>
                      <w:szCs w:val="21"/>
                    </w:rPr>
                  </w:pPr>
                  <w:r>
                    <w:rPr>
                      <w:szCs w:val="21"/>
                    </w:rPr>
                    <w:t>71.7</w:t>
                  </w:r>
                </w:p>
              </w:tc>
              <w:tc>
                <w:tcPr>
                  <w:tcW w:w="372" w:type="pct"/>
                  <w:tcBorders>
                    <w:tl2br w:val="nil"/>
                    <w:tr2bl w:val="nil"/>
                  </w:tcBorders>
                  <w:vAlign w:val="center"/>
                </w:tcPr>
                <w:p w14:paraId="2609CA46">
                  <w:pPr>
                    <w:pStyle w:val="154"/>
                    <w:adjustRightInd w:val="0"/>
                    <w:snapToGrid w:val="0"/>
                    <w:rPr>
                      <w:szCs w:val="21"/>
                    </w:rPr>
                  </w:pPr>
                  <w:r>
                    <w:rPr>
                      <w:szCs w:val="21"/>
                    </w:rPr>
                    <w:t>67.7</w:t>
                  </w:r>
                </w:p>
              </w:tc>
              <w:tc>
                <w:tcPr>
                  <w:tcW w:w="391" w:type="pct"/>
                  <w:tcBorders>
                    <w:tl2br w:val="nil"/>
                    <w:tr2bl w:val="nil"/>
                  </w:tcBorders>
                  <w:vAlign w:val="center"/>
                </w:tcPr>
                <w:p w14:paraId="4E12AB36">
                  <w:pPr>
                    <w:pStyle w:val="154"/>
                    <w:adjustRightInd w:val="0"/>
                    <w:snapToGrid w:val="0"/>
                    <w:rPr>
                      <w:szCs w:val="21"/>
                    </w:rPr>
                  </w:pPr>
                  <w:r>
                    <w:rPr>
                      <w:szCs w:val="21"/>
                    </w:rPr>
                    <w:t>63.7</w:t>
                  </w:r>
                </w:p>
              </w:tc>
            </w:tr>
          </w:tbl>
          <w:p w14:paraId="496FA47E">
            <w:pPr>
              <w:adjustRightInd w:val="0"/>
              <w:snapToGrid w:val="0"/>
              <w:spacing w:line="360" w:lineRule="auto"/>
              <w:ind w:firstLine="472" w:firstLineChars="200"/>
              <w:rPr>
                <w:sz w:val="24"/>
              </w:rPr>
            </w:pPr>
            <w:r>
              <w:rPr>
                <w:spacing w:val="-2"/>
                <w:sz w:val="24"/>
              </w:rPr>
              <w:t>由上表可知，在不采取任何措施的情况下，施工期间施工场界处的主要噪声源等效声级</w:t>
            </w:r>
            <w:r>
              <w:rPr>
                <w:sz w:val="24"/>
              </w:rPr>
              <w:t>叠加值将会超过《建筑施工场界环境噪声排放标准》（GB12523-2011）的限值要求（昼间70dB(A)，夜间55dB(A)），特别是夜间操作，对周围环境影响较大。施工期施工单位应在施工场界四周设置不低于2.5m高的围挡，一般2.5m高围墙噪声的隔声值为15~20dB(A)（本环评预测围墙隔声量取20dB(A)）。因此本项目施工期间在</w:t>
            </w:r>
            <w:r>
              <w:rPr>
                <w:spacing w:val="-3"/>
                <w:sz w:val="24"/>
              </w:rPr>
              <w:t>采取围挡措施后，本工程各施工设备对</w:t>
            </w:r>
            <w:r>
              <w:rPr>
                <w:sz w:val="24"/>
              </w:rPr>
              <w:t>周围声环境的影响程度见下表。</w:t>
            </w:r>
          </w:p>
          <w:p w14:paraId="53F5D049">
            <w:pPr>
              <w:pStyle w:val="154"/>
              <w:rPr>
                <w:b/>
                <w:bCs w:val="0"/>
                <w:sz w:val="24"/>
              </w:rPr>
            </w:pPr>
            <w:r>
              <w:rPr>
                <w:b/>
                <w:bCs w:val="0"/>
                <w:sz w:val="24"/>
              </w:rPr>
              <w:t>表4-3  施工区设置围挡后施工场界噪声贡献值预测表 单位：dB（A）</w:t>
            </w:r>
          </w:p>
          <w:tbl>
            <w:tblPr>
              <w:tblStyle w:val="29"/>
              <w:tblW w:w="4995"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787"/>
              <w:gridCol w:w="671"/>
              <w:gridCol w:w="677"/>
              <w:gridCol w:w="665"/>
              <w:gridCol w:w="672"/>
              <w:gridCol w:w="672"/>
              <w:gridCol w:w="672"/>
              <w:gridCol w:w="776"/>
              <w:gridCol w:w="776"/>
              <w:gridCol w:w="783"/>
            </w:tblGrid>
            <w:tr w14:paraId="083887D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34" w:type="pct"/>
                  <w:tcBorders>
                    <w:tl2br w:val="nil"/>
                    <w:tr2bl w:val="nil"/>
                  </w:tcBorders>
                  <w:vAlign w:val="center"/>
                </w:tcPr>
                <w:p w14:paraId="1463095D">
                  <w:pPr>
                    <w:pStyle w:val="154"/>
                    <w:spacing w:line="240" w:lineRule="exact"/>
                    <w:rPr>
                      <w:b/>
                      <w:bCs w:val="0"/>
                      <w:szCs w:val="21"/>
                    </w:rPr>
                  </w:pPr>
                  <w:r>
                    <w:rPr>
                      <w:b/>
                      <w:bCs w:val="0"/>
                      <w:szCs w:val="21"/>
                    </w:rPr>
                    <w:t>与施工场界的距离</w:t>
                  </w:r>
                </w:p>
              </w:tc>
              <w:tc>
                <w:tcPr>
                  <w:tcW w:w="448" w:type="pct"/>
                  <w:tcBorders>
                    <w:tl2br w:val="nil"/>
                    <w:tr2bl w:val="nil"/>
                  </w:tcBorders>
                  <w:vAlign w:val="center"/>
                </w:tcPr>
                <w:p w14:paraId="73F25062">
                  <w:pPr>
                    <w:pStyle w:val="76"/>
                    <w:jc w:val="center"/>
                    <w:rPr>
                      <w:rFonts w:eastAsia="Times New Roman"/>
                      <w:bCs/>
                      <w:sz w:val="21"/>
                      <w:szCs w:val="21"/>
                    </w:rPr>
                  </w:pPr>
                  <w:r>
                    <w:rPr>
                      <w:bCs/>
                      <w:spacing w:val="3"/>
                      <w:sz w:val="21"/>
                      <w:szCs w:val="21"/>
                    </w:rPr>
                    <w:t>5m</w:t>
                  </w:r>
                </w:p>
              </w:tc>
              <w:tc>
                <w:tcPr>
                  <w:tcW w:w="382" w:type="pct"/>
                  <w:tcBorders>
                    <w:tl2br w:val="nil"/>
                    <w:tr2bl w:val="nil"/>
                  </w:tcBorders>
                  <w:vAlign w:val="center"/>
                </w:tcPr>
                <w:p w14:paraId="78AAFFDB">
                  <w:pPr>
                    <w:pStyle w:val="76"/>
                    <w:ind w:left="10"/>
                    <w:jc w:val="center"/>
                    <w:rPr>
                      <w:rFonts w:eastAsia="Times New Roman"/>
                      <w:bCs/>
                      <w:sz w:val="21"/>
                      <w:szCs w:val="21"/>
                    </w:rPr>
                  </w:pPr>
                  <w:r>
                    <w:rPr>
                      <w:bCs/>
                      <w:sz w:val="21"/>
                      <w:szCs w:val="21"/>
                    </w:rPr>
                    <w:t>10m</w:t>
                  </w:r>
                </w:p>
              </w:tc>
              <w:tc>
                <w:tcPr>
                  <w:tcW w:w="385" w:type="pct"/>
                  <w:tcBorders>
                    <w:tl2br w:val="nil"/>
                    <w:tr2bl w:val="nil"/>
                  </w:tcBorders>
                  <w:vAlign w:val="center"/>
                </w:tcPr>
                <w:p w14:paraId="72C1EA45">
                  <w:pPr>
                    <w:pStyle w:val="76"/>
                    <w:ind w:left="15"/>
                    <w:jc w:val="center"/>
                    <w:rPr>
                      <w:rFonts w:eastAsia="Times New Roman"/>
                      <w:bCs/>
                      <w:sz w:val="21"/>
                      <w:szCs w:val="21"/>
                    </w:rPr>
                  </w:pPr>
                  <w:r>
                    <w:rPr>
                      <w:bCs/>
                      <w:sz w:val="21"/>
                      <w:szCs w:val="21"/>
                    </w:rPr>
                    <w:t>15m</w:t>
                  </w:r>
                </w:p>
              </w:tc>
              <w:tc>
                <w:tcPr>
                  <w:tcW w:w="378" w:type="pct"/>
                  <w:tcBorders>
                    <w:tl2br w:val="nil"/>
                    <w:tr2bl w:val="nil"/>
                  </w:tcBorders>
                  <w:vAlign w:val="center"/>
                </w:tcPr>
                <w:p w14:paraId="75C6CF2E">
                  <w:pPr>
                    <w:pStyle w:val="76"/>
                    <w:ind w:left="5"/>
                    <w:jc w:val="center"/>
                    <w:rPr>
                      <w:rFonts w:eastAsia="Times New Roman"/>
                      <w:bCs/>
                      <w:sz w:val="21"/>
                      <w:szCs w:val="21"/>
                    </w:rPr>
                  </w:pPr>
                  <w:r>
                    <w:rPr>
                      <w:bCs/>
                      <w:sz w:val="21"/>
                      <w:szCs w:val="21"/>
                    </w:rPr>
                    <w:t>20m</w:t>
                  </w:r>
                </w:p>
              </w:tc>
              <w:tc>
                <w:tcPr>
                  <w:tcW w:w="382" w:type="pct"/>
                  <w:tcBorders>
                    <w:tl2br w:val="nil"/>
                    <w:tr2bl w:val="nil"/>
                  </w:tcBorders>
                  <w:vAlign w:val="center"/>
                </w:tcPr>
                <w:p w14:paraId="0C556D8F">
                  <w:pPr>
                    <w:pStyle w:val="76"/>
                    <w:ind w:left="10"/>
                    <w:jc w:val="center"/>
                    <w:rPr>
                      <w:rFonts w:eastAsia="Times New Roman"/>
                      <w:bCs/>
                      <w:sz w:val="21"/>
                      <w:szCs w:val="21"/>
                    </w:rPr>
                  </w:pPr>
                  <w:r>
                    <w:rPr>
                      <w:bCs/>
                      <w:sz w:val="21"/>
                      <w:szCs w:val="21"/>
                    </w:rPr>
                    <w:t>4</w:t>
                  </w:r>
                  <w:r>
                    <w:rPr>
                      <w:rFonts w:eastAsia="Times New Roman"/>
                      <w:bCs/>
                      <w:sz w:val="21"/>
                      <w:szCs w:val="21"/>
                    </w:rPr>
                    <w:t>0m</w:t>
                  </w:r>
                </w:p>
              </w:tc>
              <w:tc>
                <w:tcPr>
                  <w:tcW w:w="382" w:type="pct"/>
                  <w:tcBorders>
                    <w:tl2br w:val="nil"/>
                    <w:tr2bl w:val="nil"/>
                  </w:tcBorders>
                  <w:vAlign w:val="center"/>
                </w:tcPr>
                <w:p w14:paraId="6483F2C7">
                  <w:pPr>
                    <w:pStyle w:val="76"/>
                    <w:ind w:left="10"/>
                    <w:jc w:val="center"/>
                    <w:rPr>
                      <w:rFonts w:eastAsia="Times New Roman"/>
                      <w:bCs/>
                      <w:sz w:val="21"/>
                      <w:szCs w:val="21"/>
                    </w:rPr>
                  </w:pPr>
                  <w:r>
                    <w:rPr>
                      <w:bCs/>
                      <w:sz w:val="21"/>
                      <w:szCs w:val="21"/>
                    </w:rPr>
                    <w:t>60m</w:t>
                  </w:r>
                </w:p>
              </w:tc>
              <w:tc>
                <w:tcPr>
                  <w:tcW w:w="382" w:type="pct"/>
                  <w:tcBorders>
                    <w:tl2br w:val="nil"/>
                    <w:tr2bl w:val="nil"/>
                  </w:tcBorders>
                  <w:vAlign w:val="center"/>
                </w:tcPr>
                <w:p w14:paraId="0229E7B3">
                  <w:pPr>
                    <w:pStyle w:val="76"/>
                    <w:ind w:left="10"/>
                    <w:jc w:val="center"/>
                    <w:rPr>
                      <w:rFonts w:eastAsia="Times New Roman"/>
                      <w:bCs/>
                      <w:sz w:val="21"/>
                      <w:szCs w:val="21"/>
                    </w:rPr>
                  </w:pPr>
                  <w:r>
                    <w:rPr>
                      <w:bCs/>
                      <w:sz w:val="21"/>
                      <w:szCs w:val="21"/>
                    </w:rPr>
                    <w:t>80m</w:t>
                  </w:r>
                </w:p>
              </w:tc>
              <w:tc>
                <w:tcPr>
                  <w:tcW w:w="441" w:type="pct"/>
                  <w:tcBorders>
                    <w:tl2br w:val="nil"/>
                    <w:tr2bl w:val="nil"/>
                  </w:tcBorders>
                  <w:vAlign w:val="center"/>
                </w:tcPr>
                <w:p w14:paraId="624543E5">
                  <w:pPr>
                    <w:pStyle w:val="76"/>
                    <w:ind w:right="1"/>
                    <w:jc w:val="center"/>
                    <w:rPr>
                      <w:bCs/>
                      <w:sz w:val="21"/>
                      <w:szCs w:val="21"/>
                    </w:rPr>
                  </w:pPr>
                  <w:r>
                    <w:rPr>
                      <w:bCs/>
                      <w:sz w:val="21"/>
                      <w:szCs w:val="21"/>
                    </w:rPr>
                    <w:t>100m</w:t>
                  </w:r>
                </w:p>
              </w:tc>
              <w:tc>
                <w:tcPr>
                  <w:tcW w:w="441" w:type="pct"/>
                  <w:tcBorders>
                    <w:tl2br w:val="nil"/>
                    <w:tr2bl w:val="nil"/>
                  </w:tcBorders>
                  <w:vAlign w:val="center"/>
                </w:tcPr>
                <w:p w14:paraId="22635F08">
                  <w:pPr>
                    <w:pStyle w:val="76"/>
                    <w:ind w:right="1"/>
                    <w:jc w:val="center"/>
                    <w:rPr>
                      <w:bCs/>
                      <w:sz w:val="21"/>
                      <w:szCs w:val="21"/>
                    </w:rPr>
                  </w:pPr>
                  <w:r>
                    <w:rPr>
                      <w:bCs/>
                      <w:sz w:val="21"/>
                      <w:szCs w:val="21"/>
                    </w:rPr>
                    <w:t>150m</w:t>
                  </w:r>
                </w:p>
              </w:tc>
              <w:tc>
                <w:tcPr>
                  <w:tcW w:w="445" w:type="pct"/>
                  <w:tcBorders>
                    <w:tl2br w:val="nil"/>
                    <w:tr2bl w:val="nil"/>
                  </w:tcBorders>
                  <w:vAlign w:val="center"/>
                </w:tcPr>
                <w:p w14:paraId="0B826783">
                  <w:pPr>
                    <w:pStyle w:val="154"/>
                    <w:rPr>
                      <w:szCs w:val="21"/>
                    </w:rPr>
                  </w:pPr>
                  <w:r>
                    <w:rPr>
                      <w:szCs w:val="21"/>
                    </w:rPr>
                    <w:t>250m</w:t>
                  </w:r>
                </w:p>
              </w:tc>
            </w:tr>
            <w:tr w14:paraId="6EAF04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34" w:type="pct"/>
                  <w:tcBorders>
                    <w:tl2br w:val="nil"/>
                    <w:tr2bl w:val="nil"/>
                  </w:tcBorders>
                  <w:vAlign w:val="center"/>
                </w:tcPr>
                <w:p w14:paraId="3441B3A4">
                  <w:pPr>
                    <w:pStyle w:val="154"/>
                    <w:spacing w:line="240" w:lineRule="exact"/>
                    <w:rPr>
                      <w:b/>
                      <w:bCs w:val="0"/>
                      <w:szCs w:val="21"/>
                    </w:rPr>
                  </w:pPr>
                  <w:r>
                    <w:rPr>
                      <w:b/>
                      <w:bCs w:val="0"/>
                      <w:szCs w:val="21"/>
                    </w:rPr>
                    <w:t>无围墙噪声贡献值</w:t>
                  </w:r>
                </w:p>
              </w:tc>
              <w:tc>
                <w:tcPr>
                  <w:tcW w:w="448" w:type="pct"/>
                  <w:tcBorders>
                    <w:tl2br w:val="nil"/>
                    <w:tr2bl w:val="nil"/>
                  </w:tcBorders>
                  <w:vAlign w:val="center"/>
                </w:tcPr>
                <w:p w14:paraId="73E00F61">
                  <w:pPr>
                    <w:pStyle w:val="76"/>
                    <w:jc w:val="center"/>
                    <w:rPr>
                      <w:bCs/>
                      <w:spacing w:val="3"/>
                      <w:sz w:val="21"/>
                      <w:szCs w:val="21"/>
                    </w:rPr>
                  </w:pPr>
                  <w:r>
                    <w:rPr>
                      <w:sz w:val="21"/>
                      <w:szCs w:val="21"/>
                    </w:rPr>
                    <w:t>97.7</w:t>
                  </w:r>
                </w:p>
              </w:tc>
              <w:tc>
                <w:tcPr>
                  <w:tcW w:w="382" w:type="pct"/>
                  <w:tcBorders>
                    <w:tl2br w:val="nil"/>
                    <w:tr2bl w:val="nil"/>
                  </w:tcBorders>
                  <w:vAlign w:val="center"/>
                </w:tcPr>
                <w:p w14:paraId="37272D43">
                  <w:pPr>
                    <w:pStyle w:val="76"/>
                    <w:ind w:left="5"/>
                    <w:jc w:val="center"/>
                    <w:rPr>
                      <w:bCs/>
                      <w:sz w:val="21"/>
                      <w:szCs w:val="21"/>
                    </w:rPr>
                  </w:pPr>
                  <w:r>
                    <w:rPr>
                      <w:sz w:val="21"/>
                      <w:szCs w:val="21"/>
                    </w:rPr>
                    <w:t>91.7</w:t>
                  </w:r>
                </w:p>
              </w:tc>
              <w:tc>
                <w:tcPr>
                  <w:tcW w:w="385" w:type="pct"/>
                  <w:tcBorders>
                    <w:tl2br w:val="nil"/>
                    <w:tr2bl w:val="nil"/>
                  </w:tcBorders>
                  <w:vAlign w:val="center"/>
                </w:tcPr>
                <w:p w14:paraId="2F14194D">
                  <w:pPr>
                    <w:pStyle w:val="76"/>
                    <w:ind w:left="4"/>
                    <w:jc w:val="center"/>
                    <w:rPr>
                      <w:bCs/>
                      <w:sz w:val="21"/>
                      <w:szCs w:val="21"/>
                    </w:rPr>
                  </w:pPr>
                  <w:r>
                    <w:rPr>
                      <w:sz w:val="21"/>
                      <w:szCs w:val="21"/>
                    </w:rPr>
                    <w:t>88.0</w:t>
                  </w:r>
                </w:p>
              </w:tc>
              <w:tc>
                <w:tcPr>
                  <w:tcW w:w="378" w:type="pct"/>
                  <w:tcBorders>
                    <w:tl2br w:val="nil"/>
                    <w:tr2bl w:val="nil"/>
                  </w:tcBorders>
                  <w:vAlign w:val="center"/>
                </w:tcPr>
                <w:p w14:paraId="044B2FA4">
                  <w:pPr>
                    <w:pStyle w:val="76"/>
                    <w:ind w:right="3"/>
                    <w:jc w:val="center"/>
                    <w:rPr>
                      <w:bCs/>
                      <w:sz w:val="21"/>
                      <w:szCs w:val="21"/>
                    </w:rPr>
                  </w:pPr>
                  <w:r>
                    <w:rPr>
                      <w:sz w:val="21"/>
                      <w:szCs w:val="21"/>
                    </w:rPr>
                    <w:t>85.7</w:t>
                  </w:r>
                </w:p>
              </w:tc>
              <w:tc>
                <w:tcPr>
                  <w:tcW w:w="382" w:type="pct"/>
                  <w:tcBorders>
                    <w:tl2br w:val="nil"/>
                    <w:tr2bl w:val="nil"/>
                  </w:tcBorders>
                  <w:vAlign w:val="center"/>
                </w:tcPr>
                <w:p w14:paraId="6A1FF847">
                  <w:pPr>
                    <w:pStyle w:val="154"/>
                    <w:rPr>
                      <w:szCs w:val="21"/>
                    </w:rPr>
                  </w:pPr>
                  <w:r>
                    <w:rPr>
                      <w:szCs w:val="21"/>
                    </w:rPr>
                    <w:t>79.7</w:t>
                  </w:r>
                </w:p>
              </w:tc>
              <w:tc>
                <w:tcPr>
                  <w:tcW w:w="382" w:type="pct"/>
                  <w:tcBorders>
                    <w:tl2br w:val="nil"/>
                    <w:tr2bl w:val="nil"/>
                  </w:tcBorders>
                  <w:vAlign w:val="center"/>
                </w:tcPr>
                <w:p w14:paraId="5C18A04F">
                  <w:pPr>
                    <w:pStyle w:val="154"/>
                    <w:rPr>
                      <w:szCs w:val="21"/>
                    </w:rPr>
                  </w:pPr>
                  <w:r>
                    <w:rPr>
                      <w:szCs w:val="21"/>
                    </w:rPr>
                    <w:t>75.7</w:t>
                  </w:r>
                </w:p>
              </w:tc>
              <w:tc>
                <w:tcPr>
                  <w:tcW w:w="382" w:type="pct"/>
                  <w:tcBorders>
                    <w:tl2br w:val="nil"/>
                    <w:tr2bl w:val="nil"/>
                  </w:tcBorders>
                  <w:vAlign w:val="center"/>
                </w:tcPr>
                <w:p w14:paraId="4B7594DD">
                  <w:pPr>
                    <w:pStyle w:val="154"/>
                    <w:rPr>
                      <w:szCs w:val="21"/>
                    </w:rPr>
                  </w:pPr>
                  <w:r>
                    <w:rPr>
                      <w:szCs w:val="21"/>
                    </w:rPr>
                    <w:t>73.7</w:t>
                  </w:r>
                </w:p>
              </w:tc>
              <w:tc>
                <w:tcPr>
                  <w:tcW w:w="441" w:type="pct"/>
                  <w:tcBorders>
                    <w:tl2br w:val="nil"/>
                    <w:tr2bl w:val="nil"/>
                  </w:tcBorders>
                  <w:vAlign w:val="center"/>
                </w:tcPr>
                <w:p w14:paraId="19C9D6CE">
                  <w:pPr>
                    <w:pStyle w:val="154"/>
                    <w:rPr>
                      <w:szCs w:val="21"/>
                    </w:rPr>
                  </w:pPr>
                  <w:r>
                    <w:rPr>
                      <w:szCs w:val="21"/>
                    </w:rPr>
                    <w:t>71.7</w:t>
                  </w:r>
                </w:p>
              </w:tc>
              <w:tc>
                <w:tcPr>
                  <w:tcW w:w="441" w:type="pct"/>
                  <w:tcBorders>
                    <w:tl2br w:val="nil"/>
                    <w:tr2bl w:val="nil"/>
                  </w:tcBorders>
                  <w:vAlign w:val="center"/>
                </w:tcPr>
                <w:p w14:paraId="4C7118A9">
                  <w:pPr>
                    <w:pStyle w:val="154"/>
                    <w:rPr>
                      <w:szCs w:val="21"/>
                    </w:rPr>
                  </w:pPr>
                  <w:r>
                    <w:rPr>
                      <w:szCs w:val="21"/>
                    </w:rPr>
                    <w:t>67.7</w:t>
                  </w:r>
                </w:p>
              </w:tc>
              <w:tc>
                <w:tcPr>
                  <w:tcW w:w="445" w:type="pct"/>
                  <w:tcBorders>
                    <w:tl2br w:val="nil"/>
                    <w:tr2bl w:val="nil"/>
                  </w:tcBorders>
                  <w:vAlign w:val="center"/>
                </w:tcPr>
                <w:p w14:paraId="20B3699F">
                  <w:pPr>
                    <w:pStyle w:val="154"/>
                    <w:rPr>
                      <w:szCs w:val="21"/>
                    </w:rPr>
                  </w:pPr>
                  <w:r>
                    <w:rPr>
                      <w:szCs w:val="21"/>
                    </w:rPr>
                    <w:t>63.7</w:t>
                  </w:r>
                </w:p>
              </w:tc>
            </w:tr>
            <w:tr w14:paraId="402E847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34" w:type="pct"/>
                  <w:tcBorders>
                    <w:tl2br w:val="nil"/>
                    <w:tr2bl w:val="nil"/>
                  </w:tcBorders>
                  <w:vAlign w:val="center"/>
                </w:tcPr>
                <w:p w14:paraId="7305BB3E">
                  <w:pPr>
                    <w:pStyle w:val="76"/>
                    <w:spacing w:line="240" w:lineRule="exact"/>
                    <w:ind w:right="2"/>
                    <w:jc w:val="center"/>
                    <w:rPr>
                      <w:b/>
                      <w:sz w:val="21"/>
                      <w:szCs w:val="21"/>
                    </w:rPr>
                  </w:pPr>
                  <w:r>
                    <w:rPr>
                      <w:b/>
                      <w:sz w:val="21"/>
                      <w:szCs w:val="21"/>
                    </w:rPr>
                    <w:t>有围墙噪声贡献值</w:t>
                  </w:r>
                </w:p>
              </w:tc>
              <w:tc>
                <w:tcPr>
                  <w:tcW w:w="448" w:type="pct"/>
                  <w:tcBorders>
                    <w:tl2br w:val="nil"/>
                    <w:tr2bl w:val="nil"/>
                  </w:tcBorders>
                  <w:vAlign w:val="center"/>
                </w:tcPr>
                <w:p w14:paraId="4BE30A21">
                  <w:pPr>
                    <w:jc w:val="center"/>
                    <w:rPr>
                      <w:szCs w:val="21"/>
                    </w:rPr>
                  </w:pPr>
                  <w:r>
                    <w:rPr>
                      <w:szCs w:val="21"/>
                    </w:rPr>
                    <w:t>77.7</w:t>
                  </w:r>
                </w:p>
              </w:tc>
              <w:tc>
                <w:tcPr>
                  <w:tcW w:w="382" w:type="pct"/>
                  <w:tcBorders>
                    <w:tl2br w:val="nil"/>
                    <w:tr2bl w:val="nil"/>
                  </w:tcBorders>
                  <w:vAlign w:val="center"/>
                </w:tcPr>
                <w:p w14:paraId="64A4A7CF">
                  <w:pPr>
                    <w:jc w:val="center"/>
                    <w:rPr>
                      <w:szCs w:val="21"/>
                    </w:rPr>
                  </w:pPr>
                  <w:r>
                    <w:rPr>
                      <w:szCs w:val="21"/>
                    </w:rPr>
                    <w:t>71.7</w:t>
                  </w:r>
                </w:p>
              </w:tc>
              <w:tc>
                <w:tcPr>
                  <w:tcW w:w="385" w:type="pct"/>
                  <w:tcBorders>
                    <w:tl2br w:val="nil"/>
                    <w:tr2bl w:val="nil"/>
                  </w:tcBorders>
                  <w:vAlign w:val="center"/>
                </w:tcPr>
                <w:p w14:paraId="48B4BD5A">
                  <w:pPr>
                    <w:jc w:val="center"/>
                    <w:rPr>
                      <w:szCs w:val="21"/>
                    </w:rPr>
                  </w:pPr>
                  <w:r>
                    <w:rPr>
                      <w:szCs w:val="21"/>
                    </w:rPr>
                    <w:t>68</w:t>
                  </w:r>
                </w:p>
              </w:tc>
              <w:tc>
                <w:tcPr>
                  <w:tcW w:w="378" w:type="pct"/>
                  <w:tcBorders>
                    <w:tl2br w:val="nil"/>
                    <w:tr2bl w:val="nil"/>
                  </w:tcBorders>
                  <w:vAlign w:val="center"/>
                </w:tcPr>
                <w:p w14:paraId="3044D5D6">
                  <w:pPr>
                    <w:jc w:val="center"/>
                    <w:rPr>
                      <w:szCs w:val="21"/>
                    </w:rPr>
                  </w:pPr>
                  <w:r>
                    <w:rPr>
                      <w:szCs w:val="21"/>
                    </w:rPr>
                    <w:t>63.7</w:t>
                  </w:r>
                </w:p>
              </w:tc>
              <w:tc>
                <w:tcPr>
                  <w:tcW w:w="382" w:type="pct"/>
                  <w:tcBorders>
                    <w:tl2br w:val="nil"/>
                    <w:tr2bl w:val="nil"/>
                  </w:tcBorders>
                  <w:vAlign w:val="center"/>
                </w:tcPr>
                <w:p w14:paraId="4B0E9DE1">
                  <w:pPr>
                    <w:jc w:val="center"/>
                    <w:rPr>
                      <w:szCs w:val="21"/>
                    </w:rPr>
                  </w:pPr>
                  <w:r>
                    <w:rPr>
                      <w:szCs w:val="21"/>
                    </w:rPr>
                    <w:t>59.7</w:t>
                  </w:r>
                </w:p>
              </w:tc>
              <w:tc>
                <w:tcPr>
                  <w:tcW w:w="382" w:type="pct"/>
                  <w:tcBorders>
                    <w:tl2br w:val="nil"/>
                    <w:tr2bl w:val="nil"/>
                  </w:tcBorders>
                  <w:vAlign w:val="center"/>
                </w:tcPr>
                <w:p w14:paraId="0F045A27">
                  <w:pPr>
                    <w:jc w:val="center"/>
                    <w:rPr>
                      <w:szCs w:val="21"/>
                    </w:rPr>
                  </w:pPr>
                  <w:r>
                    <w:rPr>
                      <w:szCs w:val="21"/>
                    </w:rPr>
                    <w:t>55.7</w:t>
                  </w:r>
                </w:p>
              </w:tc>
              <w:tc>
                <w:tcPr>
                  <w:tcW w:w="382" w:type="pct"/>
                  <w:tcBorders>
                    <w:tl2br w:val="nil"/>
                    <w:tr2bl w:val="nil"/>
                  </w:tcBorders>
                  <w:vAlign w:val="center"/>
                </w:tcPr>
                <w:p w14:paraId="55C2C9FD">
                  <w:pPr>
                    <w:jc w:val="center"/>
                    <w:rPr>
                      <w:szCs w:val="21"/>
                    </w:rPr>
                  </w:pPr>
                  <w:r>
                    <w:rPr>
                      <w:szCs w:val="21"/>
                    </w:rPr>
                    <w:t>53.7</w:t>
                  </w:r>
                </w:p>
              </w:tc>
              <w:tc>
                <w:tcPr>
                  <w:tcW w:w="441" w:type="pct"/>
                  <w:tcBorders>
                    <w:tl2br w:val="nil"/>
                    <w:tr2bl w:val="nil"/>
                  </w:tcBorders>
                  <w:vAlign w:val="center"/>
                </w:tcPr>
                <w:p w14:paraId="50EFD315">
                  <w:pPr>
                    <w:jc w:val="center"/>
                    <w:rPr>
                      <w:szCs w:val="21"/>
                    </w:rPr>
                  </w:pPr>
                  <w:r>
                    <w:rPr>
                      <w:szCs w:val="21"/>
                    </w:rPr>
                    <w:t>51.7</w:t>
                  </w:r>
                </w:p>
              </w:tc>
              <w:tc>
                <w:tcPr>
                  <w:tcW w:w="441" w:type="pct"/>
                  <w:tcBorders>
                    <w:tl2br w:val="nil"/>
                    <w:tr2bl w:val="nil"/>
                  </w:tcBorders>
                  <w:vAlign w:val="center"/>
                </w:tcPr>
                <w:p w14:paraId="0CAE65E6">
                  <w:pPr>
                    <w:jc w:val="center"/>
                    <w:rPr>
                      <w:szCs w:val="21"/>
                    </w:rPr>
                  </w:pPr>
                  <w:r>
                    <w:rPr>
                      <w:szCs w:val="21"/>
                    </w:rPr>
                    <w:t>47.7</w:t>
                  </w:r>
                </w:p>
              </w:tc>
              <w:tc>
                <w:tcPr>
                  <w:tcW w:w="445" w:type="pct"/>
                  <w:tcBorders>
                    <w:tl2br w:val="nil"/>
                    <w:tr2bl w:val="nil"/>
                  </w:tcBorders>
                  <w:vAlign w:val="center"/>
                </w:tcPr>
                <w:p w14:paraId="1C03232B">
                  <w:pPr>
                    <w:jc w:val="center"/>
                    <w:rPr>
                      <w:szCs w:val="21"/>
                    </w:rPr>
                  </w:pPr>
                  <w:r>
                    <w:rPr>
                      <w:szCs w:val="21"/>
                    </w:rPr>
                    <w:t>43.7</w:t>
                  </w:r>
                </w:p>
              </w:tc>
            </w:tr>
            <w:tr w14:paraId="2F49FF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34" w:type="pct"/>
                  <w:tcBorders>
                    <w:tl2br w:val="nil"/>
                    <w:tr2bl w:val="nil"/>
                  </w:tcBorders>
                  <w:vAlign w:val="center"/>
                </w:tcPr>
                <w:p w14:paraId="2E7F3D80">
                  <w:pPr>
                    <w:pStyle w:val="76"/>
                    <w:spacing w:line="240" w:lineRule="exact"/>
                    <w:ind w:right="2"/>
                    <w:jc w:val="center"/>
                    <w:rPr>
                      <w:b/>
                      <w:sz w:val="21"/>
                      <w:szCs w:val="21"/>
                    </w:rPr>
                  </w:pPr>
                  <w:r>
                    <w:rPr>
                      <w:b/>
                      <w:sz w:val="21"/>
                      <w:szCs w:val="21"/>
                    </w:rPr>
                    <w:t>施工场界标准</w:t>
                  </w:r>
                </w:p>
              </w:tc>
              <w:tc>
                <w:tcPr>
                  <w:tcW w:w="4066" w:type="pct"/>
                  <w:gridSpan w:val="10"/>
                  <w:tcBorders>
                    <w:tl2br w:val="nil"/>
                    <w:tr2bl w:val="nil"/>
                  </w:tcBorders>
                  <w:vAlign w:val="center"/>
                </w:tcPr>
                <w:p w14:paraId="35F89CB4">
                  <w:pPr>
                    <w:pStyle w:val="154"/>
                    <w:rPr>
                      <w:szCs w:val="21"/>
                    </w:rPr>
                  </w:pPr>
                  <w:r>
                    <w:rPr>
                      <w:szCs w:val="21"/>
                    </w:rPr>
                    <w:t>昼间：70（dB（A））；夜间55（dB（A））</w:t>
                  </w:r>
                </w:p>
              </w:tc>
            </w:tr>
          </w:tbl>
          <w:p w14:paraId="28FECE0F">
            <w:pPr>
              <w:spacing w:line="360" w:lineRule="auto"/>
              <w:ind w:firstLine="480" w:firstLineChars="200"/>
              <w:rPr>
                <w:sz w:val="24"/>
              </w:rPr>
            </w:pPr>
            <w:r>
              <w:rPr>
                <w:sz w:val="24"/>
              </w:rPr>
              <w:t>由上表可知，项目施工区在设置围墙后，昼间施工噪声在距离施工场界40m内可达到《建筑施工场界环境噪声排放标准》（GB12523-2011）昼间限值要求，场界约80m夜间施工噪声满足《建筑施工场界环境噪声排放标准》（GB12523-2011）夜间限值要求。</w:t>
            </w:r>
          </w:p>
          <w:p w14:paraId="7F4B999A">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rPr>
            </w:pPr>
            <w:r>
              <w:rPr>
                <w:sz w:val="24"/>
              </w:rPr>
              <w:t>将所产生的噪声叠加后预测对某个距离的总声压级，计算结果列入下表。</w:t>
            </w:r>
          </w:p>
          <w:p w14:paraId="240190F0">
            <w:pPr>
              <w:pStyle w:val="10"/>
              <w:keepNext w:val="0"/>
              <w:keepLines w:val="0"/>
              <w:pageBreakBefore w:val="0"/>
              <w:kinsoku/>
              <w:wordWrap/>
              <w:overflowPunct/>
              <w:topLinePunct w:val="0"/>
              <w:autoSpaceDE/>
              <w:autoSpaceDN/>
              <w:bidi w:val="0"/>
              <w:adjustRightInd/>
              <w:spacing w:before="0" w:after="0" w:line="360" w:lineRule="auto"/>
              <w:ind w:firstLine="482"/>
              <w:jc w:val="center"/>
              <w:textAlignment w:val="auto"/>
              <w:rPr>
                <w:b/>
                <w:bCs/>
                <w:kern w:val="2"/>
                <w:sz w:val="24"/>
                <w:szCs w:val="24"/>
              </w:rPr>
            </w:pPr>
            <w:r>
              <w:rPr>
                <w:b/>
                <w:bCs/>
                <w:kern w:val="2"/>
                <w:sz w:val="24"/>
                <w:szCs w:val="24"/>
              </w:rPr>
              <w:t>表4-4 声环境保护目标噪声预测结果</w:t>
            </w:r>
            <w:r>
              <w:rPr>
                <w:rFonts w:hint="eastAsia"/>
                <w:b/>
                <w:bCs/>
                <w:kern w:val="2"/>
                <w:sz w:val="24"/>
                <w:szCs w:val="24"/>
              </w:rPr>
              <w:t xml:space="preserve">  </w:t>
            </w:r>
            <w:r>
              <w:rPr>
                <w:b/>
                <w:sz w:val="24"/>
              </w:rPr>
              <w:t>单位：dB（A）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1488"/>
              <w:gridCol w:w="1275"/>
              <w:gridCol w:w="991"/>
              <w:gridCol w:w="996"/>
              <w:gridCol w:w="822"/>
              <w:gridCol w:w="1327"/>
            </w:tblGrid>
            <w:tr w14:paraId="1B60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8" w:type="pct"/>
                  <w:vMerge w:val="restart"/>
                  <w:vAlign w:val="center"/>
                </w:tcPr>
                <w:p w14:paraId="05B80ED1">
                  <w:pPr>
                    <w:adjustRightInd w:val="0"/>
                    <w:jc w:val="center"/>
                    <w:rPr>
                      <w:b/>
                      <w:bCs/>
                      <w:szCs w:val="21"/>
                    </w:rPr>
                  </w:pPr>
                  <w:r>
                    <w:rPr>
                      <w:b/>
                      <w:bCs/>
                      <w:szCs w:val="21"/>
                    </w:rPr>
                    <w:t>声环境保护目标</w:t>
                  </w:r>
                </w:p>
              </w:tc>
              <w:tc>
                <w:tcPr>
                  <w:tcW w:w="845" w:type="pct"/>
                  <w:vMerge w:val="restart"/>
                  <w:vAlign w:val="center"/>
                </w:tcPr>
                <w:p w14:paraId="5EF6DB63">
                  <w:pPr>
                    <w:adjustRightInd w:val="0"/>
                    <w:jc w:val="center"/>
                    <w:rPr>
                      <w:b/>
                      <w:bCs/>
                      <w:szCs w:val="21"/>
                    </w:rPr>
                  </w:pPr>
                  <w:r>
                    <w:rPr>
                      <w:b/>
                      <w:bCs/>
                      <w:szCs w:val="21"/>
                    </w:rPr>
                    <w:t>与施工区域最近距离（m）</w:t>
                  </w:r>
                </w:p>
              </w:tc>
              <w:tc>
                <w:tcPr>
                  <w:tcW w:w="724" w:type="pct"/>
                  <w:vAlign w:val="center"/>
                </w:tcPr>
                <w:p w14:paraId="2106C1C6">
                  <w:pPr>
                    <w:adjustRightInd w:val="0"/>
                    <w:jc w:val="center"/>
                    <w:rPr>
                      <w:b/>
                      <w:bCs/>
                      <w:szCs w:val="21"/>
                    </w:rPr>
                  </w:pPr>
                  <w:r>
                    <w:rPr>
                      <w:b/>
                      <w:bCs/>
                      <w:szCs w:val="21"/>
                    </w:rPr>
                    <w:t>现状值</w:t>
                  </w:r>
                </w:p>
              </w:tc>
              <w:tc>
                <w:tcPr>
                  <w:tcW w:w="563" w:type="pct"/>
                  <w:vAlign w:val="center"/>
                </w:tcPr>
                <w:p w14:paraId="58558157">
                  <w:pPr>
                    <w:adjustRightInd w:val="0"/>
                    <w:jc w:val="center"/>
                    <w:rPr>
                      <w:b/>
                      <w:bCs/>
                      <w:szCs w:val="21"/>
                    </w:rPr>
                  </w:pPr>
                  <w:r>
                    <w:rPr>
                      <w:b/>
                      <w:bCs/>
                      <w:szCs w:val="21"/>
                    </w:rPr>
                    <w:t>贡献值</w:t>
                  </w:r>
                </w:p>
              </w:tc>
              <w:tc>
                <w:tcPr>
                  <w:tcW w:w="566" w:type="pct"/>
                  <w:vAlign w:val="center"/>
                </w:tcPr>
                <w:p w14:paraId="40813AFE">
                  <w:pPr>
                    <w:adjustRightInd w:val="0"/>
                    <w:jc w:val="center"/>
                    <w:rPr>
                      <w:b/>
                      <w:bCs/>
                      <w:szCs w:val="21"/>
                    </w:rPr>
                  </w:pPr>
                  <w:r>
                    <w:rPr>
                      <w:b/>
                      <w:bCs/>
                      <w:szCs w:val="21"/>
                    </w:rPr>
                    <w:t>叠加值</w:t>
                  </w:r>
                </w:p>
              </w:tc>
              <w:tc>
                <w:tcPr>
                  <w:tcW w:w="467" w:type="pct"/>
                  <w:vAlign w:val="center"/>
                </w:tcPr>
                <w:p w14:paraId="2BAF123B">
                  <w:pPr>
                    <w:adjustRightInd w:val="0"/>
                    <w:jc w:val="center"/>
                    <w:rPr>
                      <w:b/>
                      <w:bCs/>
                      <w:szCs w:val="21"/>
                    </w:rPr>
                  </w:pPr>
                  <w:r>
                    <w:rPr>
                      <w:b/>
                      <w:bCs/>
                      <w:szCs w:val="21"/>
                    </w:rPr>
                    <w:t>评价标准</w:t>
                  </w:r>
                </w:p>
              </w:tc>
              <w:tc>
                <w:tcPr>
                  <w:tcW w:w="754" w:type="pct"/>
                  <w:vMerge w:val="restart"/>
                  <w:vAlign w:val="center"/>
                </w:tcPr>
                <w:p w14:paraId="3ECA39F5">
                  <w:pPr>
                    <w:adjustRightInd w:val="0"/>
                    <w:jc w:val="center"/>
                    <w:rPr>
                      <w:b/>
                      <w:bCs/>
                      <w:szCs w:val="21"/>
                    </w:rPr>
                  </w:pPr>
                  <w:r>
                    <w:rPr>
                      <w:b/>
                      <w:bCs/>
                      <w:szCs w:val="21"/>
                    </w:rPr>
                    <w:t>达标情况</w:t>
                  </w:r>
                </w:p>
              </w:tc>
            </w:tr>
            <w:tr w14:paraId="7E9F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8" w:type="pct"/>
                  <w:vMerge w:val="continue"/>
                  <w:vAlign w:val="center"/>
                </w:tcPr>
                <w:p w14:paraId="3E774BC2">
                  <w:pPr>
                    <w:adjustRightInd w:val="0"/>
                    <w:jc w:val="center"/>
                    <w:rPr>
                      <w:b/>
                      <w:bCs/>
                      <w:szCs w:val="21"/>
                    </w:rPr>
                  </w:pPr>
                </w:p>
              </w:tc>
              <w:tc>
                <w:tcPr>
                  <w:tcW w:w="845" w:type="pct"/>
                  <w:vMerge w:val="continue"/>
                  <w:vAlign w:val="center"/>
                </w:tcPr>
                <w:p w14:paraId="1ACD2667">
                  <w:pPr>
                    <w:adjustRightInd w:val="0"/>
                    <w:jc w:val="center"/>
                    <w:rPr>
                      <w:b/>
                      <w:bCs/>
                      <w:szCs w:val="21"/>
                    </w:rPr>
                  </w:pPr>
                </w:p>
              </w:tc>
              <w:tc>
                <w:tcPr>
                  <w:tcW w:w="724" w:type="pct"/>
                  <w:vAlign w:val="center"/>
                </w:tcPr>
                <w:p w14:paraId="49E76F27">
                  <w:pPr>
                    <w:adjustRightInd w:val="0"/>
                    <w:jc w:val="center"/>
                    <w:rPr>
                      <w:b/>
                      <w:bCs/>
                      <w:szCs w:val="21"/>
                    </w:rPr>
                  </w:pPr>
                  <w:r>
                    <w:rPr>
                      <w:b/>
                      <w:bCs/>
                      <w:szCs w:val="21"/>
                    </w:rPr>
                    <w:t>昼间</w:t>
                  </w:r>
                </w:p>
              </w:tc>
              <w:tc>
                <w:tcPr>
                  <w:tcW w:w="563" w:type="pct"/>
                  <w:vAlign w:val="center"/>
                </w:tcPr>
                <w:p w14:paraId="7ADACA5B">
                  <w:pPr>
                    <w:adjustRightInd w:val="0"/>
                    <w:jc w:val="center"/>
                    <w:rPr>
                      <w:b/>
                      <w:bCs/>
                      <w:szCs w:val="21"/>
                    </w:rPr>
                  </w:pPr>
                  <w:r>
                    <w:rPr>
                      <w:b/>
                      <w:bCs/>
                      <w:szCs w:val="21"/>
                    </w:rPr>
                    <w:t>昼间</w:t>
                  </w:r>
                </w:p>
              </w:tc>
              <w:tc>
                <w:tcPr>
                  <w:tcW w:w="566" w:type="pct"/>
                  <w:vAlign w:val="center"/>
                </w:tcPr>
                <w:p w14:paraId="04D272E1">
                  <w:pPr>
                    <w:adjustRightInd w:val="0"/>
                    <w:jc w:val="center"/>
                    <w:rPr>
                      <w:b/>
                      <w:bCs/>
                      <w:szCs w:val="21"/>
                    </w:rPr>
                  </w:pPr>
                  <w:r>
                    <w:rPr>
                      <w:b/>
                      <w:bCs/>
                      <w:szCs w:val="21"/>
                    </w:rPr>
                    <w:t>昼间</w:t>
                  </w:r>
                </w:p>
              </w:tc>
              <w:tc>
                <w:tcPr>
                  <w:tcW w:w="467" w:type="pct"/>
                  <w:vAlign w:val="center"/>
                </w:tcPr>
                <w:p w14:paraId="52993263">
                  <w:pPr>
                    <w:adjustRightInd w:val="0"/>
                    <w:jc w:val="center"/>
                    <w:rPr>
                      <w:b/>
                      <w:bCs/>
                      <w:szCs w:val="21"/>
                    </w:rPr>
                  </w:pPr>
                  <w:r>
                    <w:rPr>
                      <w:b/>
                      <w:bCs/>
                      <w:szCs w:val="21"/>
                    </w:rPr>
                    <w:t>昼间</w:t>
                  </w:r>
                </w:p>
              </w:tc>
              <w:tc>
                <w:tcPr>
                  <w:tcW w:w="754" w:type="pct"/>
                  <w:vMerge w:val="continue"/>
                  <w:vAlign w:val="center"/>
                </w:tcPr>
                <w:p w14:paraId="5B66054D">
                  <w:pPr>
                    <w:adjustRightInd w:val="0"/>
                    <w:jc w:val="center"/>
                    <w:rPr>
                      <w:b/>
                      <w:bCs/>
                      <w:szCs w:val="21"/>
                    </w:rPr>
                  </w:pPr>
                </w:p>
              </w:tc>
            </w:tr>
            <w:tr w14:paraId="2846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8" w:type="dxa"/>
                  <w:vAlign w:val="center"/>
                </w:tcPr>
                <w:p w14:paraId="03F26D09">
                  <w:pPr>
                    <w:adjustRightInd w:val="0"/>
                    <w:jc w:val="center"/>
                  </w:pPr>
                  <w:r>
                    <w:rPr>
                      <w:rFonts w:hint="eastAsia"/>
                      <w:szCs w:val="21"/>
                      <w:lang w:val="en-US" w:eastAsia="zh-CN"/>
                    </w:rPr>
                    <w:t>青农一路南面N1</w:t>
                  </w:r>
                </w:p>
              </w:tc>
              <w:tc>
                <w:tcPr>
                  <w:tcW w:w="845" w:type="pct"/>
                  <w:vAlign w:val="center"/>
                </w:tcPr>
                <w:p w14:paraId="0EFACB54">
                  <w:pPr>
                    <w:adjustRightInd w:val="0"/>
                    <w:snapToGrid w:val="0"/>
                    <w:jc w:val="center"/>
                    <w:rPr>
                      <w:szCs w:val="21"/>
                    </w:rPr>
                  </w:pPr>
                  <w:r>
                    <w:rPr>
                      <w:rFonts w:hint="eastAsia"/>
                      <w:color w:val="000000" w:themeColor="text1"/>
                      <w:szCs w:val="21"/>
                      <w:lang w:val="en-US" w:eastAsia="zh-CN"/>
                      <w14:textFill>
                        <w14:solidFill>
                          <w14:schemeClr w14:val="tx1"/>
                        </w14:solidFill>
                      </w14:textFill>
                    </w:rPr>
                    <w:t>15</w:t>
                  </w:r>
                </w:p>
              </w:tc>
              <w:tc>
                <w:tcPr>
                  <w:tcW w:w="1275" w:type="dxa"/>
                  <w:vAlign w:val="center"/>
                </w:tcPr>
                <w:p w14:paraId="4AA60157">
                  <w:pPr>
                    <w:adjustRightInd w:val="0"/>
                    <w:jc w:val="center"/>
                    <w:rPr>
                      <w:szCs w:val="21"/>
                    </w:rPr>
                  </w:pPr>
                  <w:r>
                    <w:rPr>
                      <w:rFonts w:hint="eastAsia"/>
                      <w:color w:val="000000" w:themeColor="text1"/>
                      <w:szCs w:val="21"/>
                      <w:lang w:val="en-US" w:eastAsia="zh-CN"/>
                      <w14:textFill>
                        <w14:solidFill>
                          <w14:schemeClr w14:val="tx1"/>
                        </w14:solidFill>
                      </w14:textFill>
                    </w:rPr>
                    <w:t>50.7</w:t>
                  </w:r>
                </w:p>
              </w:tc>
              <w:tc>
                <w:tcPr>
                  <w:tcW w:w="563" w:type="pct"/>
                  <w:vAlign w:val="center"/>
                </w:tcPr>
                <w:p w14:paraId="1A1C0053">
                  <w:pPr>
                    <w:adjustRightInd w:val="0"/>
                    <w:jc w:val="center"/>
                    <w:rPr>
                      <w:szCs w:val="21"/>
                    </w:rPr>
                  </w:pPr>
                  <w:r>
                    <w:rPr>
                      <w:szCs w:val="21"/>
                    </w:rPr>
                    <w:t>68</w:t>
                  </w:r>
                </w:p>
              </w:tc>
              <w:tc>
                <w:tcPr>
                  <w:tcW w:w="566" w:type="pct"/>
                  <w:vAlign w:val="center"/>
                </w:tcPr>
                <w:p w14:paraId="6F9F4661">
                  <w:pPr>
                    <w:adjustRightInd w:val="0"/>
                    <w:jc w:val="center"/>
                    <w:rPr>
                      <w:rFonts w:hint="default" w:eastAsia="宋体"/>
                      <w:szCs w:val="21"/>
                      <w:highlight w:val="none"/>
                      <w:lang w:val="en-US" w:eastAsia="zh-CN"/>
                    </w:rPr>
                  </w:pPr>
                  <w:r>
                    <w:rPr>
                      <w:rFonts w:hint="eastAsia"/>
                      <w:szCs w:val="21"/>
                      <w:highlight w:val="none"/>
                      <w:lang w:val="en-US" w:eastAsia="zh-CN"/>
                    </w:rPr>
                    <w:t>68.1</w:t>
                  </w:r>
                </w:p>
              </w:tc>
              <w:tc>
                <w:tcPr>
                  <w:tcW w:w="467" w:type="pct"/>
                  <w:vAlign w:val="center"/>
                </w:tcPr>
                <w:p w14:paraId="3CC54FA9">
                  <w:pPr>
                    <w:adjustRightInd w:val="0"/>
                    <w:jc w:val="center"/>
                    <w:rPr>
                      <w:rFonts w:hint="default" w:eastAsia="宋体"/>
                      <w:szCs w:val="21"/>
                      <w:lang w:val="en-US" w:eastAsia="zh-CN"/>
                    </w:rPr>
                  </w:pPr>
                  <w:r>
                    <w:rPr>
                      <w:rFonts w:hint="eastAsia"/>
                      <w:szCs w:val="21"/>
                      <w:lang w:val="en-US" w:eastAsia="zh-CN"/>
                    </w:rPr>
                    <w:t>70</w:t>
                  </w:r>
                </w:p>
              </w:tc>
              <w:tc>
                <w:tcPr>
                  <w:tcW w:w="754" w:type="pct"/>
                  <w:vAlign w:val="center"/>
                </w:tcPr>
                <w:p w14:paraId="0B6E5D30">
                  <w:pPr>
                    <w:adjustRightInd w:val="0"/>
                    <w:jc w:val="center"/>
                    <w:rPr>
                      <w:szCs w:val="21"/>
                    </w:rPr>
                  </w:pPr>
                  <w:r>
                    <w:rPr>
                      <w:szCs w:val="21"/>
                    </w:rPr>
                    <w:t>达标</w:t>
                  </w:r>
                </w:p>
              </w:tc>
            </w:tr>
            <w:tr w14:paraId="2E8B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8" w:type="dxa"/>
                  <w:vAlign w:val="center"/>
                </w:tcPr>
                <w:p w14:paraId="621F840A">
                  <w:pPr>
                    <w:adjustRightInd w:val="0"/>
                    <w:jc w:val="center"/>
                  </w:pPr>
                  <w:r>
                    <w:rPr>
                      <w:rFonts w:hint="eastAsia"/>
                      <w:szCs w:val="21"/>
                      <w:lang w:val="en-US" w:eastAsia="zh-CN"/>
                    </w:rPr>
                    <w:t>青农一路南面N2</w:t>
                  </w:r>
                </w:p>
              </w:tc>
              <w:tc>
                <w:tcPr>
                  <w:tcW w:w="845" w:type="pct"/>
                  <w:vAlign w:val="center"/>
                </w:tcPr>
                <w:p w14:paraId="44CB261E">
                  <w:pPr>
                    <w:adjustRightInd w:val="0"/>
                    <w:snapToGrid w:val="0"/>
                    <w:jc w:val="center"/>
                    <w:rPr>
                      <w:szCs w:val="21"/>
                    </w:rPr>
                  </w:pPr>
                  <w:r>
                    <w:rPr>
                      <w:rFonts w:hint="eastAsia"/>
                      <w:color w:val="000000" w:themeColor="text1"/>
                      <w:szCs w:val="21"/>
                      <w:lang w:val="en-US" w:eastAsia="zh-CN"/>
                      <w14:textFill>
                        <w14:solidFill>
                          <w14:schemeClr w14:val="tx1"/>
                        </w14:solidFill>
                      </w14:textFill>
                    </w:rPr>
                    <w:t>15</w:t>
                  </w:r>
                </w:p>
              </w:tc>
              <w:tc>
                <w:tcPr>
                  <w:tcW w:w="1275" w:type="dxa"/>
                  <w:vAlign w:val="center"/>
                </w:tcPr>
                <w:p w14:paraId="0B2ABB68">
                  <w:pPr>
                    <w:adjustRightInd w:val="0"/>
                    <w:jc w:val="center"/>
                    <w:rPr>
                      <w:szCs w:val="21"/>
                    </w:rPr>
                  </w:pPr>
                  <w:r>
                    <w:rPr>
                      <w:rFonts w:hint="eastAsia"/>
                      <w:color w:val="000000" w:themeColor="text1"/>
                      <w:szCs w:val="21"/>
                      <w:lang w:val="en-US" w:eastAsia="zh-CN"/>
                      <w14:textFill>
                        <w14:solidFill>
                          <w14:schemeClr w14:val="tx1"/>
                        </w14:solidFill>
                      </w14:textFill>
                    </w:rPr>
                    <w:t>50.5</w:t>
                  </w:r>
                </w:p>
              </w:tc>
              <w:tc>
                <w:tcPr>
                  <w:tcW w:w="563" w:type="pct"/>
                  <w:vAlign w:val="center"/>
                </w:tcPr>
                <w:p w14:paraId="2BC29442">
                  <w:pPr>
                    <w:adjustRightInd w:val="0"/>
                    <w:jc w:val="center"/>
                    <w:rPr>
                      <w:szCs w:val="21"/>
                    </w:rPr>
                  </w:pPr>
                  <w:r>
                    <w:rPr>
                      <w:szCs w:val="21"/>
                    </w:rPr>
                    <w:t>68</w:t>
                  </w:r>
                </w:p>
              </w:tc>
              <w:tc>
                <w:tcPr>
                  <w:tcW w:w="566" w:type="pct"/>
                  <w:vAlign w:val="center"/>
                </w:tcPr>
                <w:p w14:paraId="43FB0AC8">
                  <w:pPr>
                    <w:adjustRightInd w:val="0"/>
                    <w:jc w:val="center"/>
                    <w:rPr>
                      <w:szCs w:val="21"/>
                      <w:highlight w:val="none"/>
                    </w:rPr>
                  </w:pPr>
                  <w:r>
                    <w:rPr>
                      <w:rFonts w:hint="eastAsia"/>
                      <w:szCs w:val="21"/>
                      <w:highlight w:val="none"/>
                      <w:lang w:val="en-US" w:eastAsia="zh-CN"/>
                    </w:rPr>
                    <w:t>68.1</w:t>
                  </w:r>
                </w:p>
              </w:tc>
              <w:tc>
                <w:tcPr>
                  <w:tcW w:w="467" w:type="pct"/>
                  <w:vAlign w:val="center"/>
                </w:tcPr>
                <w:p w14:paraId="0CAC8EA0">
                  <w:pPr>
                    <w:adjustRightInd w:val="0"/>
                    <w:jc w:val="center"/>
                    <w:rPr>
                      <w:szCs w:val="21"/>
                    </w:rPr>
                  </w:pPr>
                  <w:r>
                    <w:rPr>
                      <w:rFonts w:hint="eastAsia"/>
                      <w:szCs w:val="21"/>
                      <w:lang w:val="en-US" w:eastAsia="zh-CN"/>
                    </w:rPr>
                    <w:t>70</w:t>
                  </w:r>
                </w:p>
              </w:tc>
              <w:tc>
                <w:tcPr>
                  <w:tcW w:w="754" w:type="pct"/>
                  <w:vAlign w:val="center"/>
                </w:tcPr>
                <w:p w14:paraId="461FBEB7">
                  <w:pPr>
                    <w:adjustRightInd w:val="0"/>
                    <w:jc w:val="center"/>
                    <w:rPr>
                      <w:szCs w:val="21"/>
                    </w:rPr>
                  </w:pPr>
                  <w:r>
                    <w:rPr>
                      <w:szCs w:val="21"/>
                    </w:rPr>
                    <w:t>达标</w:t>
                  </w:r>
                </w:p>
              </w:tc>
            </w:tr>
            <w:tr w14:paraId="3CB9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8" w:type="dxa"/>
                  <w:vAlign w:val="center"/>
                </w:tcPr>
                <w:p w14:paraId="254ECAC3">
                  <w:pPr>
                    <w:adjustRightInd w:val="0"/>
                    <w:jc w:val="center"/>
                  </w:pPr>
                  <w:r>
                    <w:rPr>
                      <w:rFonts w:hint="eastAsia"/>
                      <w:szCs w:val="21"/>
                      <w:lang w:val="en-US" w:eastAsia="zh-CN"/>
                    </w:rPr>
                    <w:t>青农一路南面N3</w:t>
                  </w:r>
                </w:p>
              </w:tc>
              <w:tc>
                <w:tcPr>
                  <w:tcW w:w="845" w:type="pct"/>
                  <w:vAlign w:val="center"/>
                </w:tcPr>
                <w:p w14:paraId="298976BC">
                  <w:pPr>
                    <w:adjustRightInd w:val="0"/>
                    <w:snapToGrid w:val="0"/>
                    <w:jc w:val="center"/>
                    <w:rPr>
                      <w:szCs w:val="21"/>
                    </w:rPr>
                  </w:pPr>
                  <w:r>
                    <w:rPr>
                      <w:rFonts w:hint="eastAsia"/>
                      <w:color w:val="000000" w:themeColor="text1"/>
                      <w:szCs w:val="21"/>
                      <w:lang w:val="en-US" w:eastAsia="zh-CN"/>
                      <w14:textFill>
                        <w14:solidFill>
                          <w14:schemeClr w14:val="tx1"/>
                        </w14:solidFill>
                      </w14:textFill>
                    </w:rPr>
                    <w:t>15</w:t>
                  </w:r>
                </w:p>
              </w:tc>
              <w:tc>
                <w:tcPr>
                  <w:tcW w:w="1275" w:type="dxa"/>
                  <w:vAlign w:val="center"/>
                </w:tcPr>
                <w:p w14:paraId="50C76DE2">
                  <w:pPr>
                    <w:adjustRightInd w:val="0"/>
                    <w:jc w:val="center"/>
                    <w:rPr>
                      <w:szCs w:val="21"/>
                    </w:rPr>
                  </w:pPr>
                  <w:r>
                    <w:rPr>
                      <w:rFonts w:hint="eastAsia"/>
                      <w:color w:val="000000" w:themeColor="text1"/>
                      <w:szCs w:val="21"/>
                      <w:lang w:val="en-US" w:eastAsia="zh-CN"/>
                      <w14:textFill>
                        <w14:solidFill>
                          <w14:schemeClr w14:val="tx1"/>
                        </w14:solidFill>
                      </w14:textFill>
                    </w:rPr>
                    <w:t>51.6</w:t>
                  </w:r>
                </w:p>
              </w:tc>
              <w:tc>
                <w:tcPr>
                  <w:tcW w:w="563" w:type="pct"/>
                  <w:vAlign w:val="center"/>
                </w:tcPr>
                <w:p w14:paraId="64FDA54E">
                  <w:pPr>
                    <w:adjustRightInd w:val="0"/>
                    <w:jc w:val="center"/>
                    <w:rPr>
                      <w:szCs w:val="21"/>
                    </w:rPr>
                  </w:pPr>
                  <w:r>
                    <w:rPr>
                      <w:szCs w:val="21"/>
                    </w:rPr>
                    <w:t>68</w:t>
                  </w:r>
                </w:p>
              </w:tc>
              <w:tc>
                <w:tcPr>
                  <w:tcW w:w="566" w:type="pct"/>
                  <w:vAlign w:val="center"/>
                </w:tcPr>
                <w:p w14:paraId="71AA527C">
                  <w:pPr>
                    <w:adjustRightInd w:val="0"/>
                    <w:jc w:val="center"/>
                    <w:rPr>
                      <w:szCs w:val="21"/>
                      <w:highlight w:val="none"/>
                    </w:rPr>
                  </w:pPr>
                  <w:r>
                    <w:rPr>
                      <w:rFonts w:hint="eastAsia"/>
                      <w:szCs w:val="21"/>
                      <w:highlight w:val="none"/>
                      <w:lang w:val="en-US" w:eastAsia="zh-CN"/>
                    </w:rPr>
                    <w:t>68.1</w:t>
                  </w:r>
                </w:p>
              </w:tc>
              <w:tc>
                <w:tcPr>
                  <w:tcW w:w="467" w:type="pct"/>
                  <w:vAlign w:val="center"/>
                </w:tcPr>
                <w:p w14:paraId="311964ED">
                  <w:pPr>
                    <w:adjustRightInd w:val="0"/>
                    <w:jc w:val="center"/>
                    <w:rPr>
                      <w:szCs w:val="21"/>
                    </w:rPr>
                  </w:pPr>
                  <w:r>
                    <w:rPr>
                      <w:rFonts w:hint="eastAsia"/>
                      <w:szCs w:val="21"/>
                      <w:lang w:val="en-US" w:eastAsia="zh-CN"/>
                    </w:rPr>
                    <w:t>70</w:t>
                  </w:r>
                </w:p>
              </w:tc>
              <w:tc>
                <w:tcPr>
                  <w:tcW w:w="754" w:type="pct"/>
                  <w:vAlign w:val="center"/>
                </w:tcPr>
                <w:p w14:paraId="4E280F7B">
                  <w:pPr>
                    <w:adjustRightInd w:val="0"/>
                    <w:jc w:val="center"/>
                    <w:rPr>
                      <w:szCs w:val="21"/>
                    </w:rPr>
                  </w:pPr>
                  <w:r>
                    <w:rPr>
                      <w:szCs w:val="21"/>
                    </w:rPr>
                    <w:t>达标</w:t>
                  </w:r>
                </w:p>
              </w:tc>
            </w:tr>
            <w:tr w14:paraId="3849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8" w:type="dxa"/>
                  <w:vAlign w:val="center"/>
                </w:tcPr>
                <w:p w14:paraId="1BEC11A9">
                  <w:pPr>
                    <w:adjustRightInd w:val="0"/>
                    <w:jc w:val="center"/>
                  </w:pPr>
                  <w:r>
                    <w:rPr>
                      <w:rFonts w:hint="eastAsia"/>
                      <w:szCs w:val="21"/>
                      <w:lang w:val="en-US" w:eastAsia="zh-CN"/>
                    </w:rPr>
                    <w:t>青农一路北面N4</w:t>
                  </w:r>
                </w:p>
              </w:tc>
              <w:tc>
                <w:tcPr>
                  <w:tcW w:w="845" w:type="pct"/>
                  <w:vAlign w:val="center"/>
                </w:tcPr>
                <w:p w14:paraId="708609F1">
                  <w:pPr>
                    <w:adjustRightInd w:val="0"/>
                    <w:snapToGrid w:val="0"/>
                    <w:jc w:val="center"/>
                    <w:rPr>
                      <w:szCs w:val="21"/>
                    </w:rPr>
                  </w:pPr>
                  <w:r>
                    <w:rPr>
                      <w:rFonts w:hint="eastAsia"/>
                      <w:color w:val="000000" w:themeColor="text1"/>
                      <w:szCs w:val="21"/>
                      <w:lang w:val="en-US" w:eastAsia="zh-CN"/>
                      <w14:textFill>
                        <w14:solidFill>
                          <w14:schemeClr w14:val="tx1"/>
                        </w14:solidFill>
                      </w14:textFill>
                    </w:rPr>
                    <w:t>15</w:t>
                  </w:r>
                </w:p>
              </w:tc>
              <w:tc>
                <w:tcPr>
                  <w:tcW w:w="1275" w:type="dxa"/>
                  <w:vAlign w:val="center"/>
                </w:tcPr>
                <w:p w14:paraId="182FCE89">
                  <w:pPr>
                    <w:adjustRightInd w:val="0"/>
                    <w:jc w:val="center"/>
                    <w:rPr>
                      <w:szCs w:val="21"/>
                    </w:rPr>
                  </w:pPr>
                  <w:r>
                    <w:rPr>
                      <w:rFonts w:hint="eastAsia"/>
                      <w:color w:val="000000" w:themeColor="text1"/>
                      <w:szCs w:val="21"/>
                      <w:lang w:val="en-US" w:eastAsia="zh-CN"/>
                      <w14:textFill>
                        <w14:solidFill>
                          <w14:schemeClr w14:val="tx1"/>
                        </w14:solidFill>
                      </w14:textFill>
                    </w:rPr>
                    <w:t>52.1</w:t>
                  </w:r>
                </w:p>
              </w:tc>
              <w:tc>
                <w:tcPr>
                  <w:tcW w:w="563" w:type="pct"/>
                  <w:vAlign w:val="center"/>
                </w:tcPr>
                <w:p w14:paraId="2C7C0478">
                  <w:pPr>
                    <w:adjustRightInd w:val="0"/>
                    <w:jc w:val="center"/>
                    <w:rPr>
                      <w:szCs w:val="21"/>
                    </w:rPr>
                  </w:pPr>
                  <w:r>
                    <w:rPr>
                      <w:szCs w:val="21"/>
                    </w:rPr>
                    <w:t>68</w:t>
                  </w:r>
                </w:p>
              </w:tc>
              <w:tc>
                <w:tcPr>
                  <w:tcW w:w="566" w:type="pct"/>
                  <w:vAlign w:val="center"/>
                </w:tcPr>
                <w:p w14:paraId="7006224A">
                  <w:pPr>
                    <w:adjustRightInd w:val="0"/>
                    <w:jc w:val="center"/>
                    <w:rPr>
                      <w:szCs w:val="21"/>
                    </w:rPr>
                  </w:pPr>
                  <w:r>
                    <w:rPr>
                      <w:rFonts w:hint="eastAsia"/>
                      <w:szCs w:val="21"/>
                      <w:highlight w:val="none"/>
                      <w:lang w:val="en-US" w:eastAsia="zh-CN"/>
                    </w:rPr>
                    <w:t>68.1</w:t>
                  </w:r>
                </w:p>
              </w:tc>
              <w:tc>
                <w:tcPr>
                  <w:tcW w:w="467" w:type="pct"/>
                  <w:vAlign w:val="center"/>
                </w:tcPr>
                <w:p w14:paraId="140ACB47">
                  <w:pPr>
                    <w:adjustRightInd w:val="0"/>
                    <w:jc w:val="center"/>
                    <w:rPr>
                      <w:szCs w:val="21"/>
                    </w:rPr>
                  </w:pPr>
                  <w:r>
                    <w:rPr>
                      <w:rFonts w:hint="eastAsia"/>
                      <w:szCs w:val="21"/>
                      <w:lang w:val="en-US" w:eastAsia="zh-CN"/>
                    </w:rPr>
                    <w:t>70</w:t>
                  </w:r>
                </w:p>
              </w:tc>
              <w:tc>
                <w:tcPr>
                  <w:tcW w:w="754" w:type="pct"/>
                  <w:vAlign w:val="center"/>
                </w:tcPr>
                <w:p w14:paraId="572EA2E5">
                  <w:pPr>
                    <w:adjustRightInd w:val="0"/>
                    <w:jc w:val="center"/>
                    <w:rPr>
                      <w:szCs w:val="21"/>
                    </w:rPr>
                  </w:pPr>
                  <w:r>
                    <w:rPr>
                      <w:szCs w:val="21"/>
                    </w:rPr>
                    <w:t>达标</w:t>
                  </w:r>
                </w:p>
              </w:tc>
            </w:tr>
            <w:tr w14:paraId="48F5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8" w:type="dxa"/>
                  <w:vAlign w:val="center"/>
                </w:tcPr>
                <w:p w14:paraId="28105B6D">
                  <w:pPr>
                    <w:adjustRightInd w:val="0"/>
                    <w:jc w:val="center"/>
                  </w:pPr>
                  <w:r>
                    <w:rPr>
                      <w:rFonts w:hint="eastAsia"/>
                      <w:szCs w:val="21"/>
                      <w:lang w:val="en-US" w:eastAsia="zh-CN"/>
                    </w:rPr>
                    <w:t>青农一路北面N5</w:t>
                  </w:r>
                </w:p>
              </w:tc>
              <w:tc>
                <w:tcPr>
                  <w:tcW w:w="845" w:type="pct"/>
                  <w:vAlign w:val="center"/>
                </w:tcPr>
                <w:p w14:paraId="32E5CD43">
                  <w:pPr>
                    <w:adjustRightInd w:val="0"/>
                    <w:snapToGrid w:val="0"/>
                    <w:jc w:val="center"/>
                    <w:rPr>
                      <w:szCs w:val="21"/>
                    </w:rPr>
                  </w:pPr>
                  <w:r>
                    <w:rPr>
                      <w:rFonts w:hint="eastAsia"/>
                      <w:color w:val="000000" w:themeColor="text1"/>
                      <w:szCs w:val="21"/>
                      <w:lang w:val="en-US" w:eastAsia="zh-CN"/>
                      <w14:textFill>
                        <w14:solidFill>
                          <w14:schemeClr w14:val="tx1"/>
                        </w14:solidFill>
                      </w14:textFill>
                    </w:rPr>
                    <w:t>15</w:t>
                  </w:r>
                </w:p>
              </w:tc>
              <w:tc>
                <w:tcPr>
                  <w:tcW w:w="1275" w:type="dxa"/>
                  <w:vAlign w:val="center"/>
                </w:tcPr>
                <w:p w14:paraId="4C61EE4F">
                  <w:pPr>
                    <w:adjustRightInd w:val="0"/>
                    <w:jc w:val="center"/>
                    <w:rPr>
                      <w:szCs w:val="21"/>
                    </w:rPr>
                  </w:pPr>
                  <w:r>
                    <w:rPr>
                      <w:rFonts w:hint="eastAsia"/>
                      <w:color w:val="000000" w:themeColor="text1"/>
                      <w:szCs w:val="21"/>
                      <w:lang w:val="en-US" w:eastAsia="zh-CN"/>
                      <w14:textFill>
                        <w14:solidFill>
                          <w14:schemeClr w14:val="tx1"/>
                        </w14:solidFill>
                      </w14:textFill>
                    </w:rPr>
                    <w:t>49.1</w:t>
                  </w:r>
                </w:p>
              </w:tc>
              <w:tc>
                <w:tcPr>
                  <w:tcW w:w="563" w:type="pct"/>
                  <w:vAlign w:val="center"/>
                </w:tcPr>
                <w:p w14:paraId="34B53AA9">
                  <w:pPr>
                    <w:adjustRightInd w:val="0"/>
                    <w:jc w:val="center"/>
                    <w:rPr>
                      <w:szCs w:val="21"/>
                    </w:rPr>
                  </w:pPr>
                  <w:r>
                    <w:rPr>
                      <w:szCs w:val="21"/>
                    </w:rPr>
                    <w:t>68</w:t>
                  </w:r>
                </w:p>
              </w:tc>
              <w:tc>
                <w:tcPr>
                  <w:tcW w:w="566" w:type="pct"/>
                  <w:vAlign w:val="center"/>
                </w:tcPr>
                <w:p w14:paraId="21FF61F8">
                  <w:pPr>
                    <w:adjustRightInd w:val="0"/>
                    <w:jc w:val="center"/>
                    <w:rPr>
                      <w:szCs w:val="21"/>
                    </w:rPr>
                  </w:pPr>
                  <w:r>
                    <w:rPr>
                      <w:rFonts w:hint="eastAsia"/>
                      <w:szCs w:val="21"/>
                      <w:highlight w:val="none"/>
                      <w:lang w:val="en-US" w:eastAsia="zh-CN"/>
                    </w:rPr>
                    <w:t>68.1</w:t>
                  </w:r>
                </w:p>
              </w:tc>
              <w:tc>
                <w:tcPr>
                  <w:tcW w:w="467" w:type="pct"/>
                  <w:vAlign w:val="center"/>
                </w:tcPr>
                <w:p w14:paraId="61014E3B">
                  <w:pPr>
                    <w:adjustRightInd w:val="0"/>
                    <w:jc w:val="center"/>
                    <w:rPr>
                      <w:szCs w:val="21"/>
                    </w:rPr>
                  </w:pPr>
                  <w:r>
                    <w:rPr>
                      <w:rFonts w:hint="eastAsia"/>
                      <w:szCs w:val="21"/>
                      <w:lang w:val="en-US" w:eastAsia="zh-CN"/>
                    </w:rPr>
                    <w:t>70</w:t>
                  </w:r>
                </w:p>
              </w:tc>
              <w:tc>
                <w:tcPr>
                  <w:tcW w:w="754" w:type="pct"/>
                  <w:vAlign w:val="center"/>
                </w:tcPr>
                <w:p w14:paraId="4B7D673B">
                  <w:pPr>
                    <w:adjustRightInd w:val="0"/>
                    <w:jc w:val="center"/>
                    <w:rPr>
                      <w:szCs w:val="21"/>
                    </w:rPr>
                  </w:pPr>
                  <w:r>
                    <w:rPr>
                      <w:szCs w:val="21"/>
                    </w:rPr>
                    <w:t>达标</w:t>
                  </w:r>
                </w:p>
              </w:tc>
            </w:tr>
            <w:tr w14:paraId="3F3B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8" w:type="dxa"/>
                  <w:vAlign w:val="center"/>
                </w:tcPr>
                <w:p w14:paraId="1C69A65D">
                  <w:pPr>
                    <w:adjustRightInd w:val="0"/>
                    <w:jc w:val="center"/>
                    <w:rPr>
                      <w:rFonts w:hint="eastAsia"/>
                      <w:color w:val="000000" w:themeColor="text1"/>
                      <w14:textFill>
                        <w14:solidFill>
                          <w14:schemeClr w14:val="tx1"/>
                        </w14:solidFill>
                      </w14:textFill>
                    </w:rPr>
                  </w:pPr>
                  <w:r>
                    <w:rPr>
                      <w:rFonts w:hint="eastAsia"/>
                      <w:szCs w:val="21"/>
                      <w:lang w:val="en-US" w:eastAsia="zh-CN"/>
                    </w:rPr>
                    <w:t>文卫村N6</w:t>
                  </w:r>
                </w:p>
              </w:tc>
              <w:tc>
                <w:tcPr>
                  <w:tcW w:w="845" w:type="pct"/>
                  <w:vAlign w:val="center"/>
                </w:tcPr>
                <w:p w14:paraId="5C2EED15">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1275" w:type="dxa"/>
                  <w:vAlign w:val="center"/>
                </w:tcPr>
                <w:p w14:paraId="7F8DFF97">
                  <w:pPr>
                    <w:adjustRightInd w:val="0"/>
                    <w:jc w:val="center"/>
                    <w:rPr>
                      <w:szCs w:val="21"/>
                    </w:rPr>
                  </w:pPr>
                  <w:r>
                    <w:rPr>
                      <w:rFonts w:hint="eastAsia"/>
                      <w:color w:val="000000" w:themeColor="text1"/>
                      <w:szCs w:val="21"/>
                      <w:lang w:val="en-US" w:eastAsia="zh-CN"/>
                      <w14:textFill>
                        <w14:solidFill>
                          <w14:schemeClr w14:val="tx1"/>
                        </w14:solidFill>
                      </w14:textFill>
                    </w:rPr>
                    <w:t>44.6</w:t>
                  </w:r>
                </w:p>
              </w:tc>
              <w:tc>
                <w:tcPr>
                  <w:tcW w:w="563" w:type="pct"/>
                  <w:vAlign w:val="center"/>
                </w:tcPr>
                <w:p w14:paraId="1D77825B">
                  <w:pPr>
                    <w:adjustRightInd w:val="0"/>
                    <w:jc w:val="center"/>
                    <w:rPr>
                      <w:rFonts w:hint="default" w:eastAsia="宋体"/>
                      <w:szCs w:val="21"/>
                      <w:lang w:val="en-US" w:eastAsia="zh-CN"/>
                    </w:rPr>
                  </w:pPr>
                  <w:r>
                    <w:rPr>
                      <w:rFonts w:hint="eastAsia"/>
                      <w:szCs w:val="21"/>
                      <w:lang w:val="en-US" w:eastAsia="zh-CN"/>
                    </w:rPr>
                    <w:t>64.7</w:t>
                  </w:r>
                </w:p>
              </w:tc>
              <w:tc>
                <w:tcPr>
                  <w:tcW w:w="566" w:type="pct"/>
                  <w:vAlign w:val="center"/>
                </w:tcPr>
                <w:p w14:paraId="7AC31AE0">
                  <w:pPr>
                    <w:adjustRightInd w:val="0"/>
                    <w:jc w:val="center"/>
                    <w:rPr>
                      <w:szCs w:val="21"/>
                    </w:rPr>
                  </w:pPr>
                  <w:r>
                    <w:rPr>
                      <w:rFonts w:hint="eastAsia"/>
                      <w:szCs w:val="21"/>
                      <w:lang w:val="en-US" w:eastAsia="zh-CN"/>
                    </w:rPr>
                    <w:t>64.7</w:t>
                  </w:r>
                </w:p>
              </w:tc>
              <w:tc>
                <w:tcPr>
                  <w:tcW w:w="822" w:type="dxa"/>
                  <w:vAlign w:val="center"/>
                </w:tcPr>
                <w:p w14:paraId="6D1F00AE">
                  <w:pPr>
                    <w:adjustRightInd w:val="0"/>
                    <w:jc w:val="center"/>
                    <w:rPr>
                      <w:rFonts w:hint="eastAsia"/>
                      <w:szCs w:val="21"/>
                      <w:lang w:val="en-US" w:eastAsia="zh-CN"/>
                    </w:rPr>
                  </w:pPr>
                  <w:r>
                    <w:rPr>
                      <w:rFonts w:hint="eastAsia"/>
                      <w:szCs w:val="21"/>
                      <w:lang w:val="en-US" w:eastAsia="zh-CN"/>
                    </w:rPr>
                    <w:t>70</w:t>
                  </w:r>
                </w:p>
              </w:tc>
              <w:tc>
                <w:tcPr>
                  <w:tcW w:w="1327" w:type="dxa"/>
                  <w:vAlign w:val="center"/>
                </w:tcPr>
                <w:p w14:paraId="36F65C0B">
                  <w:pPr>
                    <w:adjustRightInd w:val="0"/>
                    <w:jc w:val="center"/>
                    <w:rPr>
                      <w:szCs w:val="21"/>
                    </w:rPr>
                  </w:pPr>
                  <w:r>
                    <w:rPr>
                      <w:szCs w:val="21"/>
                    </w:rPr>
                    <w:t>达标</w:t>
                  </w:r>
                </w:p>
              </w:tc>
            </w:tr>
            <w:tr w14:paraId="43AD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8" w:type="dxa"/>
                  <w:vAlign w:val="center"/>
                </w:tcPr>
                <w:p w14:paraId="68005ACB">
                  <w:pPr>
                    <w:adjustRightInd w:val="0"/>
                    <w:jc w:val="center"/>
                    <w:rPr>
                      <w:rFonts w:hint="eastAsia"/>
                      <w:color w:val="000000" w:themeColor="text1"/>
                      <w14:textFill>
                        <w14:solidFill>
                          <w14:schemeClr w14:val="tx1"/>
                        </w14:solidFill>
                      </w14:textFill>
                    </w:rPr>
                  </w:pPr>
                  <w:r>
                    <w:rPr>
                      <w:rFonts w:hint="eastAsia"/>
                      <w:szCs w:val="21"/>
                      <w:lang w:val="en-US" w:eastAsia="zh-CN"/>
                    </w:rPr>
                    <w:t>十六圩N7</w:t>
                  </w:r>
                </w:p>
              </w:tc>
              <w:tc>
                <w:tcPr>
                  <w:tcW w:w="845" w:type="pct"/>
                  <w:vAlign w:val="center"/>
                </w:tcPr>
                <w:p w14:paraId="15D0A90D">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52</w:t>
                  </w:r>
                </w:p>
              </w:tc>
              <w:tc>
                <w:tcPr>
                  <w:tcW w:w="1275" w:type="dxa"/>
                  <w:vAlign w:val="center"/>
                </w:tcPr>
                <w:p w14:paraId="7E0C787A">
                  <w:pPr>
                    <w:adjustRightInd w:val="0"/>
                    <w:jc w:val="center"/>
                    <w:rPr>
                      <w:szCs w:val="21"/>
                    </w:rPr>
                  </w:pPr>
                  <w:r>
                    <w:rPr>
                      <w:rFonts w:hint="eastAsia"/>
                      <w:color w:val="000000" w:themeColor="text1"/>
                      <w:szCs w:val="21"/>
                      <w:lang w:val="en-US" w:eastAsia="zh-CN"/>
                      <w14:textFill>
                        <w14:solidFill>
                          <w14:schemeClr w14:val="tx1"/>
                        </w14:solidFill>
                      </w14:textFill>
                    </w:rPr>
                    <w:t>52.1</w:t>
                  </w:r>
                </w:p>
              </w:tc>
              <w:tc>
                <w:tcPr>
                  <w:tcW w:w="563" w:type="pct"/>
                  <w:vAlign w:val="center"/>
                </w:tcPr>
                <w:p w14:paraId="7900C309">
                  <w:pPr>
                    <w:adjustRightInd w:val="0"/>
                    <w:jc w:val="center"/>
                    <w:rPr>
                      <w:rFonts w:hint="default" w:eastAsia="宋体"/>
                      <w:szCs w:val="21"/>
                      <w:lang w:val="en-US" w:eastAsia="zh-CN"/>
                    </w:rPr>
                  </w:pPr>
                  <w:r>
                    <w:rPr>
                      <w:rFonts w:hint="eastAsia"/>
                      <w:szCs w:val="21"/>
                      <w:lang w:val="en-US" w:eastAsia="zh-CN"/>
                    </w:rPr>
                    <w:t>57.7</w:t>
                  </w:r>
                </w:p>
              </w:tc>
              <w:tc>
                <w:tcPr>
                  <w:tcW w:w="566" w:type="pct"/>
                  <w:vAlign w:val="center"/>
                </w:tcPr>
                <w:p w14:paraId="6FDBD0AC">
                  <w:pPr>
                    <w:adjustRightInd w:val="0"/>
                    <w:jc w:val="center"/>
                    <w:rPr>
                      <w:rFonts w:hint="default" w:eastAsia="宋体"/>
                      <w:szCs w:val="21"/>
                      <w:lang w:val="en-US" w:eastAsia="zh-CN"/>
                    </w:rPr>
                  </w:pPr>
                  <w:r>
                    <w:rPr>
                      <w:rFonts w:hint="eastAsia"/>
                      <w:szCs w:val="21"/>
                      <w:lang w:val="en-US" w:eastAsia="zh-CN"/>
                    </w:rPr>
                    <w:t>58.8</w:t>
                  </w:r>
                </w:p>
              </w:tc>
              <w:tc>
                <w:tcPr>
                  <w:tcW w:w="822" w:type="dxa"/>
                  <w:vAlign w:val="center"/>
                </w:tcPr>
                <w:p w14:paraId="71A8E6EB">
                  <w:pPr>
                    <w:adjustRightInd w:val="0"/>
                    <w:jc w:val="center"/>
                    <w:rPr>
                      <w:rFonts w:hint="eastAsia"/>
                      <w:szCs w:val="21"/>
                      <w:lang w:val="en-US" w:eastAsia="zh-CN"/>
                    </w:rPr>
                  </w:pPr>
                  <w:r>
                    <w:rPr>
                      <w:rFonts w:hint="eastAsia"/>
                      <w:szCs w:val="21"/>
                      <w:lang w:val="en-US" w:eastAsia="zh-CN"/>
                    </w:rPr>
                    <w:t>70</w:t>
                  </w:r>
                </w:p>
              </w:tc>
              <w:tc>
                <w:tcPr>
                  <w:tcW w:w="1327" w:type="dxa"/>
                  <w:vAlign w:val="center"/>
                </w:tcPr>
                <w:p w14:paraId="4D1798F1">
                  <w:pPr>
                    <w:adjustRightInd w:val="0"/>
                    <w:jc w:val="center"/>
                    <w:rPr>
                      <w:szCs w:val="21"/>
                    </w:rPr>
                  </w:pPr>
                  <w:r>
                    <w:rPr>
                      <w:szCs w:val="21"/>
                    </w:rPr>
                    <w:t>达标</w:t>
                  </w:r>
                </w:p>
              </w:tc>
            </w:tr>
          </w:tbl>
          <w:p w14:paraId="294FF39C">
            <w:pPr>
              <w:adjustRightInd w:val="0"/>
              <w:snapToGrid w:val="0"/>
              <w:spacing w:line="360" w:lineRule="auto"/>
              <w:ind w:firstLine="480" w:firstLineChars="200"/>
              <w:rPr>
                <w:sz w:val="24"/>
                <w:szCs w:val="32"/>
              </w:rPr>
            </w:pPr>
            <w:r>
              <w:rPr>
                <w:sz w:val="24"/>
                <w:szCs w:val="32"/>
              </w:rPr>
              <w:t>为了降低本项目施工噪声影响，建设单位在施工过</w:t>
            </w:r>
            <w:r>
              <w:rPr>
                <w:rFonts w:hint="eastAsia"/>
                <w:sz w:val="24"/>
                <w:szCs w:val="32"/>
                <w:lang w:eastAsia="zh-CN"/>
              </w:rPr>
              <w:t>程中</w:t>
            </w:r>
            <w:r>
              <w:rPr>
                <w:sz w:val="24"/>
                <w:szCs w:val="32"/>
              </w:rPr>
              <w:t>应采取如下措施：</w:t>
            </w:r>
          </w:p>
          <w:p w14:paraId="284861ED">
            <w:pPr>
              <w:adjustRightInd w:val="0"/>
              <w:snapToGrid w:val="0"/>
              <w:spacing w:line="360" w:lineRule="auto"/>
              <w:ind w:firstLine="480" w:firstLineChars="200"/>
              <w:rPr>
                <w:sz w:val="24"/>
                <w:szCs w:val="32"/>
              </w:rPr>
            </w:pPr>
            <w:r>
              <w:rPr>
                <w:rFonts w:hint="eastAsia" w:ascii="宋体" w:hAnsi="宋体" w:cs="宋体"/>
                <w:sz w:val="24"/>
                <w:szCs w:val="32"/>
              </w:rPr>
              <w:t>①</w:t>
            </w:r>
            <w:r>
              <w:rPr>
                <w:sz w:val="24"/>
                <w:szCs w:val="32"/>
              </w:rPr>
              <w:t>施工期间按《建筑施工场界环境噪声排放标准》</w:t>
            </w:r>
            <w:r>
              <w:rPr>
                <w:rFonts w:hint="eastAsia"/>
                <w:sz w:val="24"/>
                <w:szCs w:val="32"/>
                <w:lang w:eastAsia="zh-CN"/>
              </w:rPr>
              <w:t>（</w:t>
            </w:r>
            <w:r>
              <w:rPr>
                <w:sz w:val="24"/>
                <w:szCs w:val="32"/>
              </w:rPr>
              <w:t>GB12523-2011</w:t>
            </w:r>
            <w:r>
              <w:rPr>
                <w:rFonts w:hint="eastAsia"/>
                <w:sz w:val="24"/>
                <w:szCs w:val="32"/>
                <w:lang w:eastAsia="zh-CN"/>
              </w:rPr>
              <w:t>）</w:t>
            </w:r>
            <w:r>
              <w:rPr>
                <w:sz w:val="24"/>
                <w:szCs w:val="32"/>
              </w:rPr>
              <w:t>进行施工时间、施工噪声的控制，夜间禁止施工。如根据工况要求必须连续作业，必须得到当地生态环境部门的许可方可施工，并可在必要时采用柔性吸声屏替代目前通用的尼龙质地的围挡；且夜间施工作业</w:t>
            </w:r>
            <w:r>
              <w:rPr>
                <w:rFonts w:hint="eastAsia"/>
                <w:sz w:val="24"/>
                <w:szCs w:val="32"/>
                <w:lang w:eastAsia="zh-CN"/>
              </w:rPr>
              <w:t>必须</w:t>
            </w:r>
            <w:r>
              <w:rPr>
                <w:sz w:val="24"/>
                <w:szCs w:val="32"/>
              </w:rPr>
              <w:t>向周边居民公布施工的时间，并征求附近易受影响居民对工程建设的意见和建议，协调好与周边居民及单位之间的关系，取得民众的理解，避免引起噪声投诉；</w:t>
            </w:r>
          </w:p>
          <w:p w14:paraId="1D331FD2">
            <w:pPr>
              <w:adjustRightInd w:val="0"/>
              <w:snapToGrid w:val="0"/>
              <w:spacing w:line="360" w:lineRule="auto"/>
              <w:ind w:firstLine="480" w:firstLineChars="200"/>
              <w:rPr>
                <w:sz w:val="24"/>
                <w:szCs w:val="32"/>
              </w:rPr>
            </w:pPr>
            <w:r>
              <w:rPr>
                <w:rFonts w:hint="eastAsia" w:ascii="宋体" w:hAnsi="宋体" w:cs="宋体"/>
                <w:sz w:val="24"/>
                <w:szCs w:val="32"/>
              </w:rPr>
              <w:t>②</w:t>
            </w:r>
            <w:r>
              <w:rPr>
                <w:sz w:val="24"/>
                <w:szCs w:val="32"/>
              </w:rPr>
              <w:t>建设单位必须对施工时段</w:t>
            </w:r>
            <w:r>
              <w:rPr>
                <w:rFonts w:hint="eastAsia"/>
                <w:sz w:val="24"/>
                <w:szCs w:val="32"/>
                <w:lang w:eastAsia="zh-CN"/>
              </w:rPr>
              <w:t>做</w:t>
            </w:r>
            <w:r>
              <w:rPr>
                <w:sz w:val="24"/>
                <w:szCs w:val="32"/>
              </w:rPr>
              <w:t>统筹安排，尽量避免高噪源同时进行施工，设置施工围挡；</w:t>
            </w:r>
          </w:p>
          <w:p w14:paraId="58EC1987">
            <w:pPr>
              <w:adjustRightInd w:val="0"/>
              <w:snapToGrid w:val="0"/>
              <w:spacing w:line="360" w:lineRule="auto"/>
              <w:ind w:firstLine="480" w:firstLineChars="200"/>
              <w:rPr>
                <w:sz w:val="24"/>
                <w:szCs w:val="32"/>
              </w:rPr>
            </w:pPr>
            <w:r>
              <w:rPr>
                <w:rFonts w:hint="eastAsia" w:ascii="宋体" w:hAnsi="宋体" w:cs="宋体"/>
                <w:sz w:val="24"/>
                <w:szCs w:val="32"/>
              </w:rPr>
              <w:t>③</w:t>
            </w:r>
            <w:r>
              <w:rPr>
                <w:sz w:val="24"/>
                <w:szCs w:val="32"/>
              </w:rPr>
              <w:t>设备选型上采用新型低噪声设备，对运输车辆及动力机械要定期维护和管理，确保正常运转，以减少机械故障噪声的产生；闲置不用的设备立即关闭；</w:t>
            </w:r>
          </w:p>
          <w:p w14:paraId="7F13D4E3">
            <w:pPr>
              <w:adjustRightInd w:val="0"/>
              <w:snapToGrid w:val="0"/>
              <w:spacing w:line="360" w:lineRule="auto"/>
              <w:ind w:firstLine="480" w:firstLineChars="200"/>
              <w:rPr>
                <w:sz w:val="24"/>
                <w:szCs w:val="32"/>
              </w:rPr>
            </w:pPr>
            <w:r>
              <w:rPr>
                <w:rFonts w:hint="eastAsia" w:ascii="宋体" w:hAnsi="宋体" w:cs="宋体"/>
                <w:sz w:val="24"/>
                <w:szCs w:val="32"/>
              </w:rPr>
              <w:t>④</w:t>
            </w:r>
            <w:r>
              <w:rPr>
                <w:sz w:val="24"/>
                <w:szCs w:val="32"/>
              </w:rPr>
              <w:t>与施工单位签订控噪协议，督促和监督其施工控噪工作的有效实施；</w:t>
            </w:r>
          </w:p>
          <w:p w14:paraId="6944A2F7">
            <w:pPr>
              <w:pStyle w:val="10"/>
              <w:widowControl w:val="0"/>
              <w:snapToGrid/>
              <w:spacing w:before="0" w:after="0" w:line="360" w:lineRule="auto"/>
              <w:ind w:right="0" w:firstLine="480" w:firstLineChars="200"/>
              <w:rPr>
                <w:sz w:val="24"/>
                <w:szCs w:val="32"/>
              </w:rPr>
            </w:pPr>
            <w:r>
              <w:rPr>
                <w:rFonts w:hint="eastAsia" w:ascii="宋体" w:hAnsi="宋体" w:cs="宋体"/>
                <w:sz w:val="24"/>
                <w:szCs w:val="32"/>
              </w:rPr>
              <w:t>⑤</w:t>
            </w:r>
            <w:r>
              <w:rPr>
                <w:sz w:val="24"/>
                <w:szCs w:val="32"/>
              </w:rPr>
              <w:t>项目光伏区基础施工、道路施工等边界外存在居民房等声敏感目标，为避免对距离较近的环境保护目标产生噪声干扰，项目临近居民区域夜间不施工，将高噪声施工设备布置于场地中央，远离敏感目标，并采取适当的封闭和隔声措施如施工围挡等，严禁高噪音、高振动的设备在中午及夜间休息时间作业。且制定合理的运输线路，施工车辆的运行应尽量避开噪声敏感区域和噪声敏感时段，</w:t>
            </w:r>
            <w:r>
              <w:rPr>
                <w:bCs/>
                <w:spacing w:val="-8"/>
                <w:sz w:val="24"/>
                <w:szCs w:val="18"/>
              </w:rPr>
              <w:t>路过村庄时应采取限速、禁鸣等措施</w:t>
            </w:r>
            <w:r>
              <w:rPr>
                <w:bCs/>
                <w:sz w:val="24"/>
                <w:szCs w:val="18"/>
              </w:rPr>
              <w:t>，以防扰民，</w:t>
            </w:r>
            <w:r>
              <w:rPr>
                <w:sz w:val="24"/>
                <w:szCs w:val="32"/>
              </w:rPr>
              <w:t>降低对环境敏感目标的影响。</w:t>
            </w:r>
          </w:p>
          <w:p w14:paraId="6B2C927F">
            <w:pPr>
              <w:adjustRightInd w:val="0"/>
              <w:snapToGrid w:val="0"/>
              <w:spacing w:line="360" w:lineRule="auto"/>
              <w:ind w:firstLine="480" w:firstLineChars="200"/>
              <w:rPr>
                <w:rFonts w:ascii="Times New Roman" w:hAnsi="Times New Roman" w:eastAsia="宋体" w:cs="Times New Roman"/>
                <w:kern w:val="0"/>
                <w:sz w:val="24"/>
                <w:szCs w:val="32"/>
                <w:lang w:val="en-US" w:eastAsia="zh-CN" w:bidi="ar-SA"/>
              </w:rPr>
            </w:pPr>
            <w:r>
              <w:rPr>
                <w:sz w:val="24"/>
                <w:szCs w:val="32"/>
              </w:rPr>
              <w:t>建设单位落实以上防治措施后，可使噪声对项目周围敏感点环境保护目标的影响降至最小。施工结束后影响即消失，不会对周边环境造成大的影响</w:t>
            </w:r>
            <w:r>
              <w:rPr>
                <w:rFonts w:ascii="Times New Roman" w:hAnsi="Times New Roman" w:eastAsia="宋体" w:cs="Times New Roman"/>
                <w:kern w:val="0"/>
                <w:sz w:val="24"/>
                <w:szCs w:val="32"/>
                <w:lang w:val="en-US" w:eastAsia="zh-CN" w:bidi="ar-SA"/>
              </w:rPr>
              <w:t>。</w:t>
            </w:r>
          </w:p>
          <w:p w14:paraId="12F355B4">
            <w:pPr>
              <w:widowControl/>
              <w:spacing w:line="360" w:lineRule="auto"/>
              <w:ind w:firstLine="482" w:firstLineChars="200"/>
              <w:rPr>
                <w:sz w:val="24"/>
                <w:szCs w:val="32"/>
              </w:rPr>
            </w:pPr>
            <w:r>
              <w:rPr>
                <w:rFonts w:hint="eastAsia"/>
                <w:b/>
                <w:bCs/>
                <w:sz w:val="24"/>
                <w:szCs w:val="32"/>
                <w:lang w:val="en-US" w:eastAsia="zh-CN"/>
              </w:rPr>
              <w:t>5</w:t>
            </w:r>
            <w:r>
              <w:rPr>
                <w:b/>
                <w:bCs/>
                <w:sz w:val="24"/>
                <w:szCs w:val="32"/>
              </w:rPr>
              <w:t>、施工期固体废物影响分析</w:t>
            </w:r>
          </w:p>
          <w:p w14:paraId="5B1DEA1D">
            <w:pPr>
              <w:pStyle w:val="69"/>
              <w:tabs>
                <w:tab w:val="left" w:pos="1183"/>
              </w:tabs>
              <w:adjustRightInd w:val="0"/>
              <w:snapToGrid w:val="0"/>
              <w:ind w:firstLine="480"/>
              <w:rPr>
                <w:szCs w:val="32"/>
              </w:rPr>
            </w:pPr>
            <w:r>
              <w:rPr>
                <w:szCs w:val="32"/>
              </w:rPr>
              <w:t>本项目固体废弃物包括施工土石方、建筑垃圾、设备安装过程的下脚料、包材等以及工作人员的生活垃圾等。</w:t>
            </w:r>
          </w:p>
          <w:p w14:paraId="353BC5CB">
            <w:pPr>
              <w:pStyle w:val="69"/>
              <w:tabs>
                <w:tab w:val="left" w:pos="1183"/>
              </w:tabs>
              <w:adjustRightInd w:val="0"/>
              <w:snapToGrid w:val="0"/>
              <w:ind w:firstLine="480"/>
              <w:rPr>
                <w:szCs w:val="32"/>
              </w:rPr>
            </w:pPr>
            <w:r>
              <w:rPr>
                <w:szCs w:val="32"/>
              </w:rPr>
              <w:t>1、施工土石方</w:t>
            </w:r>
          </w:p>
          <w:p w14:paraId="50C18C2E">
            <w:pPr>
              <w:spacing w:line="360" w:lineRule="auto"/>
              <w:ind w:firstLine="480" w:firstLineChars="200"/>
              <w:rPr>
                <w:sz w:val="24"/>
              </w:rPr>
            </w:pPr>
            <w:r>
              <w:rPr>
                <w:sz w:val="24"/>
              </w:rPr>
              <w:t>本项目施工不存在大规模土石方开挖，主要包括场平、土建基础开挖、集电线路塔基开挖、临建场所建设等。挖方过程中将表土进行暂存后用于项目结束后的覆绿。</w:t>
            </w:r>
            <w:r>
              <w:rPr>
                <w:rFonts w:hint="eastAsia"/>
                <w:sz w:val="24"/>
              </w:rPr>
              <w:t>项目挖方0.20万m</w:t>
            </w:r>
            <w:r>
              <w:rPr>
                <w:rFonts w:hint="eastAsia"/>
                <w:sz w:val="24"/>
                <w:vertAlign w:val="superscript"/>
              </w:rPr>
              <w:t>3</w:t>
            </w:r>
            <w:r>
              <w:rPr>
                <w:rFonts w:hint="eastAsia"/>
                <w:sz w:val="24"/>
              </w:rPr>
              <w:t>，填方4.02万m</w:t>
            </w:r>
            <w:r>
              <w:rPr>
                <w:rFonts w:hint="eastAsia"/>
                <w:sz w:val="24"/>
                <w:vertAlign w:val="superscript"/>
              </w:rPr>
              <w:t>3</w:t>
            </w:r>
            <w:r>
              <w:rPr>
                <w:rFonts w:hint="eastAsia"/>
                <w:sz w:val="24"/>
              </w:rPr>
              <w:t>，借方3.82万m</w:t>
            </w:r>
            <w:r>
              <w:rPr>
                <w:rFonts w:hint="eastAsia"/>
                <w:sz w:val="24"/>
                <w:vertAlign w:val="superscript"/>
              </w:rPr>
              <w:t>3</w:t>
            </w:r>
            <w:r>
              <w:rPr>
                <w:rFonts w:hint="eastAsia"/>
                <w:sz w:val="24"/>
              </w:rPr>
              <w:t>，无余方，借方由建设单位合法商购解决，不设专门的取土场。</w:t>
            </w:r>
          </w:p>
          <w:p w14:paraId="5E3EEBD3">
            <w:pPr>
              <w:pStyle w:val="5"/>
              <w:numPr>
                <w:ilvl w:val="3"/>
                <w:numId w:val="0"/>
              </w:numPr>
              <w:spacing w:line="360" w:lineRule="auto"/>
              <w:ind w:firstLine="480" w:firstLineChars="200"/>
              <w:rPr>
                <w:kern w:val="2"/>
                <w:sz w:val="24"/>
                <w:szCs w:val="32"/>
              </w:rPr>
            </w:pPr>
            <w:r>
              <w:rPr>
                <w:kern w:val="2"/>
                <w:sz w:val="24"/>
                <w:szCs w:val="32"/>
              </w:rPr>
              <w:t>本项目施工不存在大规模土石方开挖，主要包括场平、土建基础开挖、集电线路塔基开挖、临建场所建设等。挖方过程中将表土进行暂存后用于项目结束后的覆绿。临时弃土场堆体四周用装土编织袋防护，同时堆体表面用彩布条遮盖。为减少临时堆土场的扬尘污染，应定期对堆土场进行洒水。</w:t>
            </w:r>
          </w:p>
          <w:p w14:paraId="38C69C41">
            <w:pPr>
              <w:pStyle w:val="5"/>
              <w:numPr>
                <w:ilvl w:val="3"/>
                <w:numId w:val="0"/>
              </w:numPr>
              <w:spacing w:line="360" w:lineRule="auto"/>
              <w:ind w:firstLine="480" w:firstLineChars="200"/>
              <w:rPr>
                <w:kern w:val="2"/>
                <w:sz w:val="24"/>
                <w:szCs w:val="32"/>
              </w:rPr>
            </w:pPr>
            <w:r>
              <w:rPr>
                <w:kern w:val="2"/>
                <w:sz w:val="24"/>
                <w:szCs w:val="32"/>
              </w:rPr>
              <w:t>2、建筑垃圾</w:t>
            </w:r>
          </w:p>
          <w:p w14:paraId="168BF425">
            <w:pPr>
              <w:pStyle w:val="10"/>
              <w:widowControl w:val="0"/>
              <w:adjustRightInd w:val="0"/>
              <w:spacing w:before="0" w:after="0" w:line="360" w:lineRule="auto"/>
              <w:ind w:right="0" w:firstLine="480" w:firstLineChars="200"/>
              <w:rPr>
                <w:kern w:val="2"/>
                <w:sz w:val="24"/>
                <w:szCs w:val="32"/>
              </w:rPr>
            </w:pPr>
            <w:r>
              <w:rPr>
                <w:kern w:val="2"/>
                <w:sz w:val="24"/>
                <w:szCs w:val="32"/>
              </w:rPr>
              <w:t>施工建筑垃圾主要为钢筋、板材、碎砖石等。建筑垃圾中钢筋、钢板、木材等下脚料分类收集至临时建筑垃圾堆场内，定期出售给废品收购站进行回收利用；建筑垃圾可回收利用的均回收利用，剩余部分运至指定建筑垃圾消纳场所进行消纳。</w:t>
            </w:r>
          </w:p>
          <w:p w14:paraId="1CC7FBA2">
            <w:pPr>
              <w:pStyle w:val="65"/>
              <w:numPr>
                <w:ilvl w:val="0"/>
                <w:numId w:val="8"/>
              </w:numPr>
              <w:ind w:firstLine="480" w:firstLineChars="200"/>
              <w:contextualSpacing/>
              <w:rPr>
                <w:rFonts w:ascii="Times New Roman" w:hAnsi="Times New Roman"/>
                <w:szCs w:val="32"/>
              </w:rPr>
            </w:pPr>
            <w:r>
              <w:rPr>
                <w:rFonts w:ascii="Times New Roman" w:hAnsi="Times New Roman"/>
                <w:spacing w:val="0"/>
                <w:kern w:val="2"/>
                <w:szCs w:val="32"/>
              </w:rPr>
              <w:t>废弃的</w:t>
            </w:r>
            <w:r>
              <w:rPr>
                <w:rFonts w:ascii="Times New Roman" w:hAnsi="Times New Roman"/>
                <w:szCs w:val="32"/>
              </w:rPr>
              <w:t>下脚料、包材等</w:t>
            </w:r>
          </w:p>
          <w:p w14:paraId="5B55AA34">
            <w:pPr>
              <w:pStyle w:val="10"/>
              <w:widowControl w:val="0"/>
              <w:adjustRightInd w:val="0"/>
              <w:spacing w:before="0" w:after="0" w:line="360" w:lineRule="auto"/>
              <w:ind w:right="0" w:firstLine="480" w:firstLineChars="200"/>
              <w:rPr>
                <w:kern w:val="2"/>
                <w:sz w:val="24"/>
                <w:szCs w:val="32"/>
              </w:rPr>
            </w:pPr>
            <w:r>
              <w:rPr>
                <w:kern w:val="2"/>
                <w:sz w:val="24"/>
                <w:szCs w:val="32"/>
              </w:rPr>
              <w:t>太阳能发电系统组件安装及设备安装等过程产生的下脚料（导线、电缆等）、废包装材料（主要为废纸箱和木架）等均具有回收再利用价值，外售给废旧资源回收站。</w:t>
            </w:r>
          </w:p>
          <w:p w14:paraId="539B0FFC">
            <w:pPr>
              <w:pStyle w:val="65"/>
              <w:ind w:firstLine="480" w:firstLineChars="200"/>
              <w:contextualSpacing/>
              <w:rPr>
                <w:rFonts w:ascii="Times New Roman" w:hAnsi="Times New Roman"/>
                <w:spacing w:val="0"/>
                <w:kern w:val="2"/>
                <w:szCs w:val="32"/>
              </w:rPr>
            </w:pPr>
            <w:r>
              <w:rPr>
                <w:rFonts w:ascii="Times New Roman" w:hAnsi="Times New Roman"/>
                <w:spacing w:val="0"/>
                <w:kern w:val="2"/>
                <w:szCs w:val="32"/>
              </w:rPr>
              <w:t>4、生活垃圾</w:t>
            </w:r>
          </w:p>
          <w:p w14:paraId="001DD8DE">
            <w:pPr>
              <w:pStyle w:val="69"/>
              <w:tabs>
                <w:tab w:val="left" w:pos="1184"/>
              </w:tabs>
              <w:ind w:firstLine="464"/>
              <w:jc w:val="left"/>
              <w:rPr>
                <w:bCs/>
              </w:rPr>
            </w:pPr>
            <w:r>
              <w:rPr>
                <w:bCs/>
                <w:spacing w:val="-4"/>
              </w:rPr>
              <w:t>生活垃圾产生量约</w:t>
            </w:r>
            <w:r>
              <w:rPr>
                <w:bCs/>
              </w:rPr>
              <w:t>15kg/d，在施工区设计垃圾桶，集中定点收集后，交由环卫部门处理。</w:t>
            </w:r>
          </w:p>
          <w:p w14:paraId="10138EC9">
            <w:pPr>
              <w:adjustRightInd w:val="0"/>
              <w:snapToGrid w:val="0"/>
              <w:spacing w:line="360" w:lineRule="auto"/>
              <w:ind w:firstLine="482" w:firstLineChars="200"/>
              <w:textAlignment w:val="baseline"/>
              <w:rPr>
                <w:b/>
                <w:bCs/>
                <w:sz w:val="24"/>
                <w:szCs w:val="32"/>
              </w:rPr>
            </w:pPr>
            <w:r>
              <w:rPr>
                <w:rFonts w:hint="eastAsia"/>
                <w:b/>
                <w:bCs/>
                <w:sz w:val="24"/>
                <w:szCs w:val="32"/>
                <w:lang w:val="en-US" w:eastAsia="zh-CN"/>
              </w:rPr>
              <w:t>6</w:t>
            </w:r>
            <w:r>
              <w:rPr>
                <w:b/>
                <w:bCs/>
                <w:sz w:val="24"/>
                <w:szCs w:val="32"/>
              </w:rPr>
              <w:t>、施工期生态环境影响分析</w:t>
            </w:r>
          </w:p>
          <w:p w14:paraId="75BFAEDA">
            <w:pPr>
              <w:pStyle w:val="16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w:t>
            </w:r>
            <w:r>
              <w:rPr>
                <w:rFonts w:ascii="Times New Roman" w:hAnsi="Times New Roman" w:eastAsia="宋体" w:cs="Times New Roman"/>
                <w:b/>
                <w:bCs/>
                <w:kern w:val="0"/>
                <w:sz w:val="24"/>
                <w:szCs w:val="24"/>
                <w:lang w:val="en-US" w:eastAsia="zh-CN" w:bidi="ar-SA"/>
              </w:rPr>
              <w:t>1</w:t>
            </w:r>
            <w:r>
              <w:rPr>
                <w:rFonts w:hint="eastAsia" w:ascii="Times New Roman" w:hAnsi="Times New Roman" w:eastAsia="宋体" w:cs="Times New Roman"/>
                <w:b/>
                <w:bCs/>
                <w:kern w:val="0"/>
                <w:sz w:val="24"/>
                <w:szCs w:val="24"/>
                <w:lang w:val="en-US" w:eastAsia="zh-CN" w:bidi="ar-SA"/>
              </w:rPr>
              <w:t>）</w:t>
            </w:r>
            <w:r>
              <w:rPr>
                <w:rFonts w:ascii="Times New Roman" w:hAnsi="Times New Roman" w:eastAsia="宋体" w:cs="Times New Roman"/>
                <w:b/>
                <w:bCs/>
                <w:kern w:val="0"/>
                <w:sz w:val="24"/>
                <w:szCs w:val="24"/>
                <w:lang w:val="en-US" w:eastAsia="zh-CN" w:bidi="ar-SA"/>
              </w:rPr>
              <w:t>施工期对陆生生态的影响</w:t>
            </w:r>
          </w:p>
          <w:p w14:paraId="2E8F65D5">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本项目建设对陆生生态环境的影响主要为在施工作业和项目工程占地对植被、土地利用、水土流失等产生的影响，改变部分原有的地形地貌，破坏现有植被，使地表出现局部裸露，这也就同时破坏了原有的自然风貌及景观，给雨季带来水土流失的条件。</w:t>
            </w:r>
          </w:p>
          <w:p w14:paraId="042E1BA9">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本项目不设施工营地，不占用项目周边临时用地，在一定程度上减轻了周边地表植被破坏。</w:t>
            </w:r>
          </w:p>
          <w:p w14:paraId="0D109D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本工程评价范围内已无大型野生动物，常见动物为野兔、鼠类等，迁移能力较强。施工期这些动物可以向周边相似生境迁移，施工结束后，随着植被等恢复，动物的生境也将得到恢复。</w:t>
            </w:r>
          </w:p>
          <w:p w14:paraId="6960E374">
            <w:pPr>
              <w:autoSpaceDE w:val="0"/>
              <w:autoSpaceDN w:val="0"/>
              <w:adjustRightInd w:val="0"/>
              <w:spacing w:line="360" w:lineRule="auto"/>
              <w:ind w:firstLine="482" w:firstLineChars="200"/>
              <w:jc w:val="left"/>
              <w:rPr>
                <w:b/>
                <w:bCs/>
                <w:sz w:val="24"/>
              </w:rPr>
            </w:pPr>
            <w:r>
              <w:rPr>
                <w:rFonts w:hint="eastAsia"/>
                <w:b/>
                <w:bCs/>
                <w:sz w:val="24"/>
                <w:szCs w:val="32"/>
                <w:lang w:eastAsia="zh-CN"/>
              </w:rPr>
              <w:t>（</w:t>
            </w:r>
            <w:r>
              <w:rPr>
                <w:b/>
                <w:bCs/>
                <w:sz w:val="24"/>
                <w:szCs w:val="32"/>
              </w:rPr>
              <w:t>2</w:t>
            </w:r>
            <w:r>
              <w:rPr>
                <w:rFonts w:hint="eastAsia"/>
                <w:b/>
                <w:bCs/>
                <w:sz w:val="24"/>
                <w:szCs w:val="32"/>
                <w:lang w:eastAsia="zh-CN"/>
              </w:rPr>
              <w:t>）</w:t>
            </w:r>
            <w:r>
              <w:rPr>
                <w:b/>
                <w:bCs/>
                <w:sz w:val="24"/>
              </w:rPr>
              <w:t>对鸟类的影响</w:t>
            </w:r>
          </w:p>
          <w:p w14:paraId="6AFDBB94">
            <w:pPr>
              <w:spacing w:line="360" w:lineRule="auto"/>
              <w:ind w:firstLine="476" w:firstLineChars="200"/>
              <w:rPr>
                <w:sz w:val="24"/>
              </w:rPr>
            </w:pPr>
            <w:r>
              <w:rPr>
                <w:spacing w:val="-1"/>
                <w:sz w:val="24"/>
                <w:szCs w:val="24"/>
              </w:rPr>
              <w:t>鸟类对环境变化比较敏感，项目工程施工范围均为人工鱼塘，鸟类数量少，且项目位于生态管控区外。总体上，本项目对鸟类的栖息地和生活环境不会产生太大的影响，但工程作业的噪声会对鸟类产生一定的影响，有时会迫使其迁往它处。但鸟类分布范围较广，迁移能力强，在施工场地外易于寻找到类似适宜的生存环境，且施工区生境类型较为单一，干扰较大，鸟类本身就相对较少。因此，渔光互补工程施工不会对当地鸟类种群产生显著的影响。但在施</w:t>
            </w:r>
            <w:r>
              <w:rPr>
                <w:sz w:val="24"/>
                <w:szCs w:val="24"/>
              </w:rPr>
              <w:t>工过程中应注意鸟类的保护，严禁乱捕，保证野生</w:t>
            </w:r>
            <w:r>
              <w:rPr>
                <w:spacing w:val="-1"/>
                <w:sz w:val="24"/>
                <w:szCs w:val="24"/>
              </w:rPr>
              <w:t>鸟类资源不受到破坏</w:t>
            </w:r>
          </w:p>
          <w:p w14:paraId="1097E24D">
            <w:pPr>
              <w:spacing w:line="360" w:lineRule="auto"/>
              <w:ind w:firstLine="480" w:firstLineChars="200"/>
              <w:rPr>
                <w:sz w:val="24"/>
              </w:rPr>
            </w:pPr>
            <w:r>
              <w:rPr>
                <w:sz w:val="24"/>
              </w:rPr>
              <w:t xml:space="preserve">1）对候鸟迁徙的影响 </w:t>
            </w:r>
          </w:p>
          <w:p w14:paraId="111B9DF3">
            <w:pPr>
              <w:spacing w:line="360" w:lineRule="auto"/>
              <w:ind w:firstLine="480" w:firstLineChars="200"/>
              <w:rPr>
                <w:sz w:val="24"/>
              </w:rPr>
            </w:pPr>
            <w:r>
              <w:rPr>
                <w:sz w:val="24"/>
              </w:rPr>
              <w:t>连云港市地处东亚至澳大利亚候鸟迁徙通道上的重要地段，是多种候鸟迁徙的必经之路和主要停歇站。途径连云港的候鸟群习惯性迁徙路线、中转站及吸引鸟类聚集的地区位于沿海滩涂、大型水库、湖泊等区域。项目区本身生态环境干扰较大，迁徙性候鸟较少在此停歇，而近邻区域存在天然开阔的临洪河口湿地生态环境，鸟类大多集中在这片区域，因此，场址施工对候鸟的正常迁徙产生的影响较小。</w:t>
            </w:r>
          </w:p>
          <w:p w14:paraId="30980CFB">
            <w:pPr>
              <w:spacing w:line="360" w:lineRule="auto"/>
              <w:ind w:firstLine="480" w:firstLineChars="200"/>
              <w:rPr>
                <w:sz w:val="24"/>
              </w:rPr>
            </w:pPr>
            <w:r>
              <w:rPr>
                <w:sz w:val="24"/>
              </w:rPr>
              <w:t>2）对繁殖鸟类的影响</w:t>
            </w:r>
          </w:p>
          <w:p w14:paraId="2AED6AA9">
            <w:pPr>
              <w:spacing w:line="360" w:lineRule="auto"/>
              <w:ind w:firstLine="476" w:firstLineChars="200"/>
              <w:rPr>
                <w:sz w:val="24"/>
              </w:rPr>
            </w:pPr>
            <w:r>
              <w:rPr>
                <w:spacing w:val="-1"/>
                <w:sz w:val="24"/>
                <w:szCs w:val="24"/>
              </w:rPr>
              <w:t>根据调查结果，</w:t>
            </w:r>
            <w:r>
              <w:rPr>
                <w:sz w:val="24"/>
              </w:rPr>
              <w:t>施工期间噪声主要包括推土机、轮式装载机、挖掘机、混凝土振捣器、混凝土输送泵、电焊机、角磨机、手电钻及运输车辆等，施工期噪声对鸟类会产生一定影响，最直接的便是导致鸟类迁移至其他适宜区域，对鸟类日常觅食、栖息造成惊扰、驱赶。噪声还可影响鸟类鸣唱声音的传播，使鸟类需要更长时间求偶或占据更大的领域面积才能成功繁殖，这在一定程度上也降低了鸟类的繁殖效率；同时，持续更久的鸣唱、维持更大的领域都需要消耗更多的能量，可能会导致鸟类体况下降，并进一步降低繁殖成功率。</w:t>
            </w:r>
          </w:p>
          <w:p w14:paraId="69BD3FE3">
            <w:pPr>
              <w:spacing w:line="360" w:lineRule="auto"/>
              <w:ind w:firstLine="480" w:firstLineChars="200"/>
              <w:rPr>
                <w:sz w:val="24"/>
              </w:rPr>
            </w:pPr>
            <w:r>
              <w:rPr>
                <w:sz w:val="24"/>
              </w:rPr>
              <w:t>虽然在白天，施工车辆的进出对场址外邻近停歇的少量水鸟类会产生短暂的驱散效应，但是随着施工的进行，鸟类会逐渐适应这些影响。项目区内林地面积几乎很少，并非林鸟的适宜繁殖栖息地，施工仅会造成林鸟的小面积繁殖地和觅食地的干扰。通过迁移扩散，林鸟在项目区及周边可替代生态环境内正常繁殖和觅食。因此，渔光互补项目施工对项目区鸟类的繁殖影响不大。</w:t>
            </w:r>
          </w:p>
          <w:p w14:paraId="287A71A4">
            <w:pPr>
              <w:spacing w:line="360" w:lineRule="auto"/>
              <w:ind w:firstLine="480" w:firstLineChars="200"/>
              <w:rPr>
                <w:sz w:val="24"/>
              </w:rPr>
            </w:pPr>
            <w:r>
              <w:rPr>
                <w:sz w:val="24"/>
              </w:rPr>
              <w:t xml:space="preserve">3）对栖息地的影响 </w:t>
            </w:r>
          </w:p>
          <w:p w14:paraId="6B3D899F">
            <w:pPr>
              <w:spacing w:line="360" w:lineRule="auto"/>
              <w:ind w:firstLine="480" w:firstLineChars="200"/>
              <w:rPr>
                <w:sz w:val="24"/>
              </w:rPr>
            </w:pPr>
            <w:r>
              <w:rPr>
                <w:sz w:val="24"/>
              </w:rPr>
              <w:t>渔光互补项目建设前，项目区为人工鱼塘，本身属于人为干扰较大的生境，鸟类资源相对单一；渔光互补项目对周边主要生境产生的破坏较小，鸟类可分散至周边生境内栖息觅食，因此认为项目对鸟栖息地占用的影响较为有限。根据各类项目施工现场调查经验来看，仅噪音可能对周边栖息地造成一定影响，但随着时间的推移，鸟类大多不同程度地对噪声产生一定的耐受性。项目区噪声影响主要集中在施工区及周边50m范围内，由于农田、鱼塘等对噪音的吸收，以及鸟类对噪声的适应，综合来看项目区施工噪声对周边鸟类造成的影响较为有限。因此综合考虑，项目建设几乎不会对鸟类的栖息地产生明显的影响。</w:t>
            </w:r>
          </w:p>
          <w:p w14:paraId="33F7E45B">
            <w:pPr>
              <w:spacing w:line="360" w:lineRule="auto"/>
              <w:ind w:firstLine="480" w:firstLineChars="200"/>
              <w:rPr>
                <w:sz w:val="24"/>
              </w:rPr>
            </w:pPr>
            <w:r>
              <w:rPr>
                <w:sz w:val="24"/>
              </w:rPr>
              <w:t>4）对项目区鸟类现状的影响</w:t>
            </w:r>
          </w:p>
          <w:p w14:paraId="5CE0E061">
            <w:pPr>
              <w:spacing w:line="360" w:lineRule="auto"/>
              <w:ind w:firstLine="480" w:firstLineChars="200"/>
              <w:rPr>
                <w:sz w:val="24"/>
              </w:rPr>
            </w:pPr>
            <w:r>
              <w:rPr>
                <w:sz w:val="24"/>
              </w:rPr>
              <w:t>项目区内所有鸟类均为无危鸟类，区域内的鸟类在江苏其他区域均较为常见。同时经观察，项目区内鸟巢等数量相对较少，可推测其觅食地主要为项目区外围。并且鸟类飞行迅速，躲避人为干扰能力强，因而渔光互补建设施工对重点保护鸟类的影响甚微。</w:t>
            </w:r>
          </w:p>
          <w:p w14:paraId="668537E6">
            <w:pPr>
              <w:spacing w:line="360" w:lineRule="auto"/>
              <w:ind w:firstLine="482" w:firstLineChars="200"/>
              <w:rPr>
                <w:b/>
                <w:bCs/>
                <w:sz w:val="24"/>
              </w:rPr>
            </w:pPr>
            <w:r>
              <w:rPr>
                <w:rFonts w:hint="eastAsia"/>
                <w:b/>
                <w:bCs/>
                <w:sz w:val="24"/>
                <w:lang w:val="en-US" w:eastAsia="zh-CN"/>
              </w:rPr>
              <w:t>（3</w:t>
            </w:r>
            <w:r>
              <w:rPr>
                <w:rFonts w:hint="eastAsia"/>
                <w:b/>
                <w:bCs/>
                <w:sz w:val="24"/>
                <w:lang w:eastAsia="zh-CN"/>
              </w:rPr>
              <w:t>）</w:t>
            </w:r>
            <w:r>
              <w:rPr>
                <w:b/>
                <w:bCs/>
                <w:sz w:val="24"/>
              </w:rPr>
              <w:t>对水土流失的影响分析</w:t>
            </w:r>
          </w:p>
          <w:p w14:paraId="332BDBCE">
            <w:pPr>
              <w:pStyle w:val="17"/>
              <w:adjustRightInd w:val="0"/>
              <w:spacing w:line="360" w:lineRule="auto"/>
              <w:ind w:firstLine="480" w:firstLineChars="200"/>
              <w:jc w:val="both"/>
              <w:rPr>
                <w:bCs/>
                <w:sz w:val="24"/>
                <w:szCs w:val="24"/>
              </w:rPr>
            </w:pPr>
            <w:r>
              <w:rPr>
                <w:bCs/>
                <w:sz w:val="24"/>
                <w:szCs w:val="24"/>
              </w:rPr>
              <w:t>项目建设过程中需要土方开挖、道路夯实等，改变原土壤结构、压实状态，该区域以风蚀为主，降雨期为水力侵蚀。工程施工开挖的土方临时堆放于临时堆土区，后期用于项目自身回填，符合土方利用原则；工程不设置取土料场、弃渣场，最大限度的减少了对地表的破坏，减少了扰动面积，符合水土保持要求。工程施工结束后，因施工引起水土流失的各项因素会逐渐消失，地表扰动停止，随着时间的推移，施工区域水土流失达到新的平衡，但植被恢复是一个缓慢的过程，自然恢复期仍有一定量的水土流失。因此，根据施工中不同阶段的自然环境特点和工程特点，对工程建设施工期以及植被恢复期可能产生的水土流失总量和危害性进行预测和分析，采取工程与植物措施结合的手段控制整个工程过程中的水土流失。</w:t>
            </w:r>
          </w:p>
          <w:p w14:paraId="67668FB4">
            <w:pPr>
              <w:pStyle w:val="17"/>
              <w:adjustRightInd w:val="0"/>
              <w:spacing w:line="360" w:lineRule="auto"/>
              <w:ind w:firstLine="480" w:firstLineChars="200"/>
              <w:jc w:val="both"/>
              <w:rPr>
                <w:bCs/>
                <w:sz w:val="24"/>
                <w:szCs w:val="24"/>
              </w:rPr>
            </w:pPr>
            <w:r>
              <w:rPr>
                <w:bCs/>
                <w:sz w:val="24"/>
                <w:szCs w:val="24"/>
              </w:rPr>
              <w:t>根据水土流失防治分区，按照“因地制宜、因害设防、总体设计、全面布局、科学配置”的基本原则，结合工程实际和项目区水土流失特点，注重土地整治、植被恢复等措施。坚持预防为主、保护优先的原则，合理布局，减少对原地表和植被的破坏；</w:t>
            </w:r>
          </w:p>
          <w:p w14:paraId="650507B8">
            <w:pPr>
              <w:pStyle w:val="17"/>
              <w:adjustRightInd w:val="0"/>
              <w:spacing w:line="360" w:lineRule="auto"/>
              <w:ind w:firstLine="480" w:firstLineChars="200"/>
              <w:jc w:val="both"/>
              <w:rPr>
                <w:bCs/>
                <w:sz w:val="24"/>
                <w:szCs w:val="24"/>
              </w:rPr>
            </w:pPr>
            <w:r>
              <w:rPr>
                <w:bCs/>
                <w:sz w:val="24"/>
                <w:szCs w:val="24"/>
              </w:rPr>
              <w:t>注重施工建设过程中的预防保护措施（临时防护措施），最大限度控制施工过程中产生的水土流失。注重土地资源的保护，恢复土地原利用功能的原则。尽量减少对耕地资源和植被的破坏面积；注意地表耕作层、表层腐殖土等表土的保护，以利于及时恢复耕地和植被。</w:t>
            </w:r>
          </w:p>
          <w:p w14:paraId="25FE2E9E">
            <w:pPr>
              <w:pStyle w:val="65"/>
              <w:ind w:firstLine="480" w:firstLineChars="200"/>
              <w:contextualSpacing/>
              <w:rPr>
                <w:rFonts w:ascii="Times New Roman" w:hAnsi="Times New Roman"/>
                <w:spacing w:val="0"/>
                <w:kern w:val="2"/>
                <w:szCs w:val="32"/>
              </w:rPr>
            </w:pPr>
            <w:r>
              <w:rPr>
                <w:rFonts w:ascii="Times New Roman" w:hAnsi="Times New Roman"/>
                <w:spacing w:val="0"/>
                <w:kern w:val="2"/>
                <w:szCs w:val="32"/>
              </w:rPr>
              <w:t>本项目在施工过程中通过采用工程措施、植物措施、临时措施和管理措施相结合的综合防护措施后，对项目区域内的水土流失影响有限。在施工期结束后水土流失就不再存在。</w:t>
            </w:r>
          </w:p>
          <w:p w14:paraId="2B3015FB">
            <w:pPr>
              <w:spacing w:line="360" w:lineRule="auto"/>
              <w:ind w:firstLine="482" w:firstLineChars="200"/>
              <w:rPr>
                <w:b/>
                <w:bCs/>
                <w:sz w:val="24"/>
              </w:rPr>
            </w:pPr>
            <w:r>
              <w:rPr>
                <w:rFonts w:hint="eastAsia"/>
                <w:b/>
                <w:bCs/>
                <w:sz w:val="24"/>
                <w:lang w:val="en-US" w:eastAsia="zh-CN"/>
              </w:rPr>
              <w:t>（4</w:t>
            </w:r>
            <w:r>
              <w:rPr>
                <w:rFonts w:hint="eastAsia"/>
                <w:b/>
                <w:bCs/>
                <w:sz w:val="24"/>
                <w:lang w:eastAsia="zh-CN"/>
              </w:rPr>
              <w:t>）</w:t>
            </w:r>
            <w:r>
              <w:rPr>
                <w:b/>
                <w:bCs/>
                <w:sz w:val="24"/>
              </w:rPr>
              <w:t>对生态红线的影响分析</w:t>
            </w:r>
          </w:p>
          <w:p w14:paraId="07A3DAF0">
            <w:pPr>
              <w:widowControl/>
              <w:spacing w:line="360" w:lineRule="auto"/>
              <w:ind w:firstLine="480" w:firstLineChars="200"/>
              <w:jc w:val="left"/>
              <w:rPr>
                <w:sz w:val="24"/>
                <w:szCs w:val="32"/>
              </w:rPr>
            </w:pPr>
            <w:r>
              <w:rPr>
                <w:kern w:val="0"/>
                <w:sz w:val="24"/>
                <w:lang w:bidi="ar"/>
              </w:rPr>
              <w:t>本项目</w:t>
            </w:r>
            <w:r>
              <w:rPr>
                <w:sz w:val="24"/>
              </w:rPr>
              <w:t>不在国家级生态保护红线区，不在生态空间管控区域</w:t>
            </w:r>
            <w:r>
              <w:rPr>
                <w:kern w:val="0"/>
                <w:sz w:val="24"/>
                <w:lang w:bidi="ar"/>
              </w:rPr>
              <w:t>。施工期建造集水池、沉砂池等水处理构筑物，对施工期废水，按其不同的性质，分类收集，施工废水经沉淀澄清后回用，可以减轻因工程建设而产生的水土流失。综上，本项目施工不占用基本农田、生态环境敏感区；项目区域内生态系统多年演变至现在，已基本稳定，工程施工不会导致区域内动植物的消失，不会造成生态系统的严重破坏，短期内生态系统即可恢复至施工前水平，本项目施工期较短，施工结束后，施工期对生态环境的影响随之消失。</w:t>
            </w:r>
          </w:p>
        </w:tc>
      </w:tr>
      <w:tr w14:paraId="66554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7" w:hRule="atLeast"/>
          <w:jc w:val="center"/>
        </w:trPr>
        <w:tc>
          <w:tcPr>
            <w:tcW w:w="531" w:type="dxa"/>
            <w:tcMar>
              <w:left w:w="28" w:type="dxa"/>
              <w:right w:w="28" w:type="dxa"/>
            </w:tcMar>
            <w:vAlign w:val="center"/>
          </w:tcPr>
          <w:p w14:paraId="0419F626">
            <w:pPr>
              <w:pStyle w:val="25"/>
              <w:adjustRightInd w:val="0"/>
              <w:snapToGrid w:val="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tc>
        <w:tc>
          <w:tcPr>
            <w:tcW w:w="9023" w:type="dxa"/>
          </w:tcPr>
          <w:p w14:paraId="4EB1BCFE">
            <w:pPr>
              <w:spacing w:line="360" w:lineRule="auto"/>
              <w:ind w:firstLine="480" w:firstLineChars="200"/>
              <w:rPr>
                <w:bCs/>
                <w:sz w:val="24"/>
                <w:szCs w:val="32"/>
              </w:rPr>
            </w:pPr>
            <w:r>
              <w:rPr>
                <w:bCs/>
                <w:sz w:val="24"/>
                <w:szCs w:val="32"/>
              </w:rPr>
              <w:t>本项目运营期生产工艺流程及产污情况如下图所示。</w:t>
            </w:r>
          </w:p>
          <w:p w14:paraId="43866D5B">
            <w:pPr>
              <w:widowControl/>
              <w:jc w:val="center"/>
              <w:rPr>
                <w:kern w:val="0"/>
                <w:sz w:val="24"/>
                <w:lang w:bidi="ar"/>
              </w:rPr>
            </w:pPr>
            <w:r>
              <w:rPr>
                <w:sz w:val="24"/>
              </w:rPr>
              <mc:AlternateContent>
                <mc:Choice Requires="wpc">
                  <w:drawing>
                    <wp:inline distT="0" distB="0" distL="114300" distR="114300">
                      <wp:extent cx="4713605" cy="1873885"/>
                      <wp:effectExtent l="0" t="0" r="0" b="0"/>
                      <wp:docPr id="14" name="画布 14"/>
                      <wp:cNvGraphicFramePr/>
                      <a:graphic xmlns:a="http://schemas.openxmlformats.org/drawingml/2006/main">
                        <a:graphicData uri="http://schemas.microsoft.com/office/word/2010/wordprocessingCanvas">
                          <wpc:wpc>
                            <wpc:bg>
                              <a:solidFill>
                                <a:srgbClr val="000000">
                                  <a:alpha val="0"/>
                                </a:srgbClr>
                              </a:solidFill>
                            </wpc:bg>
                            <wpc:whole>
                              <a:ln>
                                <a:noFill/>
                              </a:ln>
                            </wpc:whole>
                            <wps:wsp>
                              <wps:cNvPr id="1" name="矩形 1"/>
                              <wps:cNvSpPr/>
                              <wps:spPr>
                                <a:xfrm>
                                  <a:off x="183515" y="738505"/>
                                  <a:ext cx="320675" cy="797560"/>
                                </a:xfrm>
                                <a:prstGeom prst="rect">
                                  <a:avLst/>
                                </a:prstGeom>
                                <a:solidFill>
                                  <a:srgbClr val="FFFFFF"/>
                                </a:solidFill>
                                <a:ln w="19050" cap="flat" cmpd="sng">
                                  <a:solidFill>
                                    <a:srgbClr val="000000"/>
                                  </a:solidFill>
                                  <a:prstDash val="solid"/>
                                  <a:round/>
                                  <a:headEnd type="none" w="med" len="med"/>
                                  <a:tailEnd type="none" w="med" len="med"/>
                                </a:ln>
                              </wps:spPr>
                              <wps:txbx>
                                <w:txbxContent>
                                  <w:p w14:paraId="2FF23458">
                                    <w:pPr>
                                      <w:jc w:val="center"/>
                                    </w:pPr>
                                    <w:r>
                                      <w:rPr>
                                        <w:rFonts w:hint="eastAsia"/>
                                        <w:szCs w:val="21"/>
                                      </w:rPr>
                                      <w:t>光伏方阵</w:t>
                                    </w:r>
                                  </w:p>
                                </w:txbxContent>
                              </wps:txbx>
                              <wps:bodyPr anchor="ctr" anchorCtr="0" upright="1"/>
                            </wps:wsp>
                            <wps:wsp>
                              <wps:cNvPr id="6" name="直接箭头连接符 6"/>
                              <wps:cNvCnPr/>
                              <wps:spPr>
                                <a:xfrm flipV="1">
                                  <a:off x="504190" y="1109346"/>
                                  <a:ext cx="405765" cy="5715"/>
                                </a:xfrm>
                                <a:prstGeom prst="straightConnector1">
                                  <a:avLst/>
                                </a:prstGeom>
                                <a:ln w="12700" cap="flat" cmpd="sng">
                                  <a:solidFill>
                                    <a:schemeClr val="tx1"/>
                                  </a:solidFill>
                                  <a:prstDash val="solid"/>
                                  <a:round/>
                                  <a:headEnd type="none" w="med" len="med"/>
                                  <a:tailEnd type="arrow" w="med" len="med"/>
                                </a:ln>
                              </wps:spPr>
                              <wps:bodyPr/>
                            </wps:wsp>
                            <wps:wsp>
                              <wps:cNvPr id="12" name="直接连接符 12"/>
                              <wps:cNvCnPr/>
                              <wps:spPr>
                                <a:xfrm flipV="1">
                                  <a:off x="360680" y="563880"/>
                                  <a:ext cx="3810" cy="193040"/>
                                </a:xfrm>
                                <a:prstGeom prst="line">
                                  <a:avLst/>
                                </a:prstGeom>
                                <a:ln w="3175" cap="rnd" cmpd="sng">
                                  <a:solidFill>
                                    <a:srgbClr val="000000"/>
                                  </a:solidFill>
                                  <a:prstDash val="sysDot"/>
                                  <a:headEnd type="none" w="med" len="med"/>
                                  <a:tailEnd type="arrow" w="med" len="med"/>
                                </a:ln>
                                <a:effectLst/>
                              </wps:spPr>
                              <wps:bodyPr/>
                            </wps:wsp>
                            <wps:wsp>
                              <wps:cNvPr id="13" name="流程图: 过程 13"/>
                              <wps:cNvSpPr/>
                              <wps:spPr>
                                <a:xfrm>
                                  <a:off x="76200" y="118110"/>
                                  <a:ext cx="671830" cy="452755"/>
                                </a:xfrm>
                                <a:prstGeom prst="flowChartProcess">
                                  <a:avLst/>
                                </a:prstGeom>
                                <a:noFill/>
                                <a:ln w="12700" cap="flat" cmpd="sng">
                                  <a:noFill/>
                                  <a:prstDash val="sysDot"/>
                                  <a:miter/>
                                  <a:headEnd type="none" w="med" len="med"/>
                                  <a:tailEnd type="none" w="med" len="med"/>
                                </a:ln>
                                <a:effectLst/>
                              </wps:spPr>
                              <wps:txbx>
                                <w:txbxContent>
                                  <w:p w14:paraId="69426DC3">
                                    <w:pPr>
                                      <w:rPr>
                                        <w:spacing w:val="-20"/>
                                      </w:rPr>
                                    </w:pPr>
                                    <w:r>
                                      <w:rPr>
                                        <w:rFonts w:hint="eastAsia"/>
                                        <w:spacing w:val="-20"/>
                                      </w:rPr>
                                      <w:t>废光伏组件、废水</w:t>
                                    </w:r>
                                  </w:p>
                                </w:txbxContent>
                              </wps:txbx>
                              <wps:bodyPr upright="1"/>
                            </wps:wsp>
                            <wps:wsp>
                              <wps:cNvPr id="15" name="流程图: 过程 15"/>
                              <wps:cNvSpPr/>
                              <wps:spPr>
                                <a:xfrm>
                                  <a:off x="438785" y="785495"/>
                                  <a:ext cx="621030" cy="271780"/>
                                </a:xfrm>
                                <a:prstGeom prst="flowChartProcess">
                                  <a:avLst/>
                                </a:prstGeom>
                                <a:noFill/>
                                <a:ln w="12700" cap="flat" cmpd="sng">
                                  <a:noFill/>
                                  <a:prstDash val="sysDot"/>
                                  <a:miter/>
                                  <a:headEnd type="none" w="med" len="med"/>
                                  <a:tailEnd type="none" w="med" len="med"/>
                                </a:ln>
                                <a:effectLst/>
                              </wps:spPr>
                              <wps:txbx>
                                <w:txbxContent>
                                  <w:p w14:paraId="3E41CDF0">
                                    <w:pPr>
                                      <w:rPr>
                                        <w:spacing w:val="-20"/>
                                      </w:rPr>
                                    </w:pPr>
                                    <w:r>
                                      <w:rPr>
                                        <w:rFonts w:hint="eastAsia"/>
                                        <w:spacing w:val="-20"/>
                                      </w:rPr>
                                      <w:t>直流电</w:t>
                                    </w:r>
                                  </w:p>
                                </w:txbxContent>
                              </wps:txbx>
                              <wps:bodyPr upright="1"/>
                            </wps:wsp>
                            <wps:wsp>
                              <wps:cNvPr id="37" name="矩形 37"/>
                              <wps:cNvSpPr/>
                              <wps:spPr>
                                <a:xfrm>
                                  <a:off x="920750" y="781685"/>
                                  <a:ext cx="320675" cy="753110"/>
                                </a:xfrm>
                                <a:prstGeom prst="rect">
                                  <a:avLst/>
                                </a:prstGeom>
                                <a:solidFill>
                                  <a:srgbClr val="FFFFFF"/>
                                </a:solidFill>
                                <a:ln w="19050" cap="flat" cmpd="sng">
                                  <a:solidFill>
                                    <a:srgbClr val="000000"/>
                                  </a:solidFill>
                                  <a:prstDash val="solid"/>
                                  <a:round/>
                                  <a:headEnd type="none" w="med" len="med"/>
                                  <a:tailEnd type="none" w="med" len="med"/>
                                </a:ln>
                              </wps:spPr>
                              <wps:txbx>
                                <w:txbxContent>
                                  <w:p w14:paraId="705893BA">
                                    <w:pPr>
                                      <w:jc w:val="center"/>
                                    </w:pPr>
                                    <w:r>
                                      <w:rPr>
                                        <w:rFonts w:hint="eastAsia"/>
                                        <w:szCs w:val="21"/>
                                      </w:rPr>
                                      <w:t>逆变电</w:t>
                                    </w:r>
                                  </w:p>
                                </w:txbxContent>
                              </wps:txbx>
                              <wps:bodyPr anchor="ctr" anchorCtr="0" upright="1"/>
                            </wps:wsp>
                            <wps:wsp>
                              <wps:cNvPr id="38" name="流程图: 过程 38"/>
                              <wps:cNvSpPr/>
                              <wps:spPr>
                                <a:xfrm>
                                  <a:off x="1201420" y="828040"/>
                                  <a:ext cx="621030" cy="271780"/>
                                </a:xfrm>
                                <a:prstGeom prst="flowChartProcess">
                                  <a:avLst/>
                                </a:prstGeom>
                                <a:noFill/>
                                <a:ln w="12700" cap="flat" cmpd="sng">
                                  <a:noFill/>
                                  <a:prstDash val="sysDot"/>
                                  <a:miter/>
                                  <a:headEnd type="none" w="med" len="med"/>
                                  <a:tailEnd type="none" w="med" len="med"/>
                                </a:ln>
                                <a:effectLst/>
                              </wps:spPr>
                              <wps:txbx>
                                <w:txbxContent>
                                  <w:p w14:paraId="4245852C">
                                    <w:pPr>
                                      <w:rPr>
                                        <w:spacing w:val="-20"/>
                                      </w:rPr>
                                    </w:pPr>
                                    <w:r>
                                      <w:rPr>
                                        <w:rFonts w:hint="eastAsia"/>
                                        <w:spacing w:val="-20"/>
                                      </w:rPr>
                                      <w:t>交流电</w:t>
                                    </w:r>
                                  </w:p>
                                </w:txbxContent>
                              </wps:txbx>
                              <wps:bodyPr upright="1"/>
                            </wps:wsp>
                            <wps:wsp>
                              <wps:cNvPr id="39" name="直接箭头连接符 39"/>
                              <wps:cNvCnPr/>
                              <wps:spPr>
                                <a:xfrm flipV="1">
                                  <a:off x="1249680" y="1127760"/>
                                  <a:ext cx="405765" cy="5715"/>
                                </a:xfrm>
                                <a:prstGeom prst="straightConnector1">
                                  <a:avLst/>
                                </a:prstGeom>
                                <a:ln w="12700" cap="flat" cmpd="sng">
                                  <a:solidFill>
                                    <a:schemeClr val="tx1"/>
                                  </a:solidFill>
                                  <a:prstDash val="solid"/>
                                  <a:round/>
                                  <a:headEnd type="none" w="med" len="med"/>
                                  <a:tailEnd type="arrow" w="med" len="med"/>
                                </a:ln>
                              </wps:spPr>
                              <wps:bodyPr/>
                            </wps:wsp>
                            <wps:wsp>
                              <wps:cNvPr id="40" name="矩形 40"/>
                              <wps:cNvSpPr/>
                              <wps:spPr>
                                <a:xfrm>
                                  <a:off x="1656715" y="773430"/>
                                  <a:ext cx="302895" cy="753110"/>
                                </a:xfrm>
                                <a:prstGeom prst="rect">
                                  <a:avLst/>
                                </a:prstGeom>
                                <a:solidFill>
                                  <a:srgbClr val="FFFFFF"/>
                                </a:solidFill>
                                <a:ln w="19050" cap="flat" cmpd="sng">
                                  <a:solidFill>
                                    <a:srgbClr val="000000"/>
                                  </a:solidFill>
                                  <a:prstDash val="solid"/>
                                  <a:round/>
                                  <a:headEnd type="none" w="med" len="med"/>
                                  <a:tailEnd type="none" w="med" len="med"/>
                                </a:ln>
                              </wps:spPr>
                              <wps:txbx>
                                <w:txbxContent>
                                  <w:p w14:paraId="35608871">
                                    <w:pPr>
                                      <w:jc w:val="center"/>
                                    </w:pPr>
                                  </w:p>
                                  <w:p w14:paraId="0C86DE1F">
                                    <w:pPr>
                                      <w:jc w:val="center"/>
                                    </w:pPr>
                                    <w:r>
                                      <w:rPr>
                                        <w:rFonts w:hint="eastAsia"/>
                                      </w:rPr>
                                      <w:t xml:space="preserve">箱变 </w:t>
                                    </w:r>
                                  </w:p>
                                </w:txbxContent>
                              </wps:txbx>
                              <wps:bodyPr anchor="ctr" anchorCtr="0" upright="1"/>
                            </wps:wsp>
                            <wps:wsp>
                              <wps:cNvPr id="43" name="直接箭头连接符 43"/>
                              <wps:cNvCnPr/>
                              <wps:spPr>
                                <a:xfrm flipV="1">
                                  <a:off x="1977390" y="1127760"/>
                                  <a:ext cx="405765" cy="5715"/>
                                </a:xfrm>
                                <a:prstGeom prst="straightConnector1">
                                  <a:avLst/>
                                </a:prstGeom>
                                <a:ln w="12700" cap="flat" cmpd="sng">
                                  <a:solidFill>
                                    <a:schemeClr val="tx1"/>
                                  </a:solidFill>
                                  <a:prstDash val="solid"/>
                                  <a:round/>
                                  <a:headEnd type="none" w="med" len="med"/>
                                  <a:tailEnd type="arrow" w="med" len="med"/>
                                </a:ln>
                              </wps:spPr>
                              <wps:bodyPr/>
                            </wps:wsp>
                            <wps:wsp>
                              <wps:cNvPr id="44" name="矩形 44"/>
                              <wps:cNvSpPr/>
                              <wps:spPr>
                                <a:xfrm>
                                  <a:off x="2375535" y="773430"/>
                                  <a:ext cx="302895" cy="800100"/>
                                </a:xfrm>
                                <a:prstGeom prst="rect">
                                  <a:avLst/>
                                </a:prstGeom>
                                <a:solidFill>
                                  <a:srgbClr val="FFFFFF"/>
                                </a:solidFill>
                                <a:ln w="19050" cap="flat" cmpd="sng">
                                  <a:solidFill>
                                    <a:srgbClr val="000000"/>
                                  </a:solidFill>
                                  <a:prstDash val="solid"/>
                                  <a:round/>
                                  <a:headEnd type="none" w="med" len="med"/>
                                  <a:tailEnd type="none" w="med" len="med"/>
                                </a:ln>
                              </wps:spPr>
                              <wps:txbx>
                                <w:txbxContent>
                                  <w:p w14:paraId="191A4555">
                                    <w:pPr>
                                      <w:jc w:val="center"/>
                                    </w:pPr>
                                    <w:r>
                                      <w:rPr>
                                        <w:rFonts w:hint="eastAsia"/>
                                      </w:rPr>
                                      <w:t xml:space="preserve">集成线路 </w:t>
                                    </w:r>
                                  </w:p>
                                </w:txbxContent>
                              </wps:txbx>
                              <wps:bodyPr anchor="ctr" anchorCtr="0" upright="1"/>
                            </wps:wsp>
                            <wps:wsp>
                              <wps:cNvPr id="45" name="直接箭头连接符 45"/>
                              <wps:cNvCnPr/>
                              <wps:spPr>
                                <a:xfrm flipV="1">
                                  <a:off x="2678430" y="1136650"/>
                                  <a:ext cx="405765" cy="5715"/>
                                </a:xfrm>
                                <a:prstGeom prst="straightConnector1">
                                  <a:avLst/>
                                </a:prstGeom>
                                <a:ln w="12700" cap="flat" cmpd="sng">
                                  <a:solidFill>
                                    <a:schemeClr val="tx1"/>
                                  </a:solidFill>
                                  <a:prstDash val="solid"/>
                                  <a:round/>
                                  <a:headEnd type="none" w="med" len="med"/>
                                  <a:tailEnd type="arrow" w="med" len="med"/>
                                </a:ln>
                              </wps:spPr>
                              <wps:bodyPr/>
                            </wps:wsp>
                            <wps:wsp>
                              <wps:cNvPr id="46" name="矩形 46"/>
                              <wps:cNvSpPr/>
                              <wps:spPr>
                                <a:xfrm>
                                  <a:off x="3068320" y="807720"/>
                                  <a:ext cx="302895" cy="753110"/>
                                </a:xfrm>
                                <a:prstGeom prst="rect">
                                  <a:avLst/>
                                </a:prstGeom>
                                <a:solidFill>
                                  <a:srgbClr val="FFFFFF"/>
                                </a:solidFill>
                                <a:ln w="19050" cap="flat" cmpd="sng">
                                  <a:solidFill>
                                    <a:srgbClr val="000000"/>
                                  </a:solidFill>
                                  <a:prstDash val="solid"/>
                                  <a:round/>
                                  <a:headEnd type="none" w="med" len="med"/>
                                  <a:tailEnd type="none" w="med" len="med"/>
                                </a:ln>
                              </wps:spPr>
                              <wps:txbx>
                                <w:txbxContent>
                                  <w:p w14:paraId="094F11AC">
                                    <w:pPr>
                                      <w:jc w:val="center"/>
                                    </w:pPr>
                                    <w:r>
                                      <w:rPr>
                                        <w:rFonts w:hint="eastAsia"/>
                                      </w:rPr>
                                      <w:t xml:space="preserve">升压站 </w:t>
                                    </w:r>
                                  </w:p>
                                </w:txbxContent>
                              </wps:txbx>
                              <wps:bodyPr anchor="ctr" anchorCtr="0" upright="1"/>
                            </wps:wsp>
                            <wps:wsp>
                              <wps:cNvPr id="47" name="直接箭头连接符 47"/>
                              <wps:cNvCnPr/>
                              <wps:spPr>
                                <a:xfrm flipV="1">
                                  <a:off x="3380105" y="1136650"/>
                                  <a:ext cx="405765" cy="5715"/>
                                </a:xfrm>
                                <a:prstGeom prst="straightConnector1">
                                  <a:avLst/>
                                </a:prstGeom>
                                <a:ln w="12700" cap="flat" cmpd="sng">
                                  <a:solidFill>
                                    <a:schemeClr val="tx1"/>
                                  </a:solidFill>
                                  <a:prstDash val="solid"/>
                                  <a:round/>
                                  <a:headEnd type="none" w="med" len="med"/>
                                  <a:tailEnd type="arrow" w="med" len="med"/>
                                </a:ln>
                              </wps:spPr>
                              <wps:bodyPr/>
                            </wps:wsp>
                            <wps:wsp>
                              <wps:cNvPr id="48" name="矩形 48"/>
                              <wps:cNvSpPr/>
                              <wps:spPr>
                                <a:xfrm>
                                  <a:off x="3796030" y="790575"/>
                                  <a:ext cx="302895" cy="831215"/>
                                </a:xfrm>
                                <a:prstGeom prst="rect">
                                  <a:avLst/>
                                </a:prstGeom>
                                <a:solidFill>
                                  <a:srgbClr val="FFFFFF"/>
                                </a:solidFill>
                                <a:ln w="19050" cap="flat" cmpd="sng">
                                  <a:noFill/>
                                  <a:prstDash val="solid"/>
                                  <a:round/>
                                  <a:headEnd type="none" w="med" len="med"/>
                                  <a:tailEnd type="none" w="med" len="med"/>
                                </a:ln>
                              </wps:spPr>
                              <wps:txbx>
                                <w:txbxContent>
                                  <w:p w14:paraId="2C7DE937">
                                    <w:pPr>
                                      <w:jc w:val="center"/>
                                    </w:pPr>
                                    <w:r>
                                      <w:rPr>
                                        <w:rFonts w:hint="eastAsia"/>
                                      </w:rPr>
                                      <w:t xml:space="preserve">发电上网 </w:t>
                                    </w:r>
                                  </w:p>
                                </w:txbxContent>
                              </wps:txbx>
                              <wps:bodyPr anchor="ctr" anchorCtr="0" upright="1"/>
                            </wps:wsp>
                            <wps:wsp>
                              <wps:cNvPr id="49" name="流程图: 过程 49"/>
                              <wps:cNvSpPr/>
                              <wps:spPr>
                                <a:xfrm>
                                  <a:off x="793750" y="144780"/>
                                  <a:ext cx="603250" cy="461645"/>
                                </a:xfrm>
                                <a:prstGeom prst="flowChartProcess">
                                  <a:avLst/>
                                </a:prstGeom>
                                <a:noFill/>
                                <a:ln w="12700" cap="flat" cmpd="sng">
                                  <a:noFill/>
                                  <a:prstDash val="sysDot"/>
                                  <a:miter/>
                                  <a:headEnd type="none" w="med" len="med"/>
                                  <a:tailEnd type="none" w="med" len="med"/>
                                </a:ln>
                                <a:effectLst/>
                              </wps:spPr>
                              <wps:txbx>
                                <w:txbxContent>
                                  <w:p w14:paraId="3F67D31A">
                                    <w:pPr>
                                      <w:rPr>
                                        <w:spacing w:val="-20"/>
                                      </w:rPr>
                                    </w:pPr>
                                    <w:r>
                                      <w:rPr>
                                        <w:rFonts w:hint="eastAsia"/>
                                        <w:spacing w:val="-20"/>
                                      </w:rPr>
                                      <w:t>噪声、电磁辐射</w:t>
                                    </w:r>
                                  </w:p>
                                </w:txbxContent>
                              </wps:txbx>
                              <wps:bodyPr upright="1"/>
                            </wps:wsp>
                            <wps:wsp>
                              <wps:cNvPr id="50" name="直接连接符 50"/>
                              <wps:cNvCnPr/>
                              <wps:spPr>
                                <a:xfrm flipV="1">
                                  <a:off x="1088390" y="607695"/>
                                  <a:ext cx="3810" cy="193040"/>
                                </a:xfrm>
                                <a:prstGeom prst="line">
                                  <a:avLst/>
                                </a:prstGeom>
                                <a:ln w="3175" cap="rnd" cmpd="sng">
                                  <a:solidFill>
                                    <a:srgbClr val="000000"/>
                                  </a:solidFill>
                                  <a:prstDash val="sysDot"/>
                                  <a:headEnd type="none" w="med" len="med"/>
                                  <a:tailEnd type="arrow" w="med" len="med"/>
                                </a:ln>
                                <a:effectLst/>
                              </wps:spPr>
                              <wps:bodyPr/>
                            </wps:wsp>
                            <wps:wsp>
                              <wps:cNvPr id="51" name="直接连接符 51"/>
                              <wps:cNvCnPr/>
                              <wps:spPr>
                                <a:xfrm flipV="1">
                                  <a:off x="1832610" y="572770"/>
                                  <a:ext cx="3810" cy="193040"/>
                                </a:xfrm>
                                <a:prstGeom prst="line">
                                  <a:avLst/>
                                </a:prstGeom>
                                <a:ln w="3175" cap="rnd" cmpd="sng">
                                  <a:solidFill>
                                    <a:srgbClr val="000000"/>
                                  </a:solidFill>
                                  <a:prstDash val="sysDot"/>
                                  <a:headEnd type="none" w="med" len="med"/>
                                  <a:tailEnd type="arrow" w="med" len="med"/>
                                </a:ln>
                                <a:effectLst/>
                              </wps:spPr>
                              <wps:bodyPr/>
                            </wps:wsp>
                            <wps:wsp>
                              <wps:cNvPr id="52" name="直接连接符 52"/>
                              <wps:cNvCnPr/>
                              <wps:spPr>
                                <a:xfrm flipV="1">
                                  <a:off x="2508250" y="589915"/>
                                  <a:ext cx="3810" cy="193040"/>
                                </a:xfrm>
                                <a:prstGeom prst="line">
                                  <a:avLst/>
                                </a:prstGeom>
                                <a:ln w="3175" cap="rnd" cmpd="sng">
                                  <a:solidFill>
                                    <a:srgbClr val="000000"/>
                                  </a:solidFill>
                                  <a:prstDash val="sysDot"/>
                                  <a:headEnd type="none" w="med" len="med"/>
                                  <a:tailEnd type="arrow" w="med" len="med"/>
                                </a:ln>
                                <a:effectLst/>
                              </wps:spPr>
                              <wps:bodyPr/>
                            </wps:wsp>
                            <wps:wsp>
                              <wps:cNvPr id="53" name="直接连接符 53"/>
                              <wps:cNvCnPr/>
                              <wps:spPr>
                                <a:xfrm flipV="1">
                                  <a:off x="3209925" y="598805"/>
                                  <a:ext cx="3810" cy="193040"/>
                                </a:xfrm>
                                <a:prstGeom prst="line">
                                  <a:avLst/>
                                </a:prstGeom>
                                <a:ln w="3175" cap="rnd" cmpd="sng">
                                  <a:solidFill>
                                    <a:srgbClr val="000000"/>
                                  </a:solidFill>
                                  <a:prstDash val="sysDot"/>
                                  <a:headEnd type="none" w="med" len="med"/>
                                  <a:tailEnd type="arrow" w="med" len="med"/>
                                </a:ln>
                                <a:effectLst/>
                              </wps:spPr>
                              <wps:bodyPr/>
                            </wps:wsp>
                            <wps:wsp>
                              <wps:cNvPr id="54" name="流程图: 过程 54"/>
                              <wps:cNvSpPr/>
                              <wps:spPr>
                                <a:xfrm>
                                  <a:off x="1547495" y="161925"/>
                                  <a:ext cx="603250" cy="461645"/>
                                </a:xfrm>
                                <a:prstGeom prst="flowChartProcess">
                                  <a:avLst/>
                                </a:prstGeom>
                                <a:noFill/>
                                <a:ln w="12700" cap="flat" cmpd="sng">
                                  <a:noFill/>
                                  <a:prstDash val="sysDot"/>
                                  <a:miter/>
                                  <a:headEnd type="none" w="med" len="med"/>
                                  <a:tailEnd type="none" w="med" len="med"/>
                                </a:ln>
                                <a:effectLst/>
                              </wps:spPr>
                              <wps:txbx>
                                <w:txbxContent>
                                  <w:p w14:paraId="6FA5AE86">
                                    <w:pPr>
                                      <w:rPr>
                                        <w:spacing w:val="-20"/>
                                      </w:rPr>
                                    </w:pPr>
                                    <w:r>
                                      <w:rPr>
                                        <w:rFonts w:hint="eastAsia"/>
                                        <w:spacing w:val="-20"/>
                                      </w:rPr>
                                      <w:t>噪声、电磁辐射</w:t>
                                    </w:r>
                                  </w:p>
                                </w:txbxContent>
                              </wps:txbx>
                              <wps:bodyPr upright="1"/>
                            </wps:wsp>
                            <wps:wsp>
                              <wps:cNvPr id="55" name="流程图: 过程 55"/>
                              <wps:cNvSpPr/>
                              <wps:spPr>
                                <a:xfrm>
                                  <a:off x="2240280" y="135890"/>
                                  <a:ext cx="465455" cy="461645"/>
                                </a:xfrm>
                                <a:prstGeom prst="flowChartProcess">
                                  <a:avLst/>
                                </a:prstGeom>
                                <a:noFill/>
                                <a:ln w="12700" cap="flat" cmpd="sng">
                                  <a:noFill/>
                                  <a:prstDash val="sysDot"/>
                                  <a:miter/>
                                  <a:headEnd type="none" w="med" len="med"/>
                                  <a:tailEnd type="none" w="med" len="med"/>
                                </a:ln>
                                <a:effectLst/>
                              </wps:spPr>
                              <wps:txbx>
                                <w:txbxContent>
                                  <w:p w14:paraId="593F1745">
                                    <w:pPr>
                                      <w:rPr>
                                        <w:spacing w:val="-20"/>
                                      </w:rPr>
                                    </w:pPr>
                                    <w:r>
                                      <w:rPr>
                                        <w:rFonts w:hint="eastAsia"/>
                                        <w:spacing w:val="-20"/>
                                      </w:rPr>
                                      <w:t>电磁辐射</w:t>
                                    </w:r>
                                  </w:p>
                                </w:txbxContent>
                              </wps:txbx>
                              <wps:bodyPr upright="1"/>
                            </wps:wsp>
                            <wps:wsp>
                              <wps:cNvPr id="56" name="流程图: 过程 56"/>
                              <wps:cNvSpPr/>
                              <wps:spPr>
                                <a:xfrm>
                                  <a:off x="2820670" y="162560"/>
                                  <a:ext cx="906145" cy="521970"/>
                                </a:xfrm>
                                <a:prstGeom prst="flowChartProcess">
                                  <a:avLst/>
                                </a:prstGeom>
                                <a:noFill/>
                                <a:ln w="12700" cap="flat" cmpd="sng">
                                  <a:noFill/>
                                  <a:prstDash val="sysDot"/>
                                  <a:miter/>
                                  <a:headEnd type="none" w="med" len="med"/>
                                  <a:tailEnd type="none" w="med" len="med"/>
                                </a:ln>
                                <a:effectLst/>
                              </wps:spPr>
                              <wps:txbx>
                                <w:txbxContent>
                                  <w:p w14:paraId="7CD01C5A">
                                    <w:pPr>
                                      <w:rPr>
                                        <w:spacing w:val="-20"/>
                                      </w:rPr>
                                    </w:pPr>
                                    <w:r>
                                      <w:rPr>
                                        <w:rFonts w:hint="eastAsia"/>
                                        <w:spacing w:val="-20"/>
                                      </w:rPr>
                                      <w:t>废水、固废、噪声、电磁辐射</w:t>
                                    </w:r>
                                  </w:p>
                                </w:txbxContent>
                              </wps:txbx>
                              <wps:bodyPr upright="1"/>
                            </wps:wsp>
                          </wpc:wpc>
                        </a:graphicData>
                      </a:graphic>
                    </wp:inline>
                  </w:drawing>
                </mc:Choice>
                <mc:Fallback>
                  <w:pict>
                    <v:group id="_x0000_s1026" o:spid="_x0000_s1026" o:spt="203" style="height:147.55pt;width:371.15pt;" coordsize="4713605,1873885" editas="canvas" o:gfxdata="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IjT8FLVAAAABQEAAA8AAAAAAAAAAQAgAAAAIgAA&#10;AGRycy9kb3ducmV2LnhtbFBLAQIUABQAAAAIAIdO4kAeNFi9uAYAAHA2AAAOAAAAAAAAAAEAIAAA&#10;ACQBAABkcnMvZTJvRG9jLnhtbFBLBQYAAAAABgAGAFkBAABOCgAAAAA=&#10;">
                      <o:lock v:ext="edit" aspectratio="f"/>
                      <v:shape id="_x0000_s1026" o:spid="_x0000_s1026" style="position:absolute;left:0;top:0;height:1873885;width:4713605;" fillcolor="#000000" filled="t" stroked="f" coordsize="21600,21600" o:gfxdata="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CI0/BS1QAAAAUBAAAPAAAAAAAAAAEA&#10;IAAAACIAAABkcnMvZG93bnJldi54bWxQSwECFAAUAAAACACHTuJAqaqLW4YGAAAxNgAADgAAAAAA&#10;AAABACAAAAAkAQAAZHJzL2Uyb0RvYy54bWxQSwUGAAAAAAYABgBZAQAAHAoAAAAA&#10;">
                        <v:fill on="t" opacity="0f" focussize="0,0"/>
                        <v:stroke on="f"/>
                        <v:imagedata o:title=""/>
                        <o:lock v:ext="edit" aspectratio="f"/>
                      </v:shape>
                      <v:rect id="_x0000_s1026" o:spid="_x0000_s1026" o:spt="1" style="position:absolute;left:183515;top:738505;height:797560;width:320675;v-text-anchor:middle;" fillcolor="#FFFFFF" filled="t" stroked="t" coordsize="21600,21600" o:gfxdata="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nD9B9YAAAAFAQAA&#10;DwAAAAAAAAABACAAAAAiAAAAZHJzL2Rvd25yZXYueG1sUEsBAhQAFAAAAAgAh07iQDM/OCYbAgAA&#10;TgQAAA4AAAAAAAAAAQAgAAAAJQEAAGRycy9lMm9Eb2MueG1sUEsFBgAAAAAGAAYAWQEAALIFAAAA&#10;AA==&#10;">
                        <v:fill on="t" focussize="0,0"/>
                        <v:stroke weight="1.5pt" color="#000000" joinstyle="round"/>
                        <v:imagedata o:title=""/>
                        <o:lock v:ext="edit" aspectratio="f"/>
                        <v:textbox>
                          <w:txbxContent>
                            <w:p w14:paraId="2FF23458">
                              <w:pPr>
                                <w:jc w:val="center"/>
                              </w:pPr>
                              <w:r>
                                <w:rPr>
                                  <w:rFonts w:hint="eastAsia"/>
                                  <w:szCs w:val="21"/>
                                </w:rPr>
                                <w:t>光伏方阵</w:t>
                              </w:r>
                            </w:p>
                          </w:txbxContent>
                        </v:textbox>
                      </v:rect>
                      <v:shape id="_x0000_s1026" o:spid="_x0000_s1026" o:spt="32" type="#_x0000_t32" style="position:absolute;left:504190;top:1109346;flip:y;height:5715;width:405765;" filled="f" stroked="t" coordsize="21600,21600" o:gfxdata="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pOJq1gAAAAUB&#10;AAAPAAAAAAAAAAEAIAAAACIAAABkcnMvZG93bnJldi54bWxQSwECFAAUAAAACACHTuJA0UJpNB0C&#10;AAAPBAAADgAAAAAAAAABACAAAAAlAQAAZHJzL2Uyb0RvYy54bWxQSwUGAAAAAAYABgBZAQAAtAUA&#10;AAAA&#10;">
                        <v:fill on="f" focussize="0,0"/>
                        <v:stroke weight="1pt" color="#000000 [3213]" joinstyle="round" endarrow="open"/>
                        <v:imagedata o:title=""/>
                        <o:lock v:ext="edit" aspectratio="f"/>
                      </v:shape>
                      <v:line id="_x0000_s1026" o:spid="_x0000_s1026" o:spt="20" style="position:absolute;left:360680;top:563880;flip:y;height:193040;width:3810;" filled="f" stroked="t" coordsize="21600,21600" o:gfxdata="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fwj7XAAAABQEAAA8AAAAAAAAAAQAgAAAA&#10;IgAAAGRycy9kb3ducmV2LnhtbFBLAQIUABQAAAAIAIdO4kAG+IA6DAIAAP8DAAAOAAAAAAAAAAEA&#10;IAAAACYBAABkcnMvZTJvRG9jLnhtbFBLBQYAAAAABgAGAFkBAACkBQAAAAA=&#10;">
                        <v:fill on="f" focussize="0,0"/>
                        <v:stroke weight="0.25pt" color="#000000" joinstyle="round" dashstyle="1 1" endcap="round" endarrow="open"/>
                        <v:imagedata o:title=""/>
                        <o:lock v:ext="edit" aspectratio="f"/>
                      </v:line>
                      <v:shape id="_x0000_s1026" o:spid="_x0000_s1026" o:spt="109" type="#_x0000_t109" style="position:absolute;left:76200;top:118110;height:452755;width:671830;" filled="f" stroked="f" coordsize="21600,21600" o:gfxdata="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rQJpNQAAAAFAQAADwAAAAAAAAABACAAAAAi&#10;AAAAZHJzL2Rvd25yZXYueG1sUEsBAhQAFAAAAAgAh07iQJKND1UOAgAACAQAAA4AAAAAAAAAAQAg&#10;AAAAIwEAAGRycy9lMm9Eb2MueG1sUEsFBgAAAAAGAAYAWQEAAKMFAAAAAA==&#10;">
                        <v:fill on="f" focussize="0,0"/>
                        <v:stroke on="f" weight="1pt" joinstyle="miter" dashstyle="1 1"/>
                        <v:imagedata o:title=""/>
                        <o:lock v:ext="edit" aspectratio="f"/>
                        <v:textbox>
                          <w:txbxContent>
                            <w:p w14:paraId="69426DC3">
                              <w:pPr>
                                <w:rPr>
                                  <w:spacing w:val="-20"/>
                                </w:rPr>
                              </w:pPr>
                              <w:r>
                                <w:rPr>
                                  <w:rFonts w:hint="eastAsia"/>
                                  <w:spacing w:val="-20"/>
                                </w:rPr>
                                <w:t>废光伏组件、废水</w:t>
                              </w:r>
                            </w:p>
                          </w:txbxContent>
                        </v:textbox>
                      </v:shape>
                      <v:shape id="_x0000_s1026" o:spid="_x0000_s1026" o:spt="109" type="#_x0000_t109" style="position:absolute;left:438785;top:785495;height:271780;width:621030;" filled="f" stroked="f" coordsize="21600,21600" o:gfxdata="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tAmk1AAAAAUBAAAPAAAAAAAAAAEA&#10;IAAAACIAAABkcnMvZG93bnJldi54bWxQSwECFAAUAAAACACHTuJA20bjKxMCAAAJBAAADgAAAAAA&#10;AAABACAAAAAjAQAAZHJzL2Uyb0RvYy54bWxQSwUGAAAAAAYABgBZAQAAqAUAAAAA&#10;">
                        <v:fill on="f" focussize="0,0"/>
                        <v:stroke on="f" weight="1pt" joinstyle="miter" dashstyle="1 1"/>
                        <v:imagedata o:title=""/>
                        <o:lock v:ext="edit" aspectratio="f"/>
                        <v:textbox>
                          <w:txbxContent>
                            <w:p w14:paraId="3E41CDF0">
                              <w:pPr>
                                <w:rPr>
                                  <w:spacing w:val="-20"/>
                                </w:rPr>
                              </w:pPr>
                              <w:r>
                                <w:rPr>
                                  <w:rFonts w:hint="eastAsia"/>
                                  <w:spacing w:val="-20"/>
                                </w:rPr>
                                <w:t>直流电</w:t>
                              </w:r>
                            </w:p>
                          </w:txbxContent>
                        </v:textbox>
                      </v:shape>
                      <v:rect id="_x0000_s1026" o:spid="_x0000_s1026" o:spt="1" style="position:absolute;left:920750;top:781685;height:753110;width:320675;v-text-anchor:middle;" fillcolor="#FFFFFF" filled="t" stroked="t" coordsize="21600,21600" o:gfxdata="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nD9B9YAAAAF&#10;AQAADwAAAAAAAAABACAAAAAiAAAAZHJzL2Rvd25yZXYueG1sUEsBAhQAFAAAAAgAh07iQJ9eQ30e&#10;AgAAUAQAAA4AAAAAAAAAAQAgAAAAJQEAAGRycy9lMm9Eb2MueG1sUEsFBgAAAAAGAAYAWQEAALUF&#10;AAAAAA==&#10;">
                        <v:fill on="t" focussize="0,0"/>
                        <v:stroke weight="1.5pt" color="#000000" joinstyle="round"/>
                        <v:imagedata o:title=""/>
                        <o:lock v:ext="edit" aspectratio="f"/>
                        <v:textbox>
                          <w:txbxContent>
                            <w:p w14:paraId="705893BA">
                              <w:pPr>
                                <w:jc w:val="center"/>
                              </w:pPr>
                              <w:r>
                                <w:rPr>
                                  <w:rFonts w:hint="eastAsia"/>
                                  <w:szCs w:val="21"/>
                                </w:rPr>
                                <w:t>逆变电</w:t>
                              </w:r>
                            </w:p>
                          </w:txbxContent>
                        </v:textbox>
                      </v:rect>
                      <v:shape id="_x0000_s1026" o:spid="_x0000_s1026" o:spt="109" type="#_x0000_t109" style="position:absolute;left:1201420;top:828040;height:271780;width:621030;" filled="f" stroked="f" coordsize="21600,21600" o:gfxdata="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rQJpNQAAAAFAQAADwAAAAAAAAABACAA&#10;AAAiAAAAZHJzL2Rvd25yZXYueG1sUEsBAhQAFAAAAAgAh07iQPCnUZQRAgAACgQAAA4AAAAAAAAA&#10;AQAgAAAAIwEAAGRycy9lMm9Eb2MueG1sUEsFBgAAAAAGAAYAWQEAAKYFAAAAAA==&#10;">
                        <v:fill on="f" focussize="0,0"/>
                        <v:stroke on="f" weight="1pt" joinstyle="miter" dashstyle="1 1"/>
                        <v:imagedata o:title=""/>
                        <o:lock v:ext="edit" aspectratio="f"/>
                        <v:textbox>
                          <w:txbxContent>
                            <w:p w14:paraId="4245852C">
                              <w:pPr>
                                <w:rPr>
                                  <w:spacing w:val="-20"/>
                                </w:rPr>
                              </w:pPr>
                              <w:r>
                                <w:rPr>
                                  <w:rFonts w:hint="eastAsia"/>
                                  <w:spacing w:val="-20"/>
                                </w:rPr>
                                <w:t>交流电</w:t>
                              </w:r>
                            </w:p>
                          </w:txbxContent>
                        </v:textbox>
                      </v:shape>
                      <v:shape id="_x0000_s1026" o:spid="_x0000_s1026" o:spt="32" type="#_x0000_t32" style="position:absolute;left:1249680;top:1127760;flip:y;height:5715;width:405765;" filled="f" stroked="t" coordsize="21600,21600" o:gfxdata="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KTiatYAAAAF&#10;AQAADwAAAAAAAAABACAAAAAiAAAAZHJzL2Rvd25yZXYueG1sUEsBAhQAFAAAAAgAh07iQPo7aFQe&#10;AgAAEgQAAA4AAAAAAAAAAQAgAAAAJQEAAGRycy9lMm9Eb2MueG1sUEsFBgAAAAAGAAYAWQEAALUF&#10;AAAAAA==&#10;">
                        <v:fill on="f" focussize="0,0"/>
                        <v:stroke weight="1pt" color="#000000 [3213]" joinstyle="round" endarrow="open"/>
                        <v:imagedata o:title=""/>
                        <o:lock v:ext="edit" aspectratio="f"/>
                      </v:shape>
                      <v:rect id="_x0000_s1026" o:spid="_x0000_s1026" o:spt="1" style="position:absolute;left:1656715;top:773430;height:753110;width:302895;v-text-anchor:middle;" fillcolor="#FFFFFF" filled="t" stroked="t" coordsize="21600,21600" o:gfxdata="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cP0H1gAAAAUB&#10;AAAPAAAAAAAAAAEAIAAAACIAAABkcnMvZG93bnJldi54bWxQSwECFAAUAAAACACHTuJANKtkwB0C&#10;AABRBAAADgAAAAAAAAABACAAAAAlAQAAZHJzL2Uyb0RvYy54bWxQSwUGAAAAAAYABgBZAQAAtAUA&#10;AAAA&#10;">
                        <v:fill on="t" focussize="0,0"/>
                        <v:stroke weight="1.5pt" color="#000000" joinstyle="round"/>
                        <v:imagedata o:title=""/>
                        <o:lock v:ext="edit" aspectratio="f"/>
                        <v:textbox>
                          <w:txbxContent>
                            <w:p w14:paraId="35608871">
                              <w:pPr>
                                <w:jc w:val="center"/>
                              </w:pPr>
                            </w:p>
                            <w:p w14:paraId="0C86DE1F">
                              <w:pPr>
                                <w:jc w:val="center"/>
                              </w:pPr>
                              <w:r>
                                <w:rPr>
                                  <w:rFonts w:hint="eastAsia"/>
                                </w:rPr>
                                <w:t xml:space="preserve">箱变 </w:t>
                              </w:r>
                            </w:p>
                          </w:txbxContent>
                        </v:textbox>
                      </v:rect>
                      <v:shape id="_x0000_s1026" o:spid="_x0000_s1026" o:spt="32" type="#_x0000_t32" style="position:absolute;left:1977390;top:1127760;flip:y;height:5715;width:405765;" filled="f" stroked="t" coordsize="21600,21600" o:gfxdata="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k4mrWAAAA&#10;BQEAAA8AAAAAAAAAAQAgAAAAIgAAAGRycy9kb3ducmV2LnhtbFBLAQIUABQAAAAIAIdO4kB9acCK&#10;HwIAABIEAAAOAAAAAAAAAAEAIAAAACUBAABkcnMvZTJvRG9jLnhtbFBLBQYAAAAABgAGAFkBAAC2&#10;BQAAAAA=&#10;">
                        <v:fill on="f" focussize="0,0"/>
                        <v:stroke weight="1pt" color="#000000 [3213]" joinstyle="round" endarrow="open"/>
                        <v:imagedata o:title=""/>
                        <o:lock v:ext="edit" aspectratio="f"/>
                      </v:shape>
                      <v:rect id="_x0000_s1026" o:spid="_x0000_s1026" o:spt="1" style="position:absolute;left:2375535;top:773430;height:800100;width:302895;v-text-anchor:middle;" fillcolor="#FFFFFF" filled="t" stroked="t" coordsize="21600,21600" o:gfxdata="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cP0H1gAAAAUB&#10;AAAPAAAAAAAAAAEAIAAAACIAAABkcnMvZG93bnJldi54bWxQSwECFAAUAAAACACHTuJAvGXB7B0C&#10;AABRBAAADgAAAAAAAAABACAAAAAlAQAAZHJzL2Uyb0RvYy54bWxQSwUGAAAAAAYABgBZAQAAtAUA&#10;AAAA&#10;">
                        <v:fill on="t" focussize="0,0"/>
                        <v:stroke weight="1.5pt" color="#000000" joinstyle="round"/>
                        <v:imagedata o:title=""/>
                        <o:lock v:ext="edit" aspectratio="f"/>
                        <v:textbox>
                          <w:txbxContent>
                            <w:p w14:paraId="191A4555">
                              <w:pPr>
                                <w:jc w:val="center"/>
                              </w:pPr>
                              <w:r>
                                <w:rPr>
                                  <w:rFonts w:hint="eastAsia"/>
                                </w:rPr>
                                <w:t xml:space="preserve">集成线路 </w:t>
                              </w:r>
                            </w:p>
                          </w:txbxContent>
                        </v:textbox>
                      </v:rect>
                      <v:shape id="_x0000_s1026" o:spid="_x0000_s1026" o:spt="32" type="#_x0000_t32" style="position:absolute;left:2678430;top:1136650;flip:y;height:5715;width:405765;" filled="f" stroked="t" coordsize="21600,21600" o:gfxdata="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KTiatYA&#10;AAAFAQAADwAAAAAAAAABACAAAAAiAAAAZHJzL2Rvd25yZXYueG1sUEsBAhQAFAAAAAgAh07iQA86&#10;WLghAgAAEgQAAA4AAAAAAAAAAQAgAAAAJQEAAGRycy9lMm9Eb2MueG1sUEsFBgAAAAAGAAYAWQEA&#10;ALgFAAAAAA==&#10;">
                        <v:fill on="f" focussize="0,0"/>
                        <v:stroke weight="1pt" color="#000000 [3213]" joinstyle="round" endarrow="open"/>
                        <v:imagedata o:title=""/>
                        <o:lock v:ext="edit" aspectratio="f"/>
                      </v:shape>
                      <v:rect id="_x0000_s1026" o:spid="_x0000_s1026" o:spt="1" style="position:absolute;left:3068320;top:807720;height:753110;width:302895;v-text-anchor:middle;" fillcolor="#FFFFFF" filled="t" stroked="t" coordsize="21600,21600" o:gfxdata="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cP0H1gAAAAUB&#10;AAAPAAAAAAAAAAEAIAAAACIAAABkcnMvZG93bnJldi54bWxQSwECFAAUAAAACACHTuJAoe0+Bh0C&#10;AABRBAAADgAAAAAAAAABACAAAAAlAQAAZHJzL2Uyb0RvYy54bWxQSwUGAAAAAAYABgBZAQAAtAUA&#10;AAAA&#10;">
                        <v:fill on="t" focussize="0,0"/>
                        <v:stroke weight="1.5pt" color="#000000" joinstyle="round"/>
                        <v:imagedata o:title=""/>
                        <o:lock v:ext="edit" aspectratio="f"/>
                        <v:textbox>
                          <w:txbxContent>
                            <w:p w14:paraId="094F11AC">
                              <w:pPr>
                                <w:jc w:val="center"/>
                              </w:pPr>
                              <w:r>
                                <w:rPr>
                                  <w:rFonts w:hint="eastAsia"/>
                                </w:rPr>
                                <w:t xml:space="preserve">升压站 </w:t>
                              </w:r>
                            </w:p>
                          </w:txbxContent>
                        </v:textbox>
                      </v:rect>
                      <v:shape id="_x0000_s1026" o:spid="_x0000_s1026" o:spt="32" type="#_x0000_t32" style="position:absolute;left:3380105;top:1136650;flip:y;height:5715;width:405765;" filled="f" stroked="t" coordsize="21600,21600" o:gfxdata="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KTiatYAAAAF&#10;AQAADwAAAAAAAAABACAAAAAiAAAAZHJzL2Rvd25yZXYueG1sUEsBAhQAFAAAAAgAh07iQFGUJp4e&#10;AgAAEgQAAA4AAAAAAAAAAQAgAAAAJQEAAGRycy9lMm9Eb2MueG1sUEsFBgAAAAAGAAYAWQEAALUF&#10;AAAAAA==&#10;">
                        <v:fill on="f" focussize="0,0"/>
                        <v:stroke weight="1pt" color="#000000 [3213]" joinstyle="round" endarrow="open"/>
                        <v:imagedata o:title=""/>
                        <o:lock v:ext="edit" aspectratio="f"/>
                      </v:shape>
                      <v:rect id="_x0000_s1026" o:spid="_x0000_s1026" o:spt="1" style="position:absolute;left:3796030;top:790575;height:831215;width:302895;v-text-anchor:middle;" fillcolor="#FFFFFF" filled="t" stroked="f" coordsize="21600,21600" o:gfxdata="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2Y23vWAAAABQEAAA8AAAAA&#10;AAAAAQAgAAAAIgAAAGRycy9kb3ducmV2LnhtbFBLAQIUABQAAAAIAIdO4kA8hu4XFgIAACgEAAAO&#10;AAAAAAAAAAEAIAAAACUBAABkcnMvZTJvRG9jLnhtbFBLBQYAAAAABgAGAFkBAACtBQAAAAA=&#10;">
                        <v:fill on="t" focussize="0,0"/>
                        <v:stroke on="f" weight="1.5pt" joinstyle="round"/>
                        <v:imagedata o:title=""/>
                        <o:lock v:ext="edit" aspectratio="f"/>
                        <v:textbox>
                          <w:txbxContent>
                            <w:p w14:paraId="2C7DE937">
                              <w:pPr>
                                <w:jc w:val="center"/>
                              </w:pPr>
                              <w:r>
                                <w:rPr>
                                  <w:rFonts w:hint="eastAsia"/>
                                </w:rPr>
                                <w:t xml:space="preserve">发电上网 </w:t>
                              </w:r>
                            </w:p>
                          </w:txbxContent>
                        </v:textbox>
                      </v:rect>
                      <v:shape id="_x0000_s1026" o:spid="_x0000_s1026" o:spt="109" type="#_x0000_t109" style="position:absolute;left:793750;top:144780;height:461645;width:603250;" filled="f" stroked="f" coordsize="21600,21600" o:gfxdata="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rQJpNQAAAAFAQAADwAAAAAAAAABACAA&#10;AAAiAAAAZHJzL2Rvd25yZXYueG1sUEsBAhQAFAAAAAgAh07iQMmh6qURAgAACQQAAA4AAAAAAAAA&#10;AQAgAAAAIwEAAGRycy9lMm9Eb2MueG1sUEsFBgAAAAAGAAYAWQEAAKYFAAAAAA==&#10;">
                        <v:fill on="f" focussize="0,0"/>
                        <v:stroke on="f" weight="1pt" joinstyle="miter" dashstyle="1 1"/>
                        <v:imagedata o:title=""/>
                        <o:lock v:ext="edit" aspectratio="f"/>
                        <v:textbox>
                          <w:txbxContent>
                            <w:p w14:paraId="3F67D31A">
                              <w:pPr>
                                <w:rPr>
                                  <w:spacing w:val="-20"/>
                                </w:rPr>
                              </w:pPr>
                              <w:r>
                                <w:rPr>
                                  <w:rFonts w:hint="eastAsia"/>
                                  <w:spacing w:val="-20"/>
                                </w:rPr>
                                <w:t>噪声、电磁辐射</w:t>
                              </w:r>
                            </w:p>
                          </w:txbxContent>
                        </v:textbox>
                      </v:shape>
                      <v:line id="_x0000_s1026" o:spid="_x0000_s1026" o:spt="20" style="position:absolute;left:1088390;top:607695;flip:y;height:193040;width:3810;" filled="f" stroked="t" coordsize="21600,21600" o:gfxdata="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38I+1wAAAAUBAAAPAAAAAAAAAAEA&#10;IAAAACIAAABkcnMvZG93bnJldi54bWxQSwECFAAUAAAACACHTuJADO2W1BACAAAABAAADgAAAAAA&#10;AAABACAAAAAmAQAAZHJzL2Uyb0RvYy54bWxQSwUGAAAAAAYABgBZAQAAqAUAAAAA&#10;">
                        <v:fill on="f" focussize="0,0"/>
                        <v:stroke weight="0.25pt" color="#000000" joinstyle="round" dashstyle="1 1" endcap="round" endarrow="open"/>
                        <v:imagedata o:title=""/>
                        <o:lock v:ext="edit" aspectratio="f"/>
                      </v:line>
                      <v:line id="_x0000_s1026" o:spid="_x0000_s1026" o:spt="20" style="position:absolute;left:1832610;top:572770;flip:y;height:193040;width:3810;" filled="f" stroked="t" coordsize="21600,21600" o:gfxdata="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9/CPtcAAAAFAQAADwAAAAAAAAABACAA&#10;AAAiAAAAZHJzL2Rvd25yZXYueG1sUEsBAhQAFAAAAAgAh07iQORwU8YOAgAAAAQAAA4AAAAAAAAA&#10;AQAgAAAAJgEAAGRycy9lMm9Eb2MueG1sUEsFBgAAAAAGAAYAWQEAAKYFAAAAAA==&#10;">
                        <v:fill on="f" focussize="0,0"/>
                        <v:stroke weight="0.25pt" color="#000000" joinstyle="round" dashstyle="1 1" endcap="round" endarrow="open"/>
                        <v:imagedata o:title=""/>
                        <o:lock v:ext="edit" aspectratio="f"/>
                      </v:line>
                      <v:line id="_x0000_s1026" o:spid="_x0000_s1026" o:spt="20" style="position:absolute;left:2508250;top:589915;flip:y;height:193040;width:3810;" filled="f" stroked="t" coordsize="21600,21600" o:gfxdata="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38I+1wAAAAUBAAAPAAAAAAAAAAEA&#10;IAAAACIAAABkcnMvZG93bnJldi54bWxQSwECFAAUAAAACACHTuJAURuADBACAAAABAAADgAAAAAA&#10;AAABACAAAAAmAQAAZHJzL2Uyb0RvYy54bWxQSwUGAAAAAAYABgBZAQAAqAUAAAAA&#10;">
                        <v:fill on="f" focussize="0,0"/>
                        <v:stroke weight="0.25pt" color="#000000" joinstyle="round" dashstyle="1 1" endcap="round" endarrow="open"/>
                        <v:imagedata o:title=""/>
                        <o:lock v:ext="edit" aspectratio="f"/>
                      </v:line>
                      <v:line id="_x0000_s1026" o:spid="_x0000_s1026" o:spt="20" style="position:absolute;left:3209925;top:598805;flip:y;height:193040;width:3810;" filled="f" stroked="t" coordsize="21600,21600" o:gfxdata="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9/CPtcAAAAFAQAADwAAAAAAAAAB&#10;ACAAAAAiAAAAZHJzL2Rvd25yZXYueG1sUEsBAhQAFAAAAAgAh07iQBM6RBoRAgAAAAQAAA4AAAAA&#10;AAAAAQAgAAAAJgEAAGRycy9lMm9Eb2MueG1sUEsFBgAAAAAGAAYAWQEAAKkFAAAAAA==&#10;">
                        <v:fill on="f" focussize="0,0"/>
                        <v:stroke weight="0.25pt" color="#000000" joinstyle="round" dashstyle="1 1" endcap="round" endarrow="open"/>
                        <v:imagedata o:title=""/>
                        <o:lock v:ext="edit" aspectratio="f"/>
                      </v:line>
                      <v:shape id="_x0000_s1026" o:spid="_x0000_s1026" o:spt="109" type="#_x0000_t109" style="position:absolute;left:1547495;top:161925;height:461645;width:603250;" filled="f" stroked="f" coordsize="21600,21600" o:gfxdata="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rQJpNQAAAAFAQAADwAAAAAAAAAB&#10;ACAAAAAiAAAAZHJzL2Rvd25yZXYueG1sUEsBAhQAFAAAAAgAh07iQDWNxHgUAgAACgQAAA4AAAAA&#10;AAAAAQAgAAAAIwEAAGRycy9lMm9Eb2MueG1sUEsFBgAAAAAGAAYAWQEAAKkFAAAAAA==&#10;">
                        <v:fill on="f" focussize="0,0"/>
                        <v:stroke on="f" weight="1pt" joinstyle="miter" dashstyle="1 1"/>
                        <v:imagedata o:title=""/>
                        <o:lock v:ext="edit" aspectratio="f"/>
                        <v:textbox>
                          <w:txbxContent>
                            <w:p w14:paraId="6FA5AE86">
                              <w:pPr>
                                <w:rPr>
                                  <w:spacing w:val="-20"/>
                                </w:rPr>
                              </w:pPr>
                              <w:r>
                                <w:rPr>
                                  <w:rFonts w:hint="eastAsia"/>
                                  <w:spacing w:val="-20"/>
                                </w:rPr>
                                <w:t>噪声、电磁辐射</w:t>
                              </w:r>
                            </w:p>
                          </w:txbxContent>
                        </v:textbox>
                      </v:shape>
                      <v:shape id="_x0000_s1026" o:spid="_x0000_s1026" o:spt="109" type="#_x0000_t109" style="position:absolute;left:2240280;top:135890;height:461645;width:465455;" filled="f" stroked="f" coordsize="21600,21600" o:gfxdata="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tAmk1AAAAAUBAAAPAAAAAAAAAAEA&#10;IAAAACIAAABkcnMvZG93bnJldi54bWxQSwECFAAUAAAACACHTuJAB3RWCxMCAAAKBAAADgAAAAAA&#10;AAABACAAAAAjAQAAZHJzL2Uyb0RvYy54bWxQSwUGAAAAAAYABgBZAQAAqAUAAAAA&#10;">
                        <v:fill on="f" focussize="0,0"/>
                        <v:stroke on="f" weight="1pt" joinstyle="miter" dashstyle="1 1"/>
                        <v:imagedata o:title=""/>
                        <o:lock v:ext="edit" aspectratio="f"/>
                        <v:textbox>
                          <w:txbxContent>
                            <w:p w14:paraId="593F1745">
                              <w:pPr>
                                <w:rPr>
                                  <w:spacing w:val="-20"/>
                                </w:rPr>
                              </w:pPr>
                              <w:r>
                                <w:rPr>
                                  <w:rFonts w:hint="eastAsia"/>
                                  <w:spacing w:val="-20"/>
                                </w:rPr>
                                <w:t>电磁辐射</w:t>
                              </w:r>
                            </w:p>
                          </w:txbxContent>
                        </v:textbox>
                      </v:shape>
                      <v:shape id="_x0000_s1026" o:spid="_x0000_s1026" o:spt="109" type="#_x0000_t109" style="position:absolute;left:2820670;top:162560;height:521970;width:906145;" filled="f" stroked="f" coordsize="21600,21600" o:gfxdata="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tAmk1AAAAAUBAAAPAAAAAAAAAAEA&#10;IAAAACIAAABkcnMvZG93bnJldi54bWxQSwECFAAUAAAACACHTuJArgyk2RMCAAAKBAAADgAAAAAA&#10;AAABACAAAAAjAQAAZHJzL2Uyb0RvYy54bWxQSwUGAAAAAAYABgBZAQAAqAUAAAAA&#10;">
                        <v:fill on="f" focussize="0,0"/>
                        <v:stroke on="f" weight="1pt" joinstyle="miter" dashstyle="1 1"/>
                        <v:imagedata o:title=""/>
                        <o:lock v:ext="edit" aspectratio="f"/>
                        <v:textbox>
                          <w:txbxContent>
                            <w:p w14:paraId="7CD01C5A">
                              <w:pPr>
                                <w:rPr>
                                  <w:spacing w:val="-20"/>
                                </w:rPr>
                              </w:pPr>
                              <w:r>
                                <w:rPr>
                                  <w:rFonts w:hint="eastAsia"/>
                                  <w:spacing w:val="-20"/>
                                </w:rPr>
                                <w:t>废水、固废、噪声、电磁辐射</w:t>
                              </w:r>
                            </w:p>
                          </w:txbxContent>
                        </v:textbox>
                      </v:shape>
                      <w10:wrap type="none"/>
                      <w10:anchorlock/>
                    </v:group>
                  </w:pict>
                </mc:Fallback>
              </mc:AlternateContent>
            </w:r>
          </w:p>
          <w:p w14:paraId="30BABCD5">
            <w:pPr>
              <w:tabs>
                <w:tab w:val="left" w:pos="2851"/>
              </w:tabs>
              <w:ind w:firstLine="24" w:firstLineChars="10"/>
              <w:jc w:val="center"/>
              <w:rPr>
                <w:b/>
                <w:sz w:val="24"/>
              </w:rPr>
            </w:pPr>
            <w:r>
              <w:rPr>
                <w:b/>
                <w:sz w:val="24"/>
              </w:rPr>
              <w:t>图4-1 项目运营期工艺流程及排污节点示意图</w:t>
            </w:r>
          </w:p>
          <w:p w14:paraId="39EDF980">
            <w:pPr>
              <w:spacing w:line="360" w:lineRule="auto"/>
              <w:ind w:firstLine="480" w:firstLineChars="200"/>
              <w:rPr>
                <w:bCs/>
                <w:sz w:val="24"/>
              </w:rPr>
            </w:pPr>
            <w:r>
              <w:rPr>
                <w:bCs/>
                <w:sz w:val="24"/>
              </w:rPr>
              <w:t>运营期工艺流程简述：</w:t>
            </w:r>
          </w:p>
          <w:p w14:paraId="667D4B41">
            <w:pPr>
              <w:pStyle w:val="10"/>
              <w:widowControl w:val="0"/>
              <w:snapToGrid/>
              <w:spacing w:before="0" w:after="0" w:line="360" w:lineRule="auto"/>
              <w:ind w:right="0" w:firstLine="480" w:firstLineChars="200"/>
              <w:rPr>
                <w:bCs/>
                <w:sz w:val="24"/>
                <w:szCs w:val="24"/>
              </w:rPr>
            </w:pPr>
            <w:r>
              <w:rPr>
                <w:bCs/>
                <w:sz w:val="24"/>
                <w:szCs w:val="24"/>
              </w:rPr>
              <w:t>项目太阳能电池子方阵由太阳能电池组串、汇流设备、逆变设备及升压设备构成。光伏组串经日光照射后，形成低压直流电。光伏组串直接接入逆变器，逆变器将光伏组件发出的直流电逆变为交流电输出，接入变压器升压至35kV。再由35kV集电线路接入220kV升压站的35kV母线，最终以220kV电压等级接入电网。</w:t>
            </w:r>
          </w:p>
          <w:p w14:paraId="5C0FB654">
            <w:pPr>
              <w:pStyle w:val="10"/>
              <w:widowControl w:val="0"/>
              <w:snapToGrid/>
              <w:spacing w:before="0" w:after="0" w:line="360" w:lineRule="auto"/>
              <w:ind w:right="0" w:firstLine="480" w:firstLineChars="200"/>
              <w:rPr>
                <w:bCs/>
                <w:sz w:val="24"/>
                <w:szCs w:val="24"/>
              </w:rPr>
            </w:pPr>
            <w:r>
              <w:rPr>
                <w:bCs/>
                <w:sz w:val="24"/>
                <w:szCs w:val="24"/>
              </w:rPr>
              <w:t>项目主要污染物产生情况见下表。</w:t>
            </w:r>
          </w:p>
          <w:p w14:paraId="77D39007">
            <w:pPr>
              <w:pStyle w:val="5"/>
              <w:numPr>
                <w:ilvl w:val="0"/>
                <w:numId w:val="0"/>
              </w:numPr>
              <w:ind w:firstLine="482" w:firstLineChars="200"/>
              <w:jc w:val="center"/>
              <w:rPr>
                <w:b/>
                <w:bCs/>
                <w:sz w:val="24"/>
                <w:szCs w:val="24"/>
              </w:rPr>
            </w:pPr>
            <w:r>
              <w:rPr>
                <w:b/>
                <w:bCs/>
                <w:sz w:val="24"/>
                <w:szCs w:val="24"/>
              </w:rPr>
              <w:t>表4-</w:t>
            </w:r>
            <w:r>
              <w:rPr>
                <w:rFonts w:hint="eastAsia"/>
                <w:b/>
                <w:bCs/>
                <w:sz w:val="24"/>
                <w:szCs w:val="24"/>
                <w:lang w:val="en-US" w:eastAsia="zh-CN"/>
              </w:rPr>
              <w:t>5</w:t>
            </w:r>
            <w:r>
              <w:rPr>
                <w:b/>
                <w:bCs/>
                <w:sz w:val="24"/>
                <w:szCs w:val="24"/>
              </w:rPr>
              <w:t xml:space="preserve"> 项目的主要产污工段及污染物</w:t>
            </w:r>
          </w:p>
          <w:tbl>
            <w:tblPr>
              <w:tblStyle w:val="29"/>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674"/>
              <w:gridCol w:w="4801"/>
            </w:tblGrid>
            <w:tr w14:paraId="24E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2" w:type="pct"/>
                  <w:tcBorders>
                    <w:tl2br w:val="nil"/>
                    <w:tr2bl w:val="nil"/>
                  </w:tcBorders>
                  <w:vAlign w:val="center"/>
                </w:tcPr>
                <w:p w14:paraId="6DC22D69">
                  <w:pPr>
                    <w:spacing w:line="320" w:lineRule="exact"/>
                    <w:jc w:val="center"/>
                    <w:rPr>
                      <w:b/>
                      <w:bCs/>
                      <w:szCs w:val="21"/>
                    </w:rPr>
                  </w:pPr>
                  <w:r>
                    <w:rPr>
                      <w:b/>
                      <w:bCs/>
                      <w:szCs w:val="21"/>
                    </w:rPr>
                    <w:t>污染物类型</w:t>
                  </w:r>
                </w:p>
              </w:tc>
              <w:tc>
                <w:tcPr>
                  <w:tcW w:w="1523" w:type="pct"/>
                  <w:tcBorders>
                    <w:tl2br w:val="nil"/>
                    <w:tr2bl w:val="nil"/>
                  </w:tcBorders>
                  <w:vAlign w:val="center"/>
                </w:tcPr>
                <w:p w14:paraId="1EB3C4D8">
                  <w:pPr>
                    <w:spacing w:line="320" w:lineRule="exact"/>
                    <w:jc w:val="center"/>
                    <w:rPr>
                      <w:b/>
                      <w:bCs/>
                      <w:szCs w:val="21"/>
                    </w:rPr>
                  </w:pPr>
                  <w:r>
                    <w:rPr>
                      <w:b/>
                      <w:bCs/>
                      <w:szCs w:val="21"/>
                    </w:rPr>
                    <w:t>产生工序</w:t>
                  </w:r>
                </w:p>
              </w:tc>
              <w:tc>
                <w:tcPr>
                  <w:tcW w:w="2734" w:type="pct"/>
                  <w:tcBorders>
                    <w:tl2br w:val="nil"/>
                    <w:tr2bl w:val="nil"/>
                  </w:tcBorders>
                  <w:vAlign w:val="center"/>
                </w:tcPr>
                <w:p w14:paraId="4DA83FC2">
                  <w:pPr>
                    <w:spacing w:line="320" w:lineRule="exact"/>
                    <w:jc w:val="center"/>
                    <w:rPr>
                      <w:b/>
                      <w:bCs/>
                      <w:szCs w:val="21"/>
                    </w:rPr>
                  </w:pPr>
                  <w:r>
                    <w:rPr>
                      <w:b/>
                      <w:bCs/>
                      <w:szCs w:val="21"/>
                    </w:rPr>
                    <w:t>污染因子</w:t>
                  </w:r>
                </w:p>
              </w:tc>
            </w:tr>
            <w:tr w14:paraId="4437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42" w:type="pct"/>
                  <w:tcBorders>
                    <w:tl2br w:val="nil"/>
                    <w:tr2bl w:val="nil"/>
                  </w:tcBorders>
                  <w:vAlign w:val="center"/>
                </w:tcPr>
                <w:p w14:paraId="6E9B7672">
                  <w:pPr>
                    <w:spacing w:line="320" w:lineRule="exact"/>
                    <w:jc w:val="center"/>
                    <w:rPr>
                      <w:szCs w:val="21"/>
                    </w:rPr>
                  </w:pPr>
                  <w:r>
                    <w:rPr>
                      <w:szCs w:val="21"/>
                    </w:rPr>
                    <w:t>废气</w:t>
                  </w:r>
                </w:p>
              </w:tc>
              <w:tc>
                <w:tcPr>
                  <w:tcW w:w="1523" w:type="pct"/>
                  <w:tcBorders>
                    <w:tl2br w:val="nil"/>
                    <w:tr2bl w:val="nil"/>
                  </w:tcBorders>
                  <w:vAlign w:val="center"/>
                </w:tcPr>
                <w:p w14:paraId="2E3121B2">
                  <w:pPr>
                    <w:spacing w:line="320" w:lineRule="exact"/>
                    <w:jc w:val="center"/>
                    <w:rPr>
                      <w:szCs w:val="21"/>
                    </w:rPr>
                  </w:pPr>
                  <w:r>
                    <w:rPr>
                      <w:szCs w:val="21"/>
                    </w:rPr>
                    <w:t>-</w:t>
                  </w:r>
                </w:p>
              </w:tc>
              <w:tc>
                <w:tcPr>
                  <w:tcW w:w="2734" w:type="pct"/>
                  <w:tcBorders>
                    <w:tl2br w:val="nil"/>
                    <w:tr2bl w:val="nil"/>
                  </w:tcBorders>
                  <w:vAlign w:val="center"/>
                </w:tcPr>
                <w:p w14:paraId="3C6622C1">
                  <w:pPr>
                    <w:spacing w:line="320" w:lineRule="exact"/>
                    <w:jc w:val="center"/>
                    <w:rPr>
                      <w:szCs w:val="21"/>
                    </w:rPr>
                  </w:pPr>
                  <w:r>
                    <w:rPr>
                      <w:szCs w:val="21"/>
                    </w:rPr>
                    <w:t>-</w:t>
                  </w:r>
                </w:p>
              </w:tc>
            </w:tr>
            <w:tr w14:paraId="6DB5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742" w:type="pct"/>
                  <w:vMerge w:val="restart"/>
                  <w:tcBorders>
                    <w:tl2br w:val="nil"/>
                    <w:tr2bl w:val="nil"/>
                  </w:tcBorders>
                  <w:vAlign w:val="center"/>
                </w:tcPr>
                <w:p w14:paraId="750B9381">
                  <w:pPr>
                    <w:spacing w:line="320" w:lineRule="exact"/>
                    <w:jc w:val="center"/>
                    <w:rPr>
                      <w:szCs w:val="21"/>
                    </w:rPr>
                  </w:pPr>
                  <w:r>
                    <w:rPr>
                      <w:szCs w:val="21"/>
                    </w:rPr>
                    <w:t>废水</w:t>
                  </w:r>
                </w:p>
              </w:tc>
              <w:tc>
                <w:tcPr>
                  <w:tcW w:w="1523" w:type="pct"/>
                  <w:tcBorders>
                    <w:tl2br w:val="nil"/>
                    <w:tr2bl w:val="nil"/>
                  </w:tcBorders>
                  <w:vAlign w:val="center"/>
                </w:tcPr>
                <w:p w14:paraId="3BEB1085">
                  <w:pPr>
                    <w:spacing w:line="320" w:lineRule="exact"/>
                    <w:jc w:val="center"/>
                    <w:rPr>
                      <w:szCs w:val="21"/>
                    </w:rPr>
                  </w:pPr>
                  <w:r>
                    <w:rPr>
                      <w:szCs w:val="21"/>
                    </w:rPr>
                    <w:t>职工生活</w:t>
                  </w:r>
                </w:p>
              </w:tc>
              <w:tc>
                <w:tcPr>
                  <w:tcW w:w="2734" w:type="pct"/>
                  <w:tcBorders>
                    <w:tl2br w:val="nil"/>
                    <w:tr2bl w:val="nil"/>
                  </w:tcBorders>
                  <w:vAlign w:val="center"/>
                </w:tcPr>
                <w:p w14:paraId="6FED5014">
                  <w:pPr>
                    <w:spacing w:line="320" w:lineRule="exact"/>
                    <w:jc w:val="center"/>
                    <w:rPr>
                      <w:szCs w:val="21"/>
                    </w:rPr>
                  </w:pPr>
                  <w:r>
                    <w:t>pH、COD、SS、NH</w:t>
                  </w:r>
                  <w:r>
                    <w:rPr>
                      <w:vertAlign w:val="subscript"/>
                    </w:rPr>
                    <w:t>3</w:t>
                  </w:r>
                  <w:r>
                    <w:t>-N、TP、TN</w:t>
                  </w:r>
                </w:p>
              </w:tc>
            </w:tr>
            <w:tr w14:paraId="38B7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742" w:type="pct"/>
                  <w:vMerge w:val="continue"/>
                  <w:tcBorders>
                    <w:tl2br w:val="nil"/>
                    <w:tr2bl w:val="nil"/>
                  </w:tcBorders>
                  <w:vAlign w:val="center"/>
                </w:tcPr>
                <w:p w14:paraId="681EC31B">
                  <w:pPr>
                    <w:spacing w:line="320" w:lineRule="exact"/>
                    <w:jc w:val="center"/>
                    <w:rPr>
                      <w:szCs w:val="21"/>
                    </w:rPr>
                  </w:pPr>
                </w:p>
              </w:tc>
              <w:tc>
                <w:tcPr>
                  <w:tcW w:w="1523" w:type="pct"/>
                  <w:tcBorders>
                    <w:tl2br w:val="nil"/>
                    <w:tr2bl w:val="nil"/>
                  </w:tcBorders>
                  <w:vAlign w:val="center"/>
                </w:tcPr>
                <w:p w14:paraId="0FE9D0F0">
                  <w:pPr>
                    <w:spacing w:line="320" w:lineRule="exact"/>
                    <w:jc w:val="center"/>
                    <w:rPr>
                      <w:szCs w:val="21"/>
                    </w:rPr>
                  </w:pPr>
                  <w:r>
                    <w:rPr>
                      <w:szCs w:val="21"/>
                    </w:rPr>
                    <w:t>清洗废水</w:t>
                  </w:r>
                </w:p>
              </w:tc>
              <w:tc>
                <w:tcPr>
                  <w:tcW w:w="2734" w:type="pct"/>
                  <w:tcBorders>
                    <w:tl2br w:val="nil"/>
                    <w:tr2bl w:val="nil"/>
                  </w:tcBorders>
                  <w:vAlign w:val="center"/>
                </w:tcPr>
                <w:p w14:paraId="6BE8CEC6">
                  <w:pPr>
                    <w:spacing w:line="320" w:lineRule="exact"/>
                    <w:jc w:val="center"/>
                    <w:rPr>
                      <w:szCs w:val="21"/>
                    </w:rPr>
                  </w:pPr>
                  <w:r>
                    <w:rPr>
                      <w:szCs w:val="21"/>
                    </w:rPr>
                    <w:t>SS</w:t>
                  </w:r>
                </w:p>
              </w:tc>
            </w:tr>
            <w:tr w14:paraId="1C4A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tcBorders>
                    <w:tl2br w:val="nil"/>
                    <w:tr2bl w:val="nil"/>
                  </w:tcBorders>
                  <w:vAlign w:val="center"/>
                </w:tcPr>
                <w:p w14:paraId="6FC1BC85">
                  <w:pPr>
                    <w:spacing w:line="320" w:lineRule="exact"/>
                    <w:jc w:val="center"/>
                    <w:rPr>
                      <w:szCs w:val="21"/>
                    </w:rPr>
                  </w:pPr>
                  <w:r>
                    <w:rPr>
                      <w:szCs w:val="21"/>
                    </w:rPr>
                    <w:t>固废</w:t>
                  </w:r>
                </w:p>
              </w:tc>
              <w:tc>
                <w:tcPr>
                  <w:tcW w:w="1523" w:type="pct"/>
                  <w:tcBorders>
                    <w:tl2br w:val="nil"/>
                    <w:tr2bl w:val="nil"/>
                  </w:tcBorders>
                  <w:vAlign w:val="center"/>
                </w:tcPr>
                <w:p w14:paraId="4E5C3BFA">
                  <w:pPr>
                    <w:spacing w:line="320" w:lineRule="exact"/>
                    <w:jc w:val="center"/>
                    <w:rPr>
                      <w:szCs w:val="21"/>
                    </w:rPr>
                  </w:pPr>
                  <w:r>
                    <w:rPr>
                      <w:szCs w:val="21"/>
                    </w:rPr>
                    <w:t>光伏场区</w:t>
                  </w:r>
                </w:p>
              </w:tc>
              <w:tc>
                <w:tcPr>
                  <w:tcW w:w="2734" w:type="pct"/>
                  <w:tcBorders>
                    <w:tl2br w:val="nil"/>
                    <w:tr2bl w:val="nil"/>
                  </w:tcBorders>
                  <w:vAlign w:val="center"/>
                </w:tcPr>
                <w:p w14:paraId="20C10FC3">
                  <w:pPr>
                    <w:spacing w:line="320" w:lineRule="exact"/>
                    <w:jc w:val="center"/>
                    <w:rPr>
                      <w:szCs w:val="21"/>
                    </w:rPr>
                  </w:pPr>
                  <w:r>
                    <w:rPr>
                      <w:szCs w:val="21"/>
                    </w:rPr>
                    <w:t>废光伏组件</w:t>
                  </w:r>
                </w:p>
              </w:tc>
            </w:tr>
            <w:tr w14:paraId="5799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tcBorders>
                    <w:tl2br w:val="nil"/>
                    <w:tr2bl w:val="nil"/>
                  </w:tcBorders>
                  <w:vAlign w:val="center"/>
                </w:tcPr>
                <w:p w14:paraId="5BBBC532">
                  <w:pPr>
                    <w:spacing w:line="320" w:lineRule="exact"/>
                    <w:jc w:val="center"/>
                    <w:rPr>
                      <w:szCs w:val="21"/>
                    </w:rPr>
                  </w:pPr>
                  <w:r>
                    <w:rPr>
                      <w:szCs w:val="21"/>
                    </w:rPr>
                    <w:t>噪声</w:t>
                  </w:r>
                </w:p>
              </w:tc>
              <w:tc>
                <w:tcPr>
                  <w:tcW w:w="1523" w:type="pct"/>
                  <w:tcBorders>
                    <w:tl2br w:val="nil"/>
                    <w:tr2bl w:val="nil"/>
                  </w:tcBorders>
                  <w:vAlign w:val="center"/>
                </w:tcPr>
                <w:p w14:paraId="60423307">
                  <w:pPr>
                    <w:spacing w:line="320" w:lineRule="exact"/>
                    <w:jc w:val="center"/>
                    <w:rPr>
                      <w:szCs w:val="21"/>
                    </w:rPr>
                  </w:pPr>
                  <w:r>
                    <w:rPr>
                      <w:szCs w:val="21"/>
                    </w:rPr>
                    <w:t>-</w:t>
                  </w:r>
                </w:p>
              </w:tc>
              <w:tc>
                <w:tcPr>
                  <w:tcW w:w="2734" w:type="pct"/>
                  <w:tcBorders>
                    <w:tl2br w:val="nil"/>
                    <w:tr2bl w:val="nil"/>
                  </w:tcBorders>
                  <w:vAlign w:val="center"/>
                </w:tcPr>
                <w:p w14:paraId="481D46CA">
                  <w:pPr>
                    <w:spacing w:line="320" w:lineRule="exact"/>
                    <w:jc w:val="center"/>
                    <w:rPr>
                      <w:szCs w:val="21"/>
                    </w:rPr>
                  </w:pPr>
                  <w:r>
                    <w:rPr>
                      <w:szCs w:val="21"/>
                    </w:rPr>
                    <w:t>-</w:t>
                  </w:r>
                </w:p>
              </w:tc>
            </w:tr>
          </w:tbl>
          <w:p w14:paraId="6EAB2671">
            <w:pPr>
              <w:adjustRightInd w:val="0"/>
              <w:snapToGrid w:val="0"/>
              <w:spacing w:line="360" w:lineRule="auto"/>
              <w:ind w:firstLine="482" w:firstLineChars="200"/>
              <w:rPr>
                <w:b/>
                <w:sz w:val="24"/>
              </w:rPr>
            </w:pPr>
            <w:r>
              <w:rPr>
                <w:b/>
                <w:sz w:val="24"/>
              </w:rPr>
              <w:t>一、营运期大气环境影响分析</w:t>
            </w:r>
          </w:p>
          <w:p w14:paraId="179DF848">
            <w:pPr>
              <w:pStyle w:val="10"/>
              <w:widowControl w:val="0"/>
              <w:snapToGrid/>
              <w:spacing w:before="0" w:after="0" w:line="360" w:lineRule="auto"/>
              <w:ind w:right="0" w:firstLine="480" w:firstLineChars="200"/>
              <w:rPr>
                <w:bCs/>
                <w:sz w:val="24"/>
                <w:szCs w:val="24"/>
              </w:rPr>
            </w:pPr>
            <w:r>
              <w:rPr>
                <w:rFonts w:hint="eastAsia"/>
                <w:color w:val="000000"/>
                <w:sz w:val="24"/>
              </w:rPr>
              <w:t>本项目在运营期不排放废气。光伏发电是一种清洁的能源，</w:t>
            </w:r>
            <w:r>
              <w:rPr>
                <w:rFonts w:hint="eastAsia"/>
                <w:color w:val="000000"/>
                <w:sz w:val="24"/>
                <w:lang w:val="en-US" w:eastAsia="zh-CN"/>
              </w:rPr>
              <w:t>既</w:t>
            </w:r>
            <w:r>
              <w:rPr>
                <w:rFonts w:hint="eastAsia"/>
                <w:color w:val="000000"/>
                <w:sz w:val="24"/>
              </w:rPr>
              <w:t>不直接消耗资源，同时又不释放污染物，也不产生温室气体破坏大气环境，对减轻环境污染、保护生态环境作用显著，具有较好的环保效益</w:t>
            </w:r>
            <w:r>
              <w:rPr>
                <w:bCs/>
                <w:sz w:val="24"/>
                <w:szCs w:val="24"/>
              </w:rPr>
              <w:t>。</w:t>
            </w:r>
          </w:p>
          <w:p w14:paraId="31BFAACF">
            <w:pPr>
              <w:adjustRightInd w:val="0"/>
              <w:snapToGrid w:val="0"/>
              <w:spacing w:line="360" w:lineRule="auto"/>
              <w:ind w:firstLine="482" w:firstLineChars="200"/>
              <w:rPr>
                <w:b/>
                <w:sz w:val="24"/>
              </w:rPr>
            </w:pPr>
            <w:r>
              <w:rPr>
                <w:b/>
                <w:sz w:val="24"/>
              </w:rPr>
              <w:t>二、营运期水环境影响分析</w:t>
            </w:r>
          </w:p>
          <w:p w14:paraId="5DD33CB5">
            <w:pPr>
              <w:pStyle w:val="98"/>
              <w:spacing w:line="360" w:lineRule="auto"/>
              <w:ind w:firstLine="482" w:firstLineChars="200"/>
              <w:jc w:val="both"/>
              <w:rPr>
                <w:rFonts w:ascii="Times New Roman" w:cs="Times New Roman"/>
                <w:b/>
                <w:bCs/>
                <w:color w:val="auto"/>
              </w:rPr>
            </w:pPr>
            <w:r>
              <w:rPr>
                <w:rFonts w:ascii="Times New Roman" w:cs="Times New Roman"/>
                <w:b/>
                <w:bCs/>
                <w:color w:val="auto"/>
              </w:rPr>
              <w:t>1、废水产污环节</w:t>
            </w:r>
          </w:p>
          <w:p w14:paraId="31C17A22">
            <w:pPr>
              <w:pStyle w:val="98"/>
              <w:spacing w:line="360" w:lineRule="auto"/>
              <w:ind w:firstLine="480" w:firstLineChars="200"/>
              <w:jc w:val="both"/>
              <w:rPr>
                <w:sz w:val="24"/>
              </w:rPr>
            </w:pPr>
            <w:r>
              <w:rPr>
                <w:rFonts w:hint="eastAsia"/>
                <w:sz w:val="24"/>
                <w:lang w:val="en-US" w:eastAsia="zh-CN"/>
              </w:rPr>
              <w:t>本</w:t>
            </w:r>
            <w:r>
              <w:rPr>
                <w:sz w:val="24"/>
              </w:rPr>
              <w:t>项目</w:t>
            </w:r>
            <w:r>
              <w:rPr>
                <w:b w:val="0"/>
                <w:bCs/>
                <w:sz w:val="24"/>
              </w:rPr>
              <w:t>营运期</w:t>
            </w:r>
            <w:r>
              <w:rPr>
                <w:sz w:val="24"/>
              </w:rPr>
              <w:t>废水主要为光伏板清洗废水</w:t>
            </w:r>
            <w:r>
              <w:rPr>
                <w:rFonts w:hint="eastAsia"/>
                <w:sz w:val="24"/>
                <w:lang w:eastAsia="zh-CN"/>
              </w:rPr>
              <w:t>，</w:t>
            </w:r>
            <w:r>
              <w:rPr>
                <w:sz w:val="24"/>
              </w:rPr>
              <w:t>清洗废水直接</w:t>
            </w:r>
            <w:r>
              <w:rPr>
                <w:bCs/>
                <w:sz w:val="24"/>
              </w:rPr>
              <w:t>排入坑塘水面内</w:t>
            </w:r>
            <w:r>
              <w:rPr>
                <w:sz w:val="24"/>
              </w:rPr>
              <w:t>。</w:t>
            </w:r>
          </w:p>
          <w:p w14:paraId="00D22403">
            <w:pPr>
              <w:pStyle w:val="98"/>
              <w:spacing w:line="360" w:lineRule="auto"/>
              <w:ind w:firstLine="482" w:firstLineChars="200"/>
              <w:jc w:val="both"/>
              <w:rPr>
                <w:rFonts w:ascii="Times New Roman" w:cs="Times New Roman"/>
                <w:b/>
                <w:bCs/>
                <w:color w:val="auto"/>
              </w:rPr>
            </w:pPr>
            <w:r>
              <w:rPr>
                <w:rFonts w:ascii="Times New Roman" w:cs="Times New Roman"/>
                <w:b/>
                <w:bCs/>
                <w:color w:val="auto"/>
              </w:rPr>
              <w:t>2、废水源强分析</w:t>
            </w:r>
          </w:p>
          <w:p w14:paraId="134BD7C0">
            <w:pPr>
              <w:spacing w:line="360" w:lineRule="auto"/>
              <w:ind w:firstLine="480" w:firstLineChars="200"/>
              <w:rPr>
                <w:bCs/>
                <w:sz w:val="24"/>
              </w:rPr>
            </w:pPr>
            <w:r>
              <w:rPr>
                <w:kern w:val="0"/>
                <w:sz w:val="24"/>
              </w:rPr>
              <w:t>光伏组件表面为玻璃结构、倾斜安装且采用自洁涂层、光滑度高，因此表面不易沉积杂物和积尘，日常灰尘粘结可通过降雨清洁，为保证稳定的发电效果，需定期对光伏电池表面进行清洗</w:t>
            </w:r>
            <w:r>
              <w:rPr>
                <w:sz w:val="24"/>
              </w:rPr>
              <w:t>。</w:t>
            </w:r>
            <w:r>
              <w:rPr>
                <w:bCs/>
                <w:sz w:val="24"/>
              </w:rPr>
              <w:t>清洗方式采用清水清洗，不添加任何清洁剂清洗，采用移动水泵清洗光伏组件表面，将光伏组件表面灰尘颗粒吹落，清洗水自然下落。清洗时间安排在日出前或日落后。</w:t>
            </w:r>
            <w:r>
              <w:rPr>
                <w:sz w:val="24"/>
                <w:szCs w:val="23"/>
              </w:rPr>
              <w:t>每3个月能将光伏组件全部清洗1次，</w:t>
            </w:r>
            <w:r>
              <w:rPr>
                <w:kern w:val="0"/>
                <w:sz w:val="24"/>
              </w:rPr>
              <w:t>类比同类项目，清洗用水量按1L/块·次计算，项目</w:t>
            </w:r>
            <w:r>
              <w:rPr>
                <w:sz w:val="24"/>
                <w:szCs w:val="23"/>
              </w:rPr>
              <w:t>共</w:t>
            </w:r>
            <w:r>
              <w:rPr>
                <w:rFonts w:hint="eastAsia"/>
                <w:sz w:val="24"/>
                <w:szCs w:val="23"/>
                <w:lang w:val="en-GB" w:eastAsia="zh-CN"/>
              </w:rPr>
              <w:t>485272</w:t>
            </w:r>
            <w:r>
              <w:rPr>
                <w:sz w:val="24"/>
                <w:szCs w:val="23"/>
              </w:rPr>
              <w:t>块太阳能</w:t>
            </w:r>
            <w:r>
              <w:rPr>
                <w:kern w:val="0"/>
                <w:sz w:val="24"/>
              </w:rPr>
              <w:t>组件，则冲洗水量</w:t>
            </w:r>
            <w:r>
              <w:rPr>
                <w:rFonts w:hint="eastAsia"/>
                <w:kern w:val="0"/>
                <w:sz w:val="24"/>
                <w:lang w:val="en-US" w:eastAsia="zh-CN"/>
              </w:rPr>
              <w:t>约为485.3</w:t>
            </w:r>
            <w:r>
              <w:rPr>
                <w:kern w:val="0"/>
                <w:sz w:val="24"/>
              </w:rPr>
              <w:t>m</w:t>
            </w:r>
            <w:r>
              <w:rPr>
                <w:kern w:val="0"/>
                <w:sz w:val="24"/>
                <w:vertAlign w:val="superscript"/>
              </w:rPr>
              <w:t>3</w:t>
            </w:r>
            <w:r>
              <w:rPr>
                <w:kern w:val="0"/>
                <w:sz w:val="24"/>
              </w:rPr>
              <w:t>/次，</w:t>
            </w:r>
            <w:r>
              <w:rPr>
                <w:rFonts w:hint="eastAsia"/>
                <w:kern w:val="0"/>
                <w:sz w:val="24"/>
                <w:lang w:val="en-US" w:eastAsia="zh-CN"/>
              </w:rPr>
              <w:t>1941.2</w:t>
            </w:r>
            <w:r>
              <w:rPr>
                <w:kern w:val="0"/>
                <w:sz w:val="24"/>
              </w:rPr>
              <w:t>m</w:t>
            </w:r>
            <w:r>
              <w:rPr>
                <w:kern w:val="0"/>
                <w:sz w:val="24"/>
                <w:vertAlign w:val="superscript"/>
              </w:rPr>
              <w:t>3</w:t>
            </w:r>
            <w:r>
              <w:rPr>
                <w:kern w:val="0"/>
                <w:sz w:val="24"/>
              </w:rPr>
              <w:t>/a</w:t>
            </w:r>
            <w:r>
              <w:rPr>
                <w:sz w:val="24"/>
                <w:szCs w:val="23"/>
              </w:rPr>
              <w:t>。</w:t>
            </w:r>
            <w:r>
              <w:rPr>
                <w:sz w:val="24"/>
                <w:szCs w:val="21"/>
              </w:rPr>
              <w:t>污水排放量按其用水量的80%计，则光伏组件的冲洗废水排放量为</w:t>
            </w:r>
            <w:r>
              <w:rPr>
                <w:rFonts w:hint="eastAsia"/>
                <w:sz w:val="24"/>
                <w:szCs w:val="21"/>
                <w:lang w:val="en-US" w:eastAsia="zh-CN"/>
              </w:rPr>
              <w:t>388.24</w:t>
            </w:r>
            <w:r>
              <w:rPr>
                <w:sz w:val="24"/>
                <w:szCs w:val="21"/>
              </w:rPr>
              <w:t>t/次（</w:t>
            </w:r>
            <w:r>
              <w:rPr>
                <w:rFonts w:hint="eastAsia"/>
                <w:sz w:val="24"/>
                <w:szCs w:val="21"/>
                <w:lang w:val="en-US" w:eastAsia="zh-CN"/>
              </w:rPr>
              <w:t>1552.96</w:t>
            </w:r>
            <w:r>
              <w:rPr>
                <w:sz w:val="24"/>
                <w:szCs w:val="21"/>
              </w:rPr>
              <w:t>t/a）</w:t>
            </w:r>
            <w:r>
              <w:rPr>
                <w:bCs/>
                <w:sz w:val="24"/>
              </w:rPr>
              <w:t>，清洗过程中产生的废水除含SS外无其他污染物质，</w:t>
            </w:r>
            <w:r>
              <w:rPr>
                <w:kern w:val="0"/>
                <w:sz w:val="24"/>
              </w:rPr>
              <w:t>悬浮物浓度一般在10~20mg/L</w:t>
            </w:r>
            <w:r>
              <w:rPr>
                <w:bCs/>
                <w:sz w:val="24"/>
              </w:rPr>
              <w:t>。</w:t>
            </w:r>
          </w:p>
          <w:p w14:paraId="48790C6C">
            <w:pPr>
              <w:spacing w:line="360" w:lineRule="auto"/>
              <w:ind w:firstLine="482" w:firstLineChars="200"/>
              <w:textAlignment w:val="baseline"/>
              <w:rPr>
                <w:b/>
                <w:bCs/>
                <w:sz w:val="24"/>
              </w:rPr>
            </w:pPr>
            <w:r>
              <w:rPr>
                <w:rFonts w:hint="eastAsia"/>
                <w:b/>
                <w:bCs/>
                <w:sz w:val="24"/>
                <w:lang w:val="en-US" w:eastAsia="zh-CN"/>
              </w:rPr>
              <w:t>3、</w:t>
            </w:r>
            <w:r>
              <w:rPr>
                <w:b/>
                <w:bCs/>
                <w:sz w:val="24"/>
              </w:rPr>
              <w:t>清洗废水处理措施可行性分析</w:t>
            </w:r>
          </w:p>
          <w:p w14:paraId="07D3EDDF">
            <w:pPr>
              <w:spacing w:line="360" w:lineRule="auto"/>
              <w:ind w:firstLine="480" w:firstLineChars="200"/>
              <w:textAlignment w:val="baseline"/>
            </w:pPr>
            <w:r>
              <w:rPr>
                <w:bCs/>
                <w:sz w:val="24"/>
              </w:rPr>
              <w:t>光伏电板表面存在少量泥沙类悬浮物，清洗过程中产生的废水除含SS外无其他污染物质，</w:t>
            </w:r>
            <w:r>
              <w:rPr>
                <w:kern w:val="0"/>
                <w:sz w:val="24"/>
              </w:rPr>
              <w:t>性质与雨水基本相同，悬浮物浓度一般在10~20mg/L，</w:t>
            </w:r>
            <w:r>
              <w:rPr>
                <w:bCs/>
                <w:sz w:val="24"/>
              </w:rPr>
              <w:t>产生的清洗废水排放至光伏板下方鱼塘作为鱼塘补给用水，对水体水质基本无影响</w:t>
            </w:r>
            <w:r>
              <w:rPr>
                <w:sz w:val="24"/>
              </w:rPr>
              <w:t>。</w:t>
            </w:r>
          </w:p>
          <w:p w14:paraId="31AF941E">
            <w:pPr>
              <w:keepNext w:val="0"/>
              <w:keepLines w:val="0"/>
              <w:pageBreakBefore w:val="0"/>
              <w:widowControl w:val="0"/>
              <w:numPr>
                <w:ilvl w:val="0"/>
                <w:numId w:val="9"/>
              </w:numPr>
              <w:kinsoku/>
              <w:wordWrap/>
              <w:overflowPunct/>
              <w:topLinePunct w:val="0"/>
              <w:autoSpaceDE/>
              <w:autoSpaceDN/>
              <w:bidi w:val="0"/>
              <w:spacing w:line="360" w:lineRule="auto"/>
              <w:ind w:firstLine="482" w:firstLineChars="200"/>
              <w:textAlignment w:val="auto"/>
              <w:rPr>
                <w:b/>
                <w:sz w:val="24"/>
              </w:rPr>
            </w:pPr>
            <w:r>
              <w:rPr>
                <w:b/>
                <w:sz w:val="24"/>
              </w:rPr>
              <w:t>营运期声环境影响分析</w:t>
            </w:r>
          </w:p>
          <w:p w14:paraId="530C384C">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bCs/>
              </w:rPr>
            </w:pPr>
            <w:r>
              <w:rPr>
                <w:rFonts w:hint="eastAsia" w:ascii="Times New Roman" w:hAnsi="Times New Roman" w:eastAsia="宋体" w:cs="Times New Roman"/>
                <w:bCs/>
                <w:kern w:val="2"/>
                <w:sz w:val="24"/>
                <w:szCs w:val="24"/>
                <w:lang w:val="en-US" w:eastAsia="zh-CN" w:bidi="ar-SA"/>
              </w:rPr>
              <w:t>本</w:t>
            </w:r>
            <w:r>
              <w:rPr>
                <w:rFonts w:ascii="Times New Roman" w:hAnsi="Times New Roman" w:eastAsia="宋体" w:cs="Times New Roman"/>
                <w:bCs/>
                <w:kern w:val="2"/>
                <w:sz w:val="24"/>
                <w:szCs w:val="24"/>
                <w:lang w:val="en-US" w:eastAsia="zh-CN" w:bidi="ar-SA"/>
              </w:rPr>
              <w:t>运行期噪声源主要有逆变器，逆变器噪声较小，源强小于 45dB（A）。因此，本项目噪声对周围环境影响较小。</w:t>
            </w:r>
          </w:p>
          <w:p w14:paraId="7B909D9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sz w:val="24"/>
              </w:rPr>
            </w:pPr>
            <w:r>
              <w:rPr>
                <w:b/>
                <w:sz w:val="24"/>
              </w:rPr>
              <w:t>四、运营期固体废物影响分析</w:t>
            </w:r>
          </w:p>
          <w:p w14:paraId="46D00864">
            <w:pPr>
              <w:adjustRightInd w:val="0"/>
              <w:snapToGrid w:val="0"/>
              <w:spacing w:line="360" w:lineRule="auto"/>
              <w:ind w:firstLine="476" w:firstLineChars="200"/>
              <w:rPr>
                <w:bCs/>
                <w:sz w:val="24"/>
              </w:rPr>
            </w:pPr>
            <w:r>
              <w:rPr>
                <w:spacing w:val="-1"/>
                <w:sz w:val="24"/>
                <w:szCs w:val="24"/>
              </w:rPr>
              <w:t>项目运营期间，本项目产生的固体废物为废旧太阳能电池组件。厂区内不设置一般固废堆</w:t>
            </w:r>
            <w:r>
              <w:rPr>
                <w:rFonts w:hint="eastAsia"/>
                <w:spacing w:val="-1"/>
                <w:sz w:val="24"/>
                <w:szCs w:val="24"/>
                <w:lang w:val="en-US" w:eastAsia="zh-CN"/>
              </w:rPr>
              <w:t>暂</w:t>
            </w:r>
            <w:r>
              <w:rPr>
                <w:spacing w:val="-1"/>
                <w:sz w:val="24"/>
                <w:szCs w:val="24"/>
              </w:rPr>
              <w:t>存点，废旧太阳能电池组件产生后即由生产厂家回收</w:t>
            </w:r>
            <w:r>
              <w:rPr>
                <w:bCs/>
                <w:sz w:val="24"/>
              </w:rPr>
              <w:t>。</w:t>
            </w:r>
          </w:p>
          <w:p w14:paraId="0EB38885">
            <w:pPr>
              <w:adjustRightInd w:val="0"/>
              <w:snapToGrid w:val="0"/>
              <w:spacing w:line="360" w:lineRule="auto"/>
              <w:ind w:firstLine="482" w:firstLineChars="200"/>
              <w:rPr>
                <w:b/>
                <w:sz w:val="24"/>
              </w:rPr>
            </w:pPr>
            <w:r>
              <w:rPr>
                <w:b/>
                <w:sz w:val="24"/>
              </w:rPr>
              <w:t>六、运营期生态环境影响分析</w:t>
            </w:r>
          </w:p>
          <w:p w14:paraId="3E8420D9">
            <w:pPr>
              <w:adjustRightInd w:val="0"/>
              <w:snapToGrid w:val="0"/>
              <w:spacing w:line="360" w:lineRule="auto"/>
              <w:ind w:firstLine="480" w:firstLineChars="200"/>
              <w:rPr>
                <w:bCs/>
                <w:sz w:val="24"/>
              </w:rPr>
            </w:pPr>
            <w:r>
              <w:rPr>
                <w:bCs/>
                <w:sz w:val="24"/>
              </w:rPr>
              <w:t>太阳能光伏发电站的建设为绿色无污染能源，运营期对当地的生态环境带来的影响较小，其主要生态环境影响如下：</w:t>
            </w:r>
          </w:p>
          <w:p w14:paraId="68DEE872">
            <w:pPr>
              <w:adjustRightInd w:val="0"/>
              <w:snapToGrid w:val="0"/>
              <w:spacing w:line="360" w:lineRule="auto"/>
              <w:ind w:firstLine="482" w:firstLineChars="200"/>
              <w:rPr>
                <w:b/>
                <w:sz w:val="24"/>
              </w:rPr>
            </w:pPr>
            <w:r>
              <w:rPr>
                <w:b/>
                <w:sz w:val="24"/>
              </w:rPr>
              <w:t>1、对水生动植物的影响</w:t>
            </w:r>
          </w:p>
          <w:p w14:paraId="5B1D222C">
            <w:pPr>
              <w:adjustRightInd w:val="0"/>
              <w:snapToGrid w:val="0"/>
              <w:spacing w:line="360" w:lineRule="auto"/>
              <w:ind w:firstLine="480" w:firstLineChars="200"/>
              <w:rPr>
                <w:bCs/>
                <w:sz w:val="24"/>
              </w:rPr>
            </w:pPr>
            <w:r>
              <w:rPr>
                <w:bCs/>
                <w:sz w:val="24"/>
              </w:rPr>
              <w:t>项目长期占用坑塘水面，光伏电板的遮挡作用使水面形成人为阴影区，对水体自净能力、水体含氧量、水生动植物生态环境情况会产生不同程度影响。水体自净能力由水体物理、化学、生物化学净化能力决定，其中，生物化学净化是水体自净的主要原因。项目大面积遮光会降低水生生物光合作用产氧量和改变水生动植物生态环境，可能会削弱部分水体化学净化和生物氧化作用。</w:t>
            </w:r>
          </w:p>
          <w:p w14:paraId="533C882C">
            <w:pPr>
              <w:adjustRightInd w:val="0"/>
              <w:snapToGrid w:val="0"/>
              <w:spacing w:line="360" w:lineRule="auto"/>
              <w:ind w:firstLine="480" w:firstLineChars="200"/>
              <w:rPr>
                <w:bCs/>
                <w:sz w:val="24"/>
              </w:rPr>
            </w:pPr>
            <w:r>
              <w:rPr>
                <w:bCs/>
                <w:sz w:val="24"/>
              </w:rPr>
              <w:t>但与此同时，项目在炎热季节也能为水生生物提供庇护所，故项目加大每个矩阵间的间隙，可缓解部分由于缺少光照对水体产生的影响，项目对水生动植物影响较小。</w:t>
            </w:r>
          </w:p>
          <w:p w14:paraId="06C17C1E">
            <w:pPr>
              <w:adjustRightInd w:val="0"/>
              <w:snapToGrid w:val="0"/>
              <w:spacing w:line="360" w:lineRule="auto"/>
              <w:ind w:firstLine="482" w:firstLineChars="200"/>
              <w:rPr>
                <w:b/>
                <w:sz w:val="24"/>
              </w:rPr>
            </w:pPr>
            <w:r>
              <w:rPr>
                <w:b/>
                <w:sz w:val="24"/>
              </w:rPr>
              <w:t>2、对鱼类的影响</w:t>
            </w:r>
          </w:p>
          <w:p w14:paraId="58457920">
            <w:pPr>
              <w:adjustRightInd w:val="0"/>
              <w:snapToGrid w:val="0"/>
              <w:spacing w:line="360" w:lineRule="auto"/>
              <w:ind w:firstLine="480" w:firstLineChars="200"/>
              <w:rPr>
                <w:bCs/>
                <w:sz w:val="24"/>
              </w:rPr>
            </w:pPr>
            <w:r>
              <w:rPr>
                <w:bCs/>
                <w:sz w:val="24"/>
              </w:rPr>
              <w:t>本项目所利用的坑塘，主要功能为灌溉，水域内主要为人工养殖的经济鱼类，如鲢、草、鲤、鲫等，无种鱼产卵场、鱼苗索饵场。“渔光互补”条件下水产养殖存在的主要问题是电路板遮挡阳光造成水温偏低，会对水产的正常生长有一定的影响。本项目设计时，一方面加大组件之间的间距，形成了良好的日照、通风、降温环境，另一方面采取科学选择养殖品种及鱼种混养方式，减小对鱼类养殖的影响。</w:t>
            </w:r>
          </w:p>
          <w:p w14:paraId="7603901C">
            <w:pPr>
              <w:adjustRightInd w:val="0"/>
              <w:snapToGrid w:val="0"/>
              <w:spacing w:line="360" w:lineRule="auto"/>
              <w:ind w:firstLine="482" w:firstLineChars="200"/>
              <w:rPr>
                <w:b/>
                <w:sz w:val="24"/>
              </w:rPr>
            </w:pPr>
            <w:r>
              <w:rPr>
                <w:b/>
                <w:sz w:val="24"/>
              </w:rPr>
              <w:t>3、对鸟类影响</w:t>
            </w:r>
          </w:p>
          <w:p w14:paraId="5BDD0130">
            <w:pPr>
              <w:adjustRightInd w:val="0"/>
              <w:snapToGrid w:val="0"/>
              <w:spacing w:line="360" w:lineRule="auto"/>
              <w:ind w:firstLine="480" w:firstLineChars="200"/>
              <w:rPr>
                <w:bCs/>
                <w:sz w:val="24"/>
              </w:rPr>
            </w:pPr>
            <w:r>
              <w:rPr>
                <w:bCs/>
                <w:sz w:val="24"/>
              </w:rPr>
              <w:t>（1）光污染影响</w:t>
            </w:r>
          </w:p>
          <w:p w14:paraId="3803935F">
            <w:pPr>
              <w:adjustRightInd w:val="0"/>
              <w:snapToGrid w:val="0"/>
              <w:spacing w:line="360" w:lineRule="auto"/>
              <w:ind w:firstLine="480" w:firstLineChars="200"/>
              <w:rPr>
                <w:bCs/>
                <w:sz w:val="24"/>
              </w:rPr>
            </w:pPr>
            <w:r>
              <w:rPr>
                <w:bCs/>
                <w:sz w:val="24"/>
              </w:rPr>
              <w:t>项目运营期，项目所在地无乔木林鸟较少，人为干扰生态环境的鱼塘环境本就不是水鸟的主要觅食、做窝的主要场所，且项目区临近生态空间管控区临河口湿地生态环境，鸟类主要集中在保护地内。光的折射在白天大部分时间在南北方向无遮挡，因此对鸟类的光影响也相对较小。</w:t>
            </w:r>
          </w:p>
          <w:p w14:paraId="69C95F1C">
            <w:pPr>
              <w:adjustRightInd w:val="0"/>
              <w:snapToGrid w:val="0"/>
              <w:spacing w:line="360" w:lineRule="auto"/>
              <w:ind w:firstLine="480" w:firstLineChars="200"/>
              <w:rPr>
                <w:bCs/>
                <w:sz w:val="24"/>
              </w:rPr>
            </w:pPr>
            <w:r>
              <w:rPr>
                <w:bCs/>
                <w:sz w:val="24"/>
              </w:rPr>
              <w:t>（2）噪音影响</w:t>
            </w:r>
          </w:p>
          <w:p w14:paraId="6F380526">
            <w:pPr>
              <w:adjustRightInd w:val="0"/>
              <w:snapToGrid w:val="0"/>
              <w:spacing w:line="360" w:lineRule="auto"/>
              <w:ind w:firstLine="480" w:firstLineChars="200"/>
              <w:rPr>
                <w:bCs/>
                <w:sz w:val="24"/>
              </w:rPr>
            </w:pPr>
            <w:r>
              <w:rPr>
                <w:bCs/>
                <w:sz w:val="24"/>
              </w:rPr>
              <w:t>项目运营期间，噪声主要来自</w:t>
            </w:r>
            <w:r>
              <w:rPr>
                <w:rFonts w:ascii="Times New Roman" w:hAnsi="Times New Roman" w:eastAsia="宋体" w:cs="Times New Roman"/>
                <w:bCs/>
                <w:kern w:val="2"/>
                <w:sz w:val="24"/>
                <w:szCs w:val="24"/>
                <w:lang w:val="en-US" w:eastAsia="zh-CN" w:bidi="ar-SA"/>
              </w:rPr>
              <w:t>逆变器，逆变器噪声较小，</w:t>
            </w:r>
            <w:r>
              <w:rPr>
                <w:bCs/>
                <w:sz w:val="24"/>
              </w:rPr>
              <w:t>但</w:t>
            </w:r>
            <w:r>
              <w:rPr>
                <w:rFonts w:ascii="Times New Roman" w:hAnsi="Times New Roman" w:eastAsia="宋体" w:cs="Times New Roman"/>
                <w:bCs/>
                <w:kern w:val="2"/>
                <w:sz w:val="24"/>
                <w:szCs w:val="24"/>
                <w:lang w:val="en-US" w:eastAsia="zh-CN" w:bidi="ar-SA"/>
              </w:rPr>
              <w:t>源强小于 45dB（A）</w:t>
            </w:r>
            <w:r>
              <w:rPr>
                <w:bCs/>
                <w:sz w:val="24"/>
              </w:rPr>
              <w:t>。</w:t>
            </w:r>
            <w:r>
              <w:rPr>
                <w:rFonts w:hint="eastAsia"/>
                <w:bCs/>
                <w:sz w:val="24"/>
                <w:lang w:val="en-US" w:eastAsia="zh-CN"/>
              </w:rPr>
              <w:t>且</w:t>
            </w:r>
            <w:r>
              <w:rPr>
                <w:bCs/>
                <w:sz w:val="24"/>
              </w:rPr>
              <w:t>周边较为空旷，且周围人工鱼塘等生态环境也会对噪音产生一定的吸收。同时，主变压器安装在距离临洪河湿地较远区域。此外，鸟类具有较强的适应性，在一段时期后，鸟类会对设备产生的声音产生一定的适应性。综上所述，运行期间产生的噪音对鸟类产生的影响较小。</w:t>
            </w:r>
          </w:p>
          <w:p w14:paraId="1EC19259">
            <w:pPr>
              <w:adjustRightInd w:val="0"/>
              <w:snapToGrid w:val="0"/>
              <w:spacing w:line="360" w:lineRule="auto"/>
              <w:ind w:firstLine="480" w:firstLineChars="200"/>
              <w:rPr>
                <w:bCs/>
                <w:sz w:val="24"/>
              </w:rPr>
            </w:pPr>
            <w:r>
              <w:rPr>
                <w:bCs/>
                <w:sz w:val="24"/>
              </w:rPr>
              <w:t>（3）撞线影响</w:t>
            </w:r>
          </w:p>
          <w:p w14:paraId="2B941FF8">
            <w:pPr>
              <w:adjustRightInd w:val="0"/>
              <w:snapToGrid w:val="0"/>
              <w:spacing w:line="360" w:lineRule="auto"/>
              <w:ind w:firstLine="480" w:firstLineChars="200"/>
              <w:rPr>
                <w:bCs/>
                <w:sz w:val="24"/>
              </w:rPr>
            </w:pPr>
            <w:r>
              <w:rPr>
                <w:bCs/>
                <w:sz w:val="24"/>
              </w:rPr>
              <w:t>据以往经验显示，鸟类可能存在一定的撞线概率。一般电线高度一般在数十米以上，由于鸟类飞行速度较快，而线路较细不易被及时发现，鸟类快速飞过电力输送线路时可能会躲避不及时从而造成撞线，引起个体直接伤残、死亡。但该类情况多发生在沿海湿地等水鸟集中的区域，由于鸻鹬类水鸟飞行速度较快、迁徙规模较大，对太阳能输电线的躲避往往不够及时，发生撞线的概率较林鸟大；林鸟由于多在林冠、林下觅食，大部分种类无高空俯冲行为，因此线路对林鸟造成的影响低于水鸟，但隼形目鸟类由于具有高空俯冲等捕食特性，存在一定概率的撞线风险。</w:t>
            </w:r>
          </w:p>
          <w:p w14:paraId="3B4C0158">
            <w:pPr>
              <w:adjustRightInd w:val="0"/>
              <w:snapToGrid w:val="0"/>
              <w:spacing w:line="360" w:lineRule="auto"/>
              <w:ind w:firstLine="480" w:firstLineChars="200"/>
              <w:rPr>
                <w:bCs/>
                <w:sz w:val="24"/>
              </w:rPr>
            </w:pPr>
            <w:r>
              <w:rPr>
                <w:bCs/>
                <w:sz w:val="24"/>
              </w:rPr>
              <w:t>（4）对鸟类迁徙通道和迁徙地的影响</w:t>
            </w:r>
          </w:p>
          <w:p w14:paraId="772ECC37">
            <w:pPr>
              <w:adjustRightInd w:val="0"/>
              <w:snapToGrid w:val="0"/>
              <w:spacing w:line="360" w:lineRule="auto"/>
              <w:ind w:firstLine="480" w:firstLineChars="200"/>
              <w:rPr>
                <w:bCs/>
                <w:sz w:val="24"/>
              </w:rPr>
            </w:pPr>
            <w:r>
              <w:rPr>
                <w:bCs/>
                <w:sz w:val="24"/>
              </w:rPr>
              <w:t>a.与林鸟迁徙通道位置关系</w:t>
            </w:r>
          </w:p>
          <w:p w14:paraId="69141809">
            <w:pPr>
              <w:adjustRightInd w:val="0"/>
              <w:snapToGrid w:val="0"/>
              <w:spacing w:line="360" w:lineRule="auto"/>
              <w:ind w:firstLine="480" w:firstLineChars="200"/>
              <w:rPr>
                <w:bCs/>
                <w:sz w:val="24"/>
              </w:rPr>
            </w:pPr>
            <w:r>
              <w:rPr>
                <w:bCs/>
                <w:sz w:val="24"/>
              </w:rPr>
              <w:t>从江苏省林鸟迁徙路线上看，江苏省林鸟主要沿山体迁徙，集中在南京—宜兴—溧阳三市的宁镇宜溧低山丘陵地区。本项目位于</w:t>
            </w:r>
            <w:r>
              <w:rPr>
                <w:rFonts w:hint="eastAsia"/>
                <w:bCs/>
                <w:sz w:val="24"/>
              </w:rPr>
              <w:t>连云港市经济技术开发区青口盐场</w:t>
            </w:r>
            <w:r>
              <w:rPr>
                <w:bCs/>
                <w:sz w:val="24"/>
              </w:rPr>
              <w:t>，与江苏省主要林鸟迁徙区相距较远，项目用地以坑塘为主，周边以农田为主，人工干扰较大，且几乎无成片的林地也缺乏多样化的浆果类食物，因此项目区及其周边迁徙性的林鸟相对较少。从本次调查结果看，项目区内主要以喜鹊、乌鸫、麻雀、白头鹎等常见的留鸟为主。</w:t>
            </w:r>
          </w:p>
          <w:p w14:paraId="200A887C">
            <w:pPr>
              <w:adjustRightInd w:val="0"/>
              <w:snapToGrid w:val="0"/>
              <w:spacing w:line="360" w:lineRule="auto"/>
              <w:ind w:firstLine="480" w:firstLineChars="200"/>
              <w:rPr>
                <w:bCs/>
                <w:sz w:val="24"/>
              </w:rPr>
            </w:pPr>
            <w:r>
              <w:rPr>
                <w:bCs/>
                <w:sz w:val="24"/>
              </w:rPr>
              <w:t>综上，因项目区与周边林鸟主要迁徙通道及迁徙地相距较远，且项目区内缺乏林地生态环境，人类活动干扰较强，加之太阳能面板高度与鸟类迁徙高度差异较大，报告认为本项目建设不在林鸟主要迁徙通道上，不占用林鸟主要迁徙地，对林鸟影响较小。</w:t>
            </w:r>
          </w:p>
          <w:p w14:paraId="28124D0D">
            <w:pPr>
              <w:adjustRightInd w:val="0"/>
              <w:snapToGrid w:val="0"/>
              <w:spacing w:line="360" w:lineRule="auto"/>
              <w:ind w:firstLine="480" w:firstLineChars="200"/>
              <w:rPr>
                <w:bCs/>
                <w:sz w:val="24"/>
              </w:rPr>
            </w:pPr>
            <w:r>
              <w:rPr>
                <w:bCs/>
                <w:sz w:val="24"/>
              </w:rPr>
              <w:t>b.与水鸟迁徙通道位置关系</w:t>
            </w:r>
          </w:p>
          <w:p w14:paraId="6814889C">
            <w:pPr>
              <w:adjustRightInd w:val="0"/>
              <w:snapToGrid w:val="0"/>
              <w:spacing w:line="360" w:lineRule="auto"/>
              <w:ind w:firstLine="480" w:firstLineChars="200"/>
              <w:rPr>
                <w:bCs/>
                <w:sz w:val="24"/>
              </w:rPr>
            </w:pPr>
            <w:r>
              <w:rPr>
                <w:bCs/>
                <w:sz w:val="24"/>
              </w:rPr>
              <w:t>水鸟是指栖息或经常栖息于湿地的鸟类，主要包括雁鸭类、鸻鹬类、鸥类等。本项目所在的连云港市虽然位于东亚—澳大利西亚迁徙线上，</w:t>
            </w:r>
            <w:r>
              <w:rPr>
                <w:rFonts w:hint="eastAsia"/>
                <w:bCs/>
                <w:sz w:val="24"/>
              </w:rPr>
              <w:t>项目用地以坑塘为主</w:t>
            </w:r>
            <w:r>
              <w:rPr>
                <w:bCs/>
                <w:sz w:val="24"/>
              </w:rPr>
              <w:t>，</w:t>
            </w:r>
            <w:r>
              <w:rPr>
                <w:rFonts w:hint="eastAsia"/>
                <w:bCs/>
                <w:sz w:val="24"/>
              </w:rPr>
              <w:t>周边以农田为主，</w:t>
            </w:r>
            <w:r>
              <w:rPr>
                <w:bCs/>
                <w:sz w:val="24"/>
              </w:rPr>
              <w:t>人工干扰相对较大，因此该评价区内难吸引到较多的水鸟。</w:t>
            </w:r>
          </w:p>
          <w:p w14:paraId="49808F72">
            <w:pPr>
              <w:adjustRightInd w:val="0"/>
              <w:snapToGrid w:val="0"/>
              <w:spacing w:line="360" w:lineRule="auto"/>
              <w:ind w:firstLine="480" w:firstLineChars="200"/>
              <w:rPr>
                <w:bCs/>
                <w:sz w:val="24"/>
              </w:rPr>
            </w:pPr>
            <w:r>
              <w:rPr>
                <w:bCs/>
                <w:sz w:val="24"/>
              </w:rPr>
              <w:t>此外，雁鸭类、鹭鹳类、鸥类等水鸟的迁徙高度远远高于太阳能面板的高度，因此从高度上看，渔光互补项目建设对水鸟迁徙影响较为有限。虽然项目区内养殖塘较多，但临近区域存在人为扰动较小的临洪河口湿地、河流区域，水鸟主要集中在天然湿地区域，在此停歇的水鸟可以停歇和觅食，因此该评价区内的项目建设和运营对水鸟的迁徙影响较小。</w:t>
            </w:r>
          </w:p>
          <w:p w14:paraId="61441DB3">
            <w:pPr>
              <w:adjustRightInd w:val="0"/>
              <w:snapToGrid w:val="0"/>
              <w:spacing w:line="360" w:lineRule="auto"/>
              <w:ind w:firstLine="480" w:firstLineChars="200"/>
              <w:rPr>
                <w:bCs/>
                <w:sz w:val="24"/>
              </w:rPr>
            </w:pPr>
            <w:r>
              <w:rPr>
                <w:bCs/>
                <w:sz w:val="24"/>
              </w:rPr>
              <w:t>综上，经采取措施后，本项目渔光互补方案不会影响生态系统原有的结构和功能，对评价区内的动物、植物种类和数量不会产生明显的影响，对评价区内的生态系统类型的多样性也不会产生影响。因此，对区域生态环境产生的影响较小，对区域生物多样性也不会产生明显影响。</w:t>
            </w:r>
          </w:p>
          <w:p w14:paraId="2DE10BAA">
            <w:pPr>
              <w:adjustRightInd w:val="0"/>
              <w:snapToGrid w:val="0"/>
              <w:spacing w:line="360" w:lineRule="auto"/>
              <w:ind w:firstLine="482" w:firstLineChars="200"/>
              <w:jc w:val="left"/>
              <w:rPr>
                <w:b/>
                <w:sz w:val="24"/>
              </w:rPr>
            </w:pPr>
            <w:r>
              <w:rPr>
                <w:b/>
                <w:sz w:val="24"/>
              </w:rPr>
              <w:t>七、光污染环境影响分析</w:t>
            </w:r>
          </w:p>
          <w:p w14:paraId="5F23C3C4">
            <w:pPr>
              <w:pStyle w:val="15"/>
              <w:adjustRightInd w:val="0"/>
              <w:snapToGrid w:val="0"/>
              <w:spacing w:after="0" w:line="360" w:lineRule="auto"/>
              <w:ind w:left="0" w:leftChars="0" w:firstLine="480" w:firstLineChars="200"/>
              <w:rPr>
                <w:sz w:val="24"/>
              </w:rPr>
            </w:pPr>
            <w:r>
              <w:rPr>
                <w:sz w:val="24"/>
              </w:rPr>
              <w:t>国内外对于光污染目前并没有一个明确的定义，现在一般认为，光污染泛指影响自然环境，对人类正常生活、工作、休息和娱乐带来不利影响，损害人们观察物体的能力，引起人体不舒适感和损害人体健康的各种光。一般在城区，建筑物的</w:t>
            </w:r>
            <w:r>
              <w:fldChar w:fldCharType="begin"/>
            </w:r>
            <w:r>
              <w:instrText xml:space="preserve"> HYPERLINK "http://baike.baidu.com/view/90927.htm" \t "_blank" </w:instrText>
            </w:r>
            <w:r>
              <w:fldChar w:fldCharType="separate"/>
            </w:r>
            <w:r>
              <w:rPr>
                <w:sz w:val="24"/>
              </w:rPr>
              <w:t>玻璃幕墙</w:t>
            </w:r>
            <w:r>
              <w:rPr>
                <w:sz w:val="24"/>
              </w:rPr>
              <w:fldChar w:fldCharType="end"/>
            </w:r>
            <w:r>
              <w:rPr>
                <w:sz w:val="24"/>
              </w:rPr>
              <w:t>、釉面砖墙、磨光大理石和各种涂料等装饰反射光线，明晃白亮、眩眼夺目。本项目光伏电站位于乡村区域，位置较低，周边无高大建筑物，也缺乏形成光污染的客观条件。</w:t>
            </w:r>
          </w:p>
          <w:p w14:paraId="1BBE9D24">
            <w:pPr>
              <w:pStyle w:val="15"/>
              <w:adjustRightInd w:val="0"/>
              <w:snapToGrid w:val="0"/>
              <w:spacing w:after="0" w:line="360" w:lineRule="auto"/>
              <w:ind w:left="0" w:leftChars="0" w:firstLine="480" w:firstLineChars="200"/>
              <w:rPr>
                <w:sz w:val="24"/>
              </w:rPr>
            </w:pPr>
            <w:r>
              <w:rPr>
                <w:sz w:val="24"/>
              </w:rPr>
              <w:t>项目光伏发电运营过程中光伏组件表面受太阳光照射将会产生反射光。项目采用的太阳能组件表面材质为单晶硅光伏组件，太阳能组件内的晶硅板片表面涂覆有一层防反射涂层（防反射涂层主要成分为乙醇、二氧化硅），对外露在强光下的金属构件采用哑光处理或刷涂色漆等处理工艺，同时封装玻璃表面已经过特殊处理，因此太阳能电池组件对阳光的反射以散射为主。光伏板的反射面朝向天空，光伏厂区地势高于周边环境保护目标，其总反射率只有5%左右，要远低于玻璃幕墙，放射角度指向天空，安装倾角为17°，本项目采用单晶硅光伏电池组件外层透光率高，表面反射比仅为0.11～0.15，符合《玻璃幕墙光学性能》（GB/T18091-2000）中的要求，不会对造成较大光污染。</w:t>
            </w:r>
          </w:p>
          <w:p w14:paraId="11F108BC">
            <w:pPr>
              <w:pStyle w:val="15"/>
              <w:adjustRightInd w:val="0"/>
              <w:snapToGrid w:val="0"/>
              <w:spacing w:after="0" w:line="360" w:lineRule="auto"/>
              <w:ind w:left="0" w:leftChars="0" w:firstLine="480" w:firstLineChars="200"/>
              <w:rPr>
                <w:sz w:val="24"/>
              </w:rPr>
            </w:pPr>
            <w:r>
              <w:rPr>
                <w:sz w:val="24"/>
              </w:rPr>
              <w:t>为确保本建设项目的光污染减至最小，建议在设计中注意以下方面：</w:t>
            </w:r>
          </w:p>
          <w:p w14:paraId="22CD6CF9">
            <w:pPr>
              <w:pStyle w:val="15"/>
              <w:adjustRightInd w:val="0"/>
              <w:snapToGrid w:val="0"/>
              <w:spacing w:after="0" w:line="360" w:lineRule="auto"/>
              <w:ind w:left="0" w:leftChars="0" w:firstLine="480" w:firstLineChars="200"/>
              <w:rPr>
                <w:sz w:val="24"/>
              </w:rPr>
            </w:pPr>
            <w:r>
              <w:rPr>
                <w:sz w:val="24"/>
              </w:rPr>
              <w:t>（1）光伏太阳能发电站选用的光伏板色彩不要太浅，反射比不大于0.10；</w:t>
            </w:r>
          </w:p>
          <w:p w14:paraId="2AB28854">
            <w:pPr>
              <w:pStyle w:val="15"/>
              <w:adjustRightInd w:val="0"/>
              <w:snapToGrid w:val="0"/>
              <w:spacing w:after="0" w:line="360" w:lineRule="auto"/>
              <w:ind w:left="0" w:leftChars="0" w:firstLine="480" w:firstLineChars="200"/>
              <w:rPr>
                <w:sz w:val="24"/>
              </w:rPr>
            </w:pPr>
            <w:r>
              <w:rPr>
                <w:sz w:val="24"/>
              </w:rPr>
              <w:t>（2）安装太阳能发电站光伏板金属边框的颜色和反射比尽量与光伏板相近；</w:t>
            </w:r>
          </w:p>
          <w:p w14:paraId="3BB8A413">
            <w:pPr>
              <w:pStyle w:val="15"/>
              <w:adjustRightInd w:val="0"/>
              <w:snapToGrid w:val="0"/>
              <w:spacing w:after="0" w:line="360" w:lineRule="auto"/>
              <w:ind w:left="0" w:leftChars="0" w:firstLine="480" w:firstLineChars="200"/>
              <w:rPr>
                <w:sz w:val="24"/>
              </w:rPr>
            </w:pPr>
            <w:r>
              <w:rPr>
                <w:sz w:val="24"/>
              </w:rPr>
              <w:t>（3）金属边框的表面应选用雾面（喷砂面）以减少光的定向反射。</w:t>
            </w:r>
          </w:p>
          <w:p w14:paraId="3289DAE4">
            <w:pPr>
              <w:pStyle w:val="15"/>
              <w:adjustRightInd w:val="0"/>
              <w:snapToGrid w:val="0"/>
              <w:spacing w:after="0" w:line="360" w:lineRule="auto"/>
              <w:ind w:left="0" w:leftChars="0" w:firstLine="480" w:firstLineChars="200"/>
              <w:rPr>
                <w:sz w:val="24"/>
              </w:rPr>
            </w:pPr>
            <w:r>
              <w:rPr>
                <w:sz w:val="24"/>
              </w:rPr>
              <w:t>经上述措施后，光污染对周边环境的影响很小。昼间少量的反射光强度很弱，夜间无反射光，光污染不会影响周边村民的生产和生活。</w:t>
            </w:r>
          </w:p>
          <w:p w14:paraId="391698E1">
            <w:pPr>
              <w:adjustRightInd w:val="0"/>
              <w:snapToGrid w:val="0"/>
              <w:spacing w:line="360" w:lineRule="auto"/>
              <w:ind w:firstLine="482" w:firstLineChars="200"/>
              <w:jc w:val="left"/>
              <w:rPr>
                <w:b/>
                <w:sz w:val="24"/>
              </w:rPr>
            </w:pPr>
            <w:r>
              <w:rPr>
                <w:b/>
                <w:sz w:val="24"/>
              </w:rPr>
              <w:t>八、环境风险影响分析</w:t>
            </w:r>
          </w:p>
          <w:p w14:paraId="016CC3AC">
            <w:pPr>
              <w:widowControl/>
              <w:spacing w:line="360" w:lineRule="auto"/>
              <w:ind w:firstLine="480" w:firstLineChars="200"/>
              <w:rPr>
                <w:kern w:val="0"/>
                <w:sz w:val="24"/>
              </w:rPr>
            </w:pPr>
            <w:r>
              <w:rPr>
                <w:kern w:val="0"/>
                <w:sz w:val="24"/>
              </w:rPr>
              <w:t>本项目的原料、产品以及污染物</w:t>
            </w:r>
            <w:r>
              <w:rPr>
                <w:rFonts w:hint="eastAsia"/>
                <w:kern w:val="0"/>
                <w:sz w:val="24"/>
                <w:lang w:val="en-US" w:eastAsia="zh-CN"/>
              </w:rPr>
              <w:t>不</w:t>
            </w:r>
            <w:r>
              <w:rPr>
                <w:kern w:val="0"/>
                <w:sz w:val="24"/>
              </w:rPr>
              <w:t>涉及《建设项目环境风险评价技术导则》（HJ169-2018）附录B中所列的重点关注的危险物质。</w:t>
            </w:r>
          </w:p>
          <w:p w14:paraId="41D1EE59">
            <w:pPr>
              <w:adjustRightInd w:val="0"/>
              <w:snapToGrid w:val="0"/>
              <w:spacing w:line="360" w:lineRule="auto"/>
              <w:ind w:firstLine="482" w:firstLineChars="200"/>
              <w:jc w:val="left"/>
              <w:rPr>
                <w:b/>
                <w:sz w:val="24"/>
              </w:rPr>
            </w:pPr>
            <w:r>
              <w:rPr>
                <w:b/>
                <w:sz w:val="24"/>
              </w:rPr>
              <w:t>九、服务期满后环境影响简要分析及处理措施</w:t>
            </w:r>
          </w:p>
          <w:p w14:paraId="4FE799F2">
            <w:pPr>
              <w:pStyle w:val="63"/>
              <w:adjustRightInd w:val="0"/>
              <w:snapToGrid w:val="0"/>
              <w:spacing w:before="0" w:beforeAutospacing="0" w:after="0" w:afterAutospacing="0" w:line="360" w:lineRule="auto"/>
              <w:ind w:firstLine="480" w:firstLineChars="200"/>
              <w:jc w:val="both"/>
              <w:rPr>
                <w:rFonts w:ascii="Times New Roman" w:hAnsi="Times New Roman" w:cs="Times New Roman"/>
                <w:szCs w:val="18"/>
              </w:rPr>
            </w:pPr>
            <w:r>
              <w:rPr>
                <w:rFonts w:ascii="Times New Roman" w:hAnsi="Times New Roman" w:cs="Times New Roman"/>
                <w:szCs w:val="18"/>
              </w:rPr>
              <w:t>本光伏电站运行期在25年左右。服务期满后，根据建设单位与土地出让方的土地租赁协议及国家相关政策决定是否继续运营，若不再继续运营，应对本项目进行拆除，依次拆除本项目主体工程，包括太阳能光伏阵列、逆变系统等。拆除后应集中对电站内废旧的光伏组件、逆变器及变压器等进行妥善处置，届时按照国家的相关政策法规，对上述固废采取厂家回收再循环利用或交由有资质的机构回收的方式处理，不随意丢弃，拆除过程中，应科学设计，严格管理。按照国家各项施工规范和条例进行施工，并教育施工人员明确施工注意事项，文明施工，保证拆除施工质量，按期竣工验收。</w:t>
            </w:r>
          </w:p>
          <w:p w14:paraId="54941447">
            <w:pPr>
              <w:pStyle w:val="63"/>
              <w:adjustRightInd w:val="0"/>
              <w:snapToGrid w:val="0"/>
              <w:spacing w:before="0" w:beforeAutospacing="0" w:after="0" w:afterAutospacing="0" w:line="360" w:lineRule="auto"/>
              <w:ind w:firstLine="480" w:firstLineChars="200"/>
              <w:jc w:val="both"/>
              <w:rPr>
                <w:rFonts w:ascii="Times New Roman" w:hAnsi="Times New Roman" w:cs="Times New Roman"/>
                <w:szCs w:val="18"/>
              </w:rPr>
            </w:pPr>
            <w:r>
              <w:rPr>
                <w:rFonts w:ascii="Times New Roman" w:hAnsi="Times New Roman" w:cs="Times New Roman"/>
                <w:szCs w:val="18"/>
              </w:rPr>
              <w:t>（1）拆除施工时，应尽量做到土石方平衡，粉状材料运输及堆存须加盖防尘布和选择不易流失的地点堆存，或设置简易堆棚，定点存放。</w:t>
            </w:r>
          </w:p>
          <w:p w14:paraId="277A2345">
            <w:pPr>
              <w:pStyle w:val="63"/>
              <w:adjustRightInd w:val="0"/>
              <w:snapToGrid w:val="0"/>
              <w:spacing w:before="0" w:beforeAutospacing="0" w:after="0" w:afterAutospacing="0" w:line="360" w:lineRule="auto"/>
              <w:ind w:firstLine="480" w:firstLineChars="200"/>
              <w:jc w:val="both"/>
              <w:rPr>
                <w:rFonts w:ascii="Times New Roman" w:hAnsi="Times New Roman" w:cs="Times New Roman"/>
                <w:szCs w:val="18"/>
              </w:rPr>
            </w:pPr>
            <w:r>
              <w:rPr>
                <w:rFonts w:ascii="Times New Roman" w:hAnsi="Times New Roman" w:cs="Times New Roman"/>
                <w:szCs w:val="18"/>
              </w:rPr>
              <w:t>（2）施工中应分区合理施工，快速开挖，及时填埋夯实，并恢复地表。生活垃圾、粪便、弃土渣必须及时清运至专业场所进行规范处置，避免由此而产生的区域生态及区域卫生问题。</w:t>
            </w:r>
          </w:p>
          <w:p w14:paraId="11ABB57D">
            <w:pPr>
              <w:pStyle w:val="63"/>
              <w:adjustRightInd w:val="0"/>
              <w:snapToGrid w:val="0"/>
              <w:spacing w:before="0" w:beforeAutospacing="0" w:after="0" w:afterAutospacing="0" w:line="360" w:lineRule="auto"/>
              <w:ind w:firstLine="480" w:firstLineChars="200"/>
              <w:jc w:val="both"/>
              <w:rPr>
                <w:rFonts w:ascii="Times New Roman" w:hAnsi="Times New Roman" w:cs="Times New Roman"/>
                <w:szCs w:val="18"/>
              </w:rPr>
            </w:pPr>
            <w:r>
              <w:rPr>
                <w:rFonts w:ascii="Times New Roman" w:hAnsi="Times New Roman" w:cs="Times New Roman"/>
                <w:szCs w:val="18"/>
              </w:rPr>
              <w:t>（3）施工噪声是一种短期行为，周围虽无敏感目标，但也应合理安排施工时间，尽量缩短夜间施工，并禁止车辆及施工机械高音喇叭鸣叫，尽可能降低声环境影响。</w:t>
            </w:r>
          </w:p>
          <w:p w14:paraId="1F6EAAAD">
            <w:pPr>
              <w:pStyle w:val="63"/>
              <w:adjustRightInd w:val="0"/>
              <w:snapToGrid w:val="0"/>
              <w:spacing w:before="0" w:beforeAutospacing="0" w:after="0" w:afterAutospacing="0" w:line="360" w:lineRule="auto"/>
              <w:ind w:firstLine="480" w:firstLineChars="200"/>
              <w:jc w:val="both"/>
              <w:rPr>
                <w:rFonts w:ascii="Times New Roman" w:hAnsi="Times New Roman" w:cs="Times New Roman"/>
                <w:szCs w:val="18"/>
              </w:rPr>
            </w:pPr>
            <w:r>
              <w:rPr>
                <w:rFonts w:ascii="Times New Roman" w:hAnsi="Times New Roman" w:cs="Times New Roman"/>
                <w:szCs w:val="18"/>
              </w:rPr>
              <w:t>（4）施工时，由于当地天气干燥多风，且风速大，对施工作业面应适时洒水，增加湿度，抑制扬尘飘移。另外，施工时要避开大风、尘暴等不利气象条件，尽可降低或避免对局地的扬尘污染。</w:t>
            </w:r>
          </w:p>
          <w:p w14:paraId="3305EE48">
            <w:pPr>
              <w:pStyle w:val="63"/>
              <w:adjustRightInd w:val="0"/>
              <w:snapToGrid w:val="0"/>
              <w:spacing w:before="0" w:beforeAutospacing="0" w:after="0" w:afterAutospacing="0" w:line="360" w:lineRule="auto"/>
              <w:ind w:firstLine="480" w:firstLineChars="200"/>
              <w:jc w:val="both"/>
              <w:rPr>
                <w:rFonts w:ascii="Times New Roman" w:hAnsi="Times New Roman" w:cs="Times New Roman"/>
                <w:szCs w:val="18"/>
              </w:rPr>
            </w:pPr>
            <w:r>
              <w:rPr>
                <w:rFonts w:ascii="Times New Roman" w:hAnsi="Times New Roman" w:cs="Times New Roman"/>
                <w:szCs w:val="18"/>
              </w:rPr>
              <w:t>光伏电站服务期满后影响主要为拆除的光伏组件、变压器等固体废物影响及基础拆除产生的生态环境影响。</w:t>
            </w:r>
          </w:p>
          <w:p w14:paraId="158FD0C0">
            <w:pPr>
              <w:pStyle w:val="69"/>
              <w:tabs>
                <w:tab w:val="left" w:pos="1423"/>
              </w:tabs>
              <w:adjustRightInd w:val="0"/>
              <w:snapToGrid w:val="0"/>
              <w:ind w:firstLine="480"/>
              <w:jc w:val="left"/>
              <w:rPr>
                <w:kern w:val="0"/>
                <w:szCs w:val="18"/>
              </w:rPr>
            </w:pPr>
            <w:r>
              <w:rPr>
                <w:kern w:val="0"/>
                <w:szCs w:val="18"/>
              </w:rPr>
              <w:t>（1）光伏组件拆除环境影响分析</w:t>
            </w:r>
          </w:p>
          <w:p w14:paraId="2F3C7493">
            <w:pPr>
              <w:pStyle w:val="10"/>
              <w:adjustRightInd w:val="0"/>
              <w:spacing w:before="0" w:after="0" w:line="360" w:lineRule="auto"/>
              <w:ind w:right="0" w:firstLine="480" w:firstLineChars="200"/>
              <w:rPr>
                <w:sz w:val="24"/>
                <w:szCs w:val="18"/>
              </w:rPr>
            </w:pPr>
            <w:r>
              <w:rPr>
                <w:sz w:val="24"/>
                <w:szCs w:val="18"/>
              </w:rPr>
              <w:t>在光伏电站服务期满后，拆除光伏组件属于一般工业固废，不属于危险废物，由建设单位对其进行收集，最终由专业的回收厂家收购处理，对环境影响很小。</w:t>
            </w:r>
          </w:p>
          <w:p w14:paraId="7C12970E">
            <w:pPr>
              <w:pStyle w:val="69"/>
              <w:tabs>
                <w:tab w:val="left" w:pos="1423"/>
              </w:tabs>
              <w:adjustRightInd w:val="0"/>
              <w:snapToGrid w:val="0"/>
              <w:ind w:firstLine="480"/>
              <w:jc w:val="left"/>
            </w:pPr>
            <w:r>
              <w:t>（2）电气设备拆除环境影响分析</w:t>
            </w:r>
          </w:p>
          <w:p w14:paraId="3DC8E848">
            <w:pPr>
              <w:pStyle w:val="10"/>
              <w:adjustRightInd w:val="0"/>
              <w:spacing w:before="0" w:after="0" w:line="360" w:lineRule="auto"/>
              <w:ind w:right="0" w:firstLine="480" w:firstLineChars="200"/>
              <w:rPr>
                <w:sz w:val="24"/>
                <w:szCs w:val="18"/>
              </w:rPr>
            </w:pPr>
            <w:r>
              <w:rPr>
                <w:sz w:val="24"/>
                <w:szCs w:val="18"/>
              </w:rPr>
              <w:t>本项目电气设备主要为逆变器、升压器、交流配电柜，电气设备经运营期的使用和维护，其损耗极小，可全部由设备生产商回收进行维护或大修后再次使用，对环境影响很小。</w:t>
            </w:r>
          </w:p>
          <w:p w14:paraId="0CAEBB99">
            <w:pPr>
              <w:pStyle w:val="69"/>
              <w:tabs>
                <w:tab w:val="left" w:pos="1423"/>
              </w:tabs>
              <w:adjustRightInd w:val="0"/>
              <w:snapToGrid w:val="0"/>
              <w:ind w:firstLine="480"/>
              <w:jc w:val="left"/>
            </w:pPr>
            <w:r>
              <w:t>（3）建（构）筑物的拆除环境影响分析</w:t>
            </w:r>
          </w:p>
          <w:p w14:paraId="19788BA2">
            <w:pPr>
              <w:pStyle w:val="10"/>
              <w:adjustRightInd w:val="0"/>
              <w:spacing w:before="0" w:after="0" w:line="360" w:lineRule="auto"/>
              <w:ind w:right="0" w:firstLine="480" w:firstLineChars="200"/>
              <w:rPr>
                <w:sz w:val="24"/>
                <w:szCs w:val="18"/>
              </w:rPr>
            </w:pPr>
            <w:r>
              <w:rPr>
                <w:sz w:val="24"/>
                <w:szCs w:val="18"/>
              </w:rPr>
              <w:t>本项目主要建（构）筑物有光伏组件基础，拆除后的建筑垃圾按照相关规定运至指定的建筑垃圾处理厂，并将占地恢复其原有土地使用功能并进行生态恢复，对环境影响较小。</w:t>
            </w:r>
          </w:p>
          <w:p w14:paraId="191B770D">
            <w:pPr>
              <w:pStyle w:val="10"/>
              <w:adjustRightInd w:val="0"/>
              <w:spacing w:before="0" w:after="0" w:line="360" w:lineRule="auto"/>
              <w:ind w:right="0" w:firstLine="480" w:firstLineChars="200"/>
              <w:rPr>
                <w:sz w:val="24"/>
                <w:szCs w:val="18"/>
              </w:rPr>
            </w:pPr>
            <w:r>
              <w:rPr>
                <w:rFonts w:hint="eastAsia" w:ascii="宋体" w:hAnsi="宋体" w:cs="宋体"/>
                <w:sz w:val="24"/>
                <w:szCs w:val="18"/>
              </w:rPr>
              <w:t>①</w:t>
            </w:r>
            <w:r>
              <w:rPr>
                <w:sz w:val="24"/>
                <w:szCs w:val="18"/>
              </w:rPr>
              <w:t>掘除硬化地面基础，对场地进行恢复；</w:t>
            </w:r>
          </w:p>
          <w:p w14:paraId="183832AA">
            <w:pPr>
              <w:pStyle w:val="10"/>
              <w:adjustRightInd w:val="0"/>
              <w:spacing w:before="0" w:after="0" w:line="360" w:lineRule="auto"/>
              <w:ind w:right="0" w:firstLine="480" w:firstLineChars="200"/>
              <w:rPr>
                <w:sz w:val="24"/>
                <w:szCs w:val="18"/>
              </w:rPr>
            </w:pPr>
            <w:r>
              <w:rPr>
                <w:rFonts w:hint="eastAsia" w:ascii="宋体" w:hAnsi="宋体" w:cs="宋体"/>
                <w:sz w:val="24"/>
                <w:szCs w:val="18"/>
              </w:rPr>
              <w:t>②</w:t>
            </w:r>
            <w:r>
              <w:rPr>
                <w:sz w:val="24"/>
                <w:szCs w:val="18"/>
              </w:rPr>
              <w:t>拆除过程中应尽量减小对土地的扰动，对于项目厂区原绿化土地应保留；</w:t>
            </w:r>
          </w:p>
          <w:p w14:paraId="736E475B">
            <w:pPr>
              <w:pStyle w:val="10"/>
              <w:adjustRightInd w:val="0"/>
              <w:spacing w:before="0" w:after="0" w:line="360" w:lineRule="auto"/>
              <w:ind w:right="0" w:firstLine="480" w:firstLineChars="200"/>
              <w:rPr>
                <w:sz w:val="24"/>
                <w:szCs w:val="18"/>
              </w:rPr>
            </w:pPr>
            <w:r>
              <w:rPr>
                <w:rFonts w:hint="eastAsia" w:ascii="宋体" w:hAnsi="宋体" w:cs="宋体"/>
                <w:sz w:val="24"/>
                <w:szCs w:val="18"/>
              </w:rPr>
              <w:t>③</w:t>
            </w:r>
            <w:r>
              <w:rPr>
                <w:sz w:val="24"/>
                <w:szCs w:val="18"/>
              </w:rPr>
              <w:t>掘除混凝土的基础部分场地应进行恢复，恢复后的场地则进行洒水和压实，以固结地表，防止产生扬尘和对土壤的风蚀。</w:t>
            </w:r>
          </w:p>
          <w:p w14:paraId="433ABB9D">
            <w:pPr>
              <w:pStyle w:val="69"/>
              <w:tabs>
                <w:tab w:val="left" w:pos="1423"/>
              </w:tabs>
              <w:adjustRightInd w:val="0"/>
              <w:snapToGrid w:val="0"/>
              <w:ind w:firstLine="480"/>
              <w:jc w:val="left"/>
            </w:pPr>
            <w:r>
              <w:t>（4）检修道路的生态环境影响</w:t>
            </w:r>
          </w:p>
          <w:p w14:paraId="759BF471">
            <w:pPr>
              <w:autoSpaceDE w:val="0"/>
              <w:autoSpaceDN w:val="0"/>
              <w:adjustRightInd w:val="0"/>
              <w:spacing w:line="360" w:lineRule="auto"/>
              <w:ind w:firstLine="480" w:firstLineChars="200"/>
              <w:rPr>
                <w:sz w:val="24"/>
                <w:szCs w:val="18"/>
              </w:rPr>
            </w:pPr>
            <w:r>
              <w:rPr>
                <w:sz w:val="24"/>
                <w:szCs w:val="18"/>
              </w:rPr>
              <w:t>本项目服务期满后将对检修道路进行生态恢复，保留原有道路，新建道路破坏砂石路面，砂石收集后外运，妥善处理，恢复后的场地进行植被恢复。</w:t>
            </w:r>
          </w:p>
          <w:p w14:paraId="41D7F307">
            <w:pPr>
              <w:widowControl/>
              <w:spacing w:line="360" w:lineRule="auto"/>
              <w:ind w:firstLine="480" w:firstLineChars="200"/>
              <w:rPr>
                <w:sz w:val="24"/>
                <w:szCs w:val="32"/>
              </w:rPr>
            </w:pPr>
          </w:p>
        </w:tc>
      </w:tr>
      <w:tr w14:paraId="65B60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7" w:hRule="atLeast"/>
          <w:jc w:val="center"/>
        </w:trPr>
        <w:tc>
          <w:tcPr>
            <w:tcW w:w="531" w:type="dxa"/>
            <w:tcMar>
              <w:left w:w="28" w:type="dxa"/>
              <w:right w:w="28" w:type="dxa"/>
            </w:tcMar>
            <w:vAlign w:val="center"/>
          </w:tcPr>
          <w:p w14:paraId="321C21AF">
            <w:pPr>
              <w:pStyle w:val="25"/>
              <w:adjustRightInd w:val="0"/>
              <w:snapToGrid w:val="0"/>
              <w:jc w:val="center"/>
              <w:rPr>
                <w:rFonts w:ascii="Times New Roman" w:hAnsi="Times New Roman"/>
                <w:bCs/>
                <w:spacing w:val="10"/>
                <w:kern w:val="2"/>
                <w:szCs w:val="24"/>
              </w:rPr>
            </w:pPr>
            <w:r>
              <w:rPr>
                <w:rFonts w:ascii="Times New Roman" w:hAnsi="Times New Roman"/>
                <w:bCs/>
                <w:spacing w:val="10"/>
                <w:kern w:val="2"/>
                <w:szCs w:val="24"/>
              </w:rPr>
              <w:t>选址选线环境合理性分析</w:t>
            </w:r>
          </w:p>
        </w:tc>
        <w:tc>
          <w:tcPr>
            <w:tcW w:w="9023" w:type="dxa"/>
          </w:tcPr>
          <w:p w14:paraId="501A89B6">
            <w:pPr>
              <w:spacing w:line="360" w:lineRule="auto"/>
              <w:ind w:firstLine="482" w:firstLineChars="200"/>
              <w:rPr>
                <w:b/>
                <w:sz w:val="24"/>
                <w:szCs w:val="32"/>
              </w:rPr>
            </w:pPr>
            <w:r>
              <w:rPr>
                <w:b/>
                <w:sz w:val="24"/>
                <w:szCs w:val="32"/>
              </w:rPr>
              <w:t>1、已取得相关部门关于项目选址选线的同意意见</w:t>
            </w:r>
          </w:p>
          <w:p w14:paraId="1277F891">
            <w:pPr>
              <w:tabs>
                <w:tab w:val="left" w:pos="600"/>
              </w:tabs>
              <w:adjustRightInd w:val="0"/>
              <w:spacing w:line="360" w:lineRule="auto"/>
              <w:ind w:firstLine="480" w:firstLineChars="200"/>
              <w:textAlignment w:val="baseline"/>
              <w:rPr>
                <w:bCs/>
                <w:sz w:val="24"/>
                <w:szCs w:val="32"/>
              </w:rPr>
            </w:pPr>
            <w:r>
              <w:rPr>
                <w:kern w:val="0"/>
                <w:sz w:val="24"/>
              </w:rPr>
              <w:t>根据</w:t>
            </w:r>
            <w:r>
              <w:rPr>
                <w:rFonts w:hint="eastAsia"/>
                <w:kern w:val="0"/>
                <w:sz w:val="24"/>
              </w:rPr>
              <w:t>连云港市自然资源和规划局开发区分局</w:t>
            </w:r>
            <w:r>
              <w:rPr>
                <w:rFonts w:hint="eastAsia"/>
                <w:kern w:val="0"/>
                <w:sz w:val="24"/>
                <w:lang w:val="en-US" w:eastAsia="zh-CN"/>
              </w:rPr>
              <w:t>出具的</w:t>
            </w:r>
            <w:r>
              <w:rPr>
                <w:kern w:val="0"/>
                <w:sz w:val="24"/>
              </w:rPr>
              <w:t>《</w:t>
            </w:r>
            <w:r>
              <w:rPr>
                <w:rFonts w:hint="eastAsia"/>
                <w:kern w:val="0"/>
                <w:sz w:val="24"/>
              </w:rPr>
              <w:t>关于华润电力青口盐场240MW渔光万补项目用地性质的情况说明</w:t>
            </w:r>
            <w:r>
              <w:rPr>
                <w:kern w:val="0"/>
                <w:sz w:val="24"/>
              </w:rPr>
              <w:t>》、</w:t>
            </w:r>
            <w:r>
              <w:rPr>
                <w:rFonts w:hint="eastAsia"/>
                <w:kern w:val="0"/>
                <w:sz w:val="24"/>
              </w:rPr>
              <w:t>连云港经济技术开发区社会事业局</w:t>
            </w:r>
            <w:r>
              <w:rPr>
                <w:rFonts w:hint="eastAsia"/>
                <w:kern w:val="0"/>
                <w:sz w:val="24"/>
                <w:lang w:val="en-US" w:eastAsia="zh-CN"/>
              </w:rPr>
              <w:t>出具的</w:t>
            </w:r>
            <w:r>
              <w:rPr>
                <w:kern w:val="0"/>
                <w:sz w:val="24"/>
              </w:rPr>
              <w:t>《</w:t>
            </w:r>
            <w:r>
              <w:rPr>
                <w:rFonts w:hint="eastAsia"/>
                <w:kern w:val="0"/>
                <w:sz w:val="24"/>
              </w:rPr>
              <w:t>关于华润电力青口盐场240MW渔光互补项目选址意见的复函</w:t>
            </w:r>
            <w:r>
              <w:rPr>
                <w:kern w:val="0"/>
                <w:sz w:val="24"/>
              </w:rPr>
              <w:t>》</w:t>
            </w:r>
            <w:r>
              <w:rPr>
                <w:rFonts w:hint="eastAsia"/>
                <w:kern w:val="0"/>
                <w:sz w:val="24"/>
                <w:lang w:eastAsia="zh-CN"/>
              </w:rPr>
              <w:t>（</w:t>
            </w:r>
            <w:r>
              <w:rPr>
                <w:rFonts w:hint="eastAsia"/>
                <w:kern w:val="0"/>
                <w:sz w:val="24"/>
                <w:lang w:val="en-US" w:eastAsia="zh-CN"/>
              </w:rPr>
              <w:t>见附件6</w:t>
            </w:r>
            <w:r>
              <w:rPr>
                <w:rFonts w:hint="eastAsia"/>
                <w:kern w:val="0"/>
                <w:sz w:val="24"/>
                <w:lang w:eastAsia="zh-CN"/>
              </w:rPr>
              <w:t>）</w:t>
            </w:r>
            <w:r>
              <w:rPr>
                <w:kern w:val="0"/>
                <w:sz w:val="24"/>
              </w:rPr>
              <w:t>，本项目用地地类为坑塘水面，地块范围不涉及耕地、永久基本农田、不涉及生态保护红线和生态空间管控区。根据</w:t>
            </w:r>
            <w:r>
              <w:rPr>
                <w:rFonts w:hint="eastAsia"/>
                <w:kern w:val="0"/>
                <w:sz w:val="24"/>
              </w:rPr>
              <w:t>连云港经济技术开发区社会事业局</w:t>
            </w:r>
            <w:r>
              <w:rPr>
                <w:kern w:val="0"/>
                <w:sz w:val="24"/>
              </w:rPr>
              <w:t>出具的文件，项目不涉及文物保护范围、未涉及国防光缆安全、不占用河道、湖泊、水库管理范围，不涉及行洪区、滞洪区、蓄洪区。详见</w:t>
            </w:r>
            <w:r>
              <w:rPr>
                <w:rFonts w:hint="eastAsia"/>
                <w:kern w:val="0"/>
                <w:sz w:val="24"/>
                <w:lang w:eastAsia="zh-CN"/>
              </w:rPr>
              <w:t>附件6</w:t>
            </w:r>
            <w:r>
              <w:rPr>
                <w:kern w:val="0"/>
                <w:sz w:val="24"/>
              </w:rPr>
              <w:t>选址意见。</w:t>
            </w:r>
          </w:p>
          <w:p w14:paraId="766CF6F9">
            <w:pPr>
              <w:spacing w:line="360" w:lineRule="auto"/>
              <w:ind w:firstLine="480" w:firstLineChars="200"/>
              <w:rPr>
                <w:bCs/>
                <w:sz w:val="24"/>
                <w:szCs w:val="32"/>
              </w:rPr>
            </w:pPr>
            <w:r>
              <w:rPr>
                <w:bCs/>
                <w:sz w:val="24"/>
                <w:szCs w:val="32"/>
              </w:rPr>
              <w:t>综上所述，因此本项目符合光伏项目用地政策，选址合理。</w:t>
            </w:r>
          </w:p>
          <w:p w14:paraId="76A1784E">
            <w:pPr>
              <w:adjustRightInd w:val="0"/>
              <w:snapToGrid w:val="0"/>
              <w:spacing w:line="360" w:lineRule="auto"/>
              <w:ind w:firstLine="482" w:firstLineChars="200"/>
              <w:rPr>
                <w:b/>
                <w:sz w:val="24"/>
                <w:szCs w:val="32"/>
              </w:rPr>
            </w:pPr>
            <w:r>
              <w:rPr>
                <w:b/>
                <w:sz w:val="24"/>
                <w:szCs w:val="32"/>
              </w:rPr>
              <w:t>2、环境制约因素分析</w:t>
            </w:r>
          </w:p>
          <w:p w14:paraId="50F6312E">
            <w:pPr>
              <w:adjustRightInd w:val="0"/>
              <w:snapToGrid w:val="0"/>
              <w:spacing w:line="360" w:lineRule="auto"/>
              <w:ind w:firstLine="480" w:firstLineChars="200"/>
              <w:rPr>
                <w:bCs/>
                <w:sz w:val="24"/>
                <w:szCs w:val="32"/>
              </w:rPr>
            </w:pPr>
            <w:r>
              <w:rPr>
                <w:bCs/>
                <w:sz w:val="24"/>
                <w:szCs w:val="32"/>
              </w:rPr>
              <w:t>根据上述相关部门复核意见可知，本项目选址不占用生态保护红线、饮用水水源保护区、自然保护区、森林公园、基本农田保护区及文物保护单位等环境敏感区，周边无环境制约因素。</w:t>
            </w:r>
          </w:p>
          <w:p w14:paraId="052C64B3">
            <w:pPr>
              <w:adjustRightInd w:val="0"/>
              <w:snapToGrid w:val="0"/>
              <w:spacing w:line="360" w:lineRule="auto"/>
              <w:ind w:firstLine="480" w:firstLineChars="200"/>
              <w:rPr>
                <w:bCs/>
                <w:sz w:val="24"/>
                <w:szCs w:val="32"/>
              </w:rPr>
            </w:pPr>
            <w:r>
              <w:rPr>
                <w:bCs/>
                <w:sz w:val="24"/>
                <w:szCs w:val="32"/>
              </w:rPr>
              <w:t>因此，本项目的建设不存在环境制约因素。</w:t>
            </w:r>
          </w:p>
          <w:p w14:paraId="5FDDE709">
            <w:pPr>
              <w:adjustRightInd w:val="0"/>
              <w:snapToGrid w:val="0"/>
              <w:spacing w:line="360" w:lineRule="auto"/>
              <w:ind w:firstLine="482" w:firstLineChars="200"/>
              <w:rPr>
                <w:b/>
                <w:sz w:val="24"/>
                <w:szCs w:val="32"/>
              </w:rPr>
            </w:pPr>
            <w:r>
              <w:rPr>
                <w:b/>
                <w:sz w:val="24"/>
                <w:szCs w:val="32"/>
              </w:rPr>
              <w:t>3、环境影响程度分析</w:t>
            </w:r>
          </w:p>
          <w:p w14:paraId="37F3BBAB">
            <w:pPr>
              <w:spacing w:line="360" w:lineRule="auto"/>
              <w:ind w:firstLine="480" w:firstLineChars="200"/>
              <w:rPr>
                <w:bCs/>
                <w:sz w:val="24"/>
                <w:szCs w:val="32"/>
              </w:rPr>
            </w:pPr>
            <w:r>
              <w:rPr>
                <w:bCs/>
                <w:sz w:val="24"/>
                <w:szCs w:val="32"/>
              </w:rPr>
              <w:t>项目施工期排放的各污染物在采取相应的污染治理措施后，能够保证周边环境不因本项目污染物的排放而超出对应的环境质量要求。本项目运营期不产生废气，光伏组件清洗废水可直接排入鱼塘，运营期噪声在按照规程规范设计的基础上，采取本报告表提出的环保措施，其可以达到《工业企业厂界环境噪声排放标准》（GB12348-2008）中的1类限值要求；固体废物妥善处置。项目污染物的排放在区域环境容量范围内，对周围环境影响较小。</w:t>
            </w:r>
          </w:p>
          <w:p w14:paraId="1AAC451C">
            <w:pPr>
              <w:widowControl/>
              <w:ind w:firstLine="480" w:firstLineChars="200"/>
              <w:jc w:val="left"/>
              <w:rPr>
                <w:bCs/>
                <w:sz w:val="24"/>
                <w:szCs w:val="32"/>
              </w:rPr>
            </w:pPr>
            <w:r>
              <w:rPr>
                <w:kern w:val="0"/>
                <w:sz w:val="24"/>
                <w:lang w:bidi="ar"/>
              </w:rPr>
              <w:t>综上，本项目选址合理。</w:t>
            </w:r>
          </w:p>
        </w:tc>
      </w:tr>
    </w:tbl>
    <w:p w14:paraId="79C21EFC">
      <w:pPr>
        <w:sectPr>
          <w:pgSz w:w="11906" w:h="16838"/>
          <w:pgMar w:top="1440" w:right="1800" w:bottom="1440" w:left="1800" w:header="851" w:footer="1077" w:gutter="0"/>
          <w:cols w:space="720" w:num="1"/>
          <w:docGrid w:linePitch="312" w:charSpace="0"/>
        </w:sectPr>
      </w:pPr>
    </w:p>
    <w:p w14:paraId="4B50D575">
      <w:pPr>
        <w:pStyle w:val="3"/>
        <w:ind w:firstLine="0"/>
        <w:rPr>
          <w:color w:val="auto"/>
        </w:rPr>
      </w:pPr>
      <w:bookmarkStart w:id="25" w:name="_Toc18352"/>
      <w:bookmarkStart w:id="26" w:name="_Toc31488"/>
      <w:r>
        <w:rPr>
          <w:color w:val="auto"/>
        </w:rPr>
        <w:t>五、主要生态环境保护措施</w:t>
      </w:r>
      <w:bookmarkEnd w:id="25"/>
      <w:bookmarkEnd w:id="26"/>
    </w:p>
    <w:tbl>
      <w:tblPr>
        <w:tblStyle w:val="29"/>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743"/>
      </w:tblGrid>
      <w:tr w14:paraId="22FBE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467" w:type="dxa"/>
            <w:tcMar>
              <w:left w:w="28" w:type="dxa"/>
              <w:right w:w="28" w:type="dxa"/>
            </w:tcMar>
            <w:vAlign w:val="center"/>
          </w:tcPr>
          <w:p w14:paraId="0461C18B">
            <w:pPr>
              <w:adjustRightInd w:val="0"/>
              <w:snapToGrid w:val="0"/>
              <w:jc w:val="center"/>
              <w:rPr>
                <w:bCs/>
                <w:szCs w:val="21"/>
              </w:rPr>
            </w:pPr>
            <w:r>
              <w:rPr>
                <w:bCs/>
                <w:spacing w:val="10"/>
                <w:sz w:val="24"/>
              </w:rPr>
              <w:t>施工期生态环境保护措施</w:t>
            </w:r>
          </w:p>
        </w:tc>
        <w:tc>
          <w:tcPr>
            <w:tcW w:w="8743" w:type="dxa"/>
          </w:tcPr>
          <w:p w14:paraId="64946B42">
            <w:pPr>
              <w:spacing w:line="360" w:lineRule="auto"/>
              <w:ind w:firstLine="482" w:firstLineChars="200"/>
              <w:rPr>
                <w:b/>
                <w:bCs/>
                <w:sz w:val="24"/>
                <w:szCs w:val="32"/>
              </w:rPr>
            </w:pPr>
            <w:r>
              <w:rPr>
                <w:rFonts w:hint="eastAsia"/>
                <w:b/>
                <w:bCs/>
                <w:sz w:val="24"/>
                <w:szCs w:val="32"/>
                <w:lang w:val="en-US" w:eastAsia="zh-CN"/>
              </w:rPr>
              <w:t>1</w:t>
            </w:r>
            <w:r>
              <w:rPr>
                <w:b/>
                <w:bCs/>
                <w:sz w:val="24"/>
                <w:szCs w:val="32"/>
              </w:rPr>
              <w:t>、生态环境保护措施</w:t>
            </w:r>
          </w:p>
          <w:p w14:paraId="547FBD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（1）工程建设水土流失发生在基础施工、直埋电缆开挖、场内道路施工、施工临时场地等环节中。</w:t>
            </w:r>
          </w:p>
          <w:p w14:paraId="5AACEB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①施工过程中，监理单位加强施工现场管理，切实做到文明施工，尽可能减小扰动地表面积，减少对周边产生的影响，并妥善处理清除的废弃物，避免造成污染；</w:t>
            </w:r>
          </w:p>
          <w:p w14:paraId="1AC12E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②在保证建设质量的同时，施工单位要尽可能加快施工进度，减少地面裸露期，减少水土流失；</w:t>
            </w:r>
          </w:p>
          <w:p w14:paraId="370B13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③开挖的土方尽量做到及时回填，并避免雨天挖、填土方作业，以减轻水土流失；</w:t>
            </w:r>
          </w:p>
          <w:p w14:paraId="34CB2F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④施工完成后，施工道路及临时设置中占用区域进行地貌、植被恢复，以植被护土，防止或减轻水土流失；</w:t>
            </w:r>
          </w:p>
          <w:p w14:paraId="2FC56E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⑤基础、电缆沟开挖时，土方应统一堆置在沟道一侧，堆土表面拍实并采用防护网苫盖，防护网可重复利用电缆铺设完毕及时回填堆土，多余土方在占地范围内拍实；</w:t>
            </w:r>
          </w:p>
          <w:p w14:paraId="4CE2DA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综上分析，项目所处区域生态敏感性一般，植被种类相对单一，以乡土植物和农作物为主，通过采取上述生态保护措施，加强施工管理，施工结束后进行相应的生态恢复手段，能够有效减少对周围生态环境造成影响及水土流失的产生，对生态环境的影响较小。</w:t>
            </w:r>
          </w:p>
          <w:p w14:paraId="6F7162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（2）陆生生物保护措施</w:t>
            </w:r>
          </w:p>
          <w:p w14:paraId="1F54DBA1">
            <w:pPr>
              <w:pStyle w:val="167"/>
              <w:keepNext w:val="0"/>
              <w:keepLines w:val="0"/>
              <w:pageBreakBefore w:val="0"/>
              <w:widowControl w:val="0"/>
              <w:kinsoku/>
              <w:wordWrap/>
              <w:overflowPunct/>
              <w:topLinePunct w:val="0"/>
              <w:autoSpaceDE/>
              <w:autoSpaceDN/>
              <w:bidi w:val="0"/>
              <w:adjustRightInd/>
              <w:snapToGrid/>
              <w:spacing w:line="360" w:lineRule="auto"/>
              <w:ind w:left="606"/>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1）动物</w:t>
            </w:r>
          </w:p>
          <w:p w14:paraId="48F1C72C">
            <w:pPr>
              <w:pStyle w:val="167"/>
              <w:keepNext w:val="0"/>
              <w:keepLines w:val="0"/>
              <w:pageBreakBefore w:val="0"/>
              <w:widowControl w:val="0"/>
              <w:kinsoku/>
              <w:wordWrap/>
              <w:overflowPunct/>
              <w:topLinePunct w:val="0"/>
              <w:autoSpaceDE/>
              <w:autoSpaceDN/>
              <w:bidi w:val="0"/>
              <w:adjustRightInd/>
              <w:snapToGrid/>
              <w:spacing w:line="360" w:lineRule="auto"/>
              <w:ind w:right="22"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根据调查，项目建设地区域及其周围没有较珍贵的野生动物。工程建设时施工人员的活动和机械噪声等将对施工区及周围一定范围内野生动物的活动和栖息产生一定影响，这种影响只是引起野生动物暂时的、局部的迁移，待施工结束这种影响会随之结束。项目区内野生动物均为当地常见种，同时由于动物的自身迁徙和保护，项目建设对野生动物的影响相对有限，不会造成物种消失。施工期间的动物保护措施如下：</w:t>
            </w:r>
          </w:p>
          <w:p w14:paraId="52DA258D">
            <w:pPr>
              <w:pStyle w:val="167"/>
              <w:keepNext w:val="0"/>
              <w:keepLines w:val="0"/>
              <w:pageBreakBefore w:val="0"/>
              <w:widowControl w:val="0"/>
              <w:kinsoku/>
              <w:wordWrap/>
              <w:overflowPunct/>
              <w:topLinePunct w:val="0"/>
              <w:autoSpaceDE/>
              <w:autoSpaceDN/>
              <w:bidi w:val="0"/>
              <w:adjustRightInd/>
              <w:snapToGrid/>
              <w:spacing w:line="360" w:lineRule="auto"/>
              <w:ind w:right="22"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①施工过程中尽量减少施工噪声，避免对野生动物活动的影响。野生动物大多是晨昏外出觅食，正午休息。为了减少工程施工噪声对野生动物的惊扰，施工单位应做好施工方式和施工时间的计划，并力求避免在晨昏和正午进行噪声较大的施工活动；</w:t>
            </w:r>
          </w:p>
          <w:p w14:paraId="6FD0E7C5">
            <w:pPr>
              <w:pStyle w:val="167"/>
              <w:keepNext w:val="0"/>
              <w:keepLines w:val="0"/>
              <w:pageBreakBefore w:val="0"/>
              <w:widowControl w:val="0"/>
              <w:kinsoku/>
              <w:wordWrap/>
              <w:overflowPunct/>
              <w:topLinePunct w:val="0"/>
              <w:autoSpaceDE/>
              <w:autoSpaceDN/>
              <w:bidi w:val="0"/>
              <w:adjustRightInd/>
              <w:snapToGrid/>
              <w:spacing w:line="360" w:lineRule="auto"/>
              <w:ind w:right="22"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②制定严格的施工操作规范，建立施工期生态环境监理制度，严禁施工车辆随意开辟施工便道。提高施工人员的保护意识，发放宣传手册，并在设立的标牌上注明严禁捕猎野生动物。</w:t>
            </w:r>
          </w:p>
          <w:p w14:paraId="20B7AD6A">
            <w:pPr>
              <w:pStyle w:val="167"/>
              <w:keepNext w:val="0"/>
              <w:keepLines w:val="0"/>
              <w:pageBreakBefore w:val="0"/>
              <w:widowControl w:val="0"/>
              <w:kinsoku/>
              <w:wordWrap/>
              <w:overflowPunct/>
              <w:topLinePunct w:val="0"/>
              <w:autoSpaceDE/>
              <w:autoSpaceDN/>
              <w:bidi w:val="0"/>
              <w:adjustRightInd/>
              <w:snapToGrid/>
              <w:spacing w:line="360" w:lineRule="auto"/>
              <w:ind w:right="22"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③施工期间，施工单位应加强对施工人员的生态保护宣传工作，杜绝施工人员伤害野生鸟类的行为。</w:t>
            </w:r>
          </w:p>
          <w:p w14:paraId="59953547">
            <w:pPr>
              <w:pStyle w:val="167"/>
              <w:keepNext w:val="0"/>
              <w:keepLines w:val="0"/>
              <w:pageBreakBefore w:val="0"/>
              <w:widowControl w:val="0"/>
              <w:numPr>
                <w:ilvl w:val="0"/>
                <w:numId w:val="10"/>
              </w:numPr>
              <w:kinsoku/>
              <w:wordWrap/>
              <w:overflowPunct/>
              <w:topLinePunct w:val="0"/>
              <w:autoSpaceDE/>
              <w:autoSpaceDN/>
              <w:bidi w:val="0"/>
              <w:adjustRightInd/>
              <w:snapToGrid/>
              <w:spacing w:line="360" w:lineRule="auto"/>
              <w:ind w:left="59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植物</w:t>
            </w:r>
          </w:p>
          <w:p w14:paraId="6DEE673D">
            <w:pPr>
              <w:pStyle w:val="16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施工过程中扰动土地植被及施工期造成的扬尘污染会影响周边植物的生长和生存。施工期的植被保护措施如下：</w:t>
            </w:r>
          </w:p>
          <w:p w14:paraId="78B86D48">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①施工前，对施工范围的布置要进行严格的审查，既少占地、又方便施工。</w:t>
            </w:r>
          </w:p>
          <w:p w14:paraId="03744ECB">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②在施工过程中，严格控制施工作业范围，尽量选择较为平坦的场地作为临时施工场地，合理堆放施工材料及土方料等，施工后及时清理施工现场；</w:t>
            </w:r>
          </w:p>
          <w:p w14:paraId="63E5C91D">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③合理布设道路。材料运输在条件具备的情况下，尽可能利用已有道路，减少对地表植被的破坏；</w:t>
            </w:r>
          </w:p>
          <w:p w14:paraId="53D238A3">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④施工过程中采取洒水、遮盖等防尘措施，减少扬尘对沿线植被的影响。 在工程建设施工过程中，须加强施工队伍组织和管理，应明确施工范围和行动路线，不得随意扩大施工活动区域，进行文明施工，不强砍林灌草丛和乱毁作物，降低植被损害；</w:t>
            </w:r>
          </w:p>
          <w:p w14:paraId="5B206748">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⑤基础、电缆沟等开挖时，应将表层土与下层土分开，暂时保存表层土用于今后的回填，以恢复土壤理性，临时表土堆场采取临时防护措施：设土袋挡护、拍实、表层覆盖草垫或苫盖纤维布等其它覆盖物；</w:t>
            </w:r>
          </w:p>
          <w:p w14:paraId="71716AEA">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 xml:space="preserve">⑥凡因施工破坏植被而造成裸露的土地（包括场界内外）应在施工结束后立即整治利用，尽量采用当地乡土种进行植被恢复。 </w:t>
            </w:r>
          </w:p>
          <w:p w14:paraId="4D68AF1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水生生物保护措施</w:t>
            </w:r>
          </w:p>
          <w:p w14:paraId="451A4C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①优化施工方案。在施工时，尽量避免在水塘附近堆放施工材料，运输建筑材料时要采取遮盖防尘等措施。施工前，应科学合理规划，加快施工进度，缩短水边施工时间，控制和减少污染物排放，尽量减小对水生生境的影响。同时，在施工时间上进行合理安排，尽量避免造成水塘大范围悬浮物浓度过高。</w:t>
            </w:r>
          </w:p>
          <w:p w14:paraId="4CEAF3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②合理安排项目施工时段和方式，并且尽量缩短水中作业的时间，减少对鱼类繁殖的影响。</w:t>
            </w:r>
          </w:p>
          <w:p w14:paraId="2BC760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③施工单位应加强对施工人员的生态环境保护宣传和教育工作，在工地及周边设立爱护野生动植物、鱼类的宣传牌，严禁施工人员捕捉、猎杀、捕捞野生动物和鱼类。</w:t>
            </w:r>
          </w:p>
          <w:p w14:paraId="61E13E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④划定施工界限。为消减施工队伍对水生生物的影响，要标明施工活动区， 严令禁止到非施工区域活动。</w:t>
            </w:r>
          </w:p>
          <w:p w14:paraId="6E3CF9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⑤合理分布光伏方阵，在光伏方阵之间留足够的光照空间，保证水生生态 系统正常进行光合作用；在项目四周留足够的水面，供鱼类活动；同时光伏方阵与水面留有足够的高度，减少生产活动对水生生物的干扰。</w:t>
            </w:r>
          </w:p>
          <w:p w14:paraId="50AFEB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 w:val="24"/>
                <w:szCs w:val="32"/>
                <w:lang w:val="en-US" w:eastAsia="zh-CN" w:bidi="ar-SA"/>
              </w:rPr>
            </w:pPr>
            <w:r>
              <w:rPr>
                <w:rFonts w:ascii="Times New Roman" w:hAnsi="Times New Roman" w:eastAsia="宋体" w:cs="Times New Roman"/>
                <w:kern w:val="2"/>
                <w:sz w:val="24"/>
                <w:szCs w:val="32"/>
                <w:lang w:val="en-US" w:eastAsia="zh-CN" w:bidi="ar-SA"/>
              </w:rPr>
              <w:t>⑥施工废水和生活污水严禁直排项目水塘。</w:t>
            </w:r>
          </w:p>
          <w:p w14:paraId="3DFAD3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z w:val="24"/>
              </w:rPr>
            </w:pPr>
            <w:r>
              <w:rPr>
                <w:bCs/>
                <w:sz w:val="24"/>
              </w:rPr>
              <w:t>通过上述措施可在施工期最大限度避免临时占地所带来的生态环境影响。</w:t>
            </w:r>
          </w:p>
          <w:p w14:paraId="453DFEDA">
            <w:pPr>
              <w:spacing w:line="360" w:lineRule="auto"/>
              <w:ind w:firstLine="482" w:firstLineChars="200"/>
              <w:rPr>
                <w:b/>
                <w:sz w:val="24"/>
              </w:rPr>
            </w:pPr>
            <w:r>
              <w:rPr>
                <w:rFonts w:hint="eastAsia"/>
                <w:b/>
                <w:sz w:val="24"/>
                <w:lang w:val="en-US" w:eastAsia="zh-CN"/>
              </w:rPr>
              <w:t>2</w:t>
            </w:r>
            <w:r>
              <w:rPr>
                <w:b/>
                <w:sz w:val="24"/>
              </w:rPr>
              <w:t>、施工期废气处理措施</w:t>
            </w:r>
          </w:p>
          <w:p w14:paraId="7A55193B">
            <w:pPr>
              <w:pStyle w:val="69"/>
              <w:tabs>
                <w:tab w:val="left" w:pos="1423"/>
              </w:tabs>
              <w:ind w:firstLine="480"/>
              <w:jc w:val="left"/>
              <w:rPr>
                <w:bCs/>
              </w:rPr>
            </w:pPr>
            <w:r>
              <w:rPr>
                <w:bCs/>
              </w:rPr>
              <w:t>（1）施工扬尘</w:t>
            </w:r>
          </w:p>
          <w:p w14:paraId="34159604">
            <w:pPr>
              <w:adjustRightInd w:val="0"/>
              <w:snapToGrid w:val="0"/>
              <w:spacing w:line="360" w:lineRule="auto"/>
              <w:ind w:firstLine="480" w:firstLineChars="200"/>
              <w:rPr>
                <w:bCs/>
                <w:sz w:val="24"/>
                <w:szCs w:val="18"/>
              </w:rPr>
            </w:pPr>
            <w:r>
              <w:rPr>
                <w:rFonts w:hint="eastAsia" w:ascii="宋体" w:hAnsi="宋体" w:cs="宋体"/>
                <w:sz w:val="24"/>
                <w:szCs w:val="32"/>
              </w:rPr>
              <w:t>①</w:t>
            </w:r>
            <w:r>
              <w:rPr>
                <w:sz w:val="24"/>
                <w:szCs w:val="32"/>
              </w:rPr>
              <w:t>本项目施工期应做好各项监管工作，强化措施，把建筑工地扬尘治理“六个百分之百”（即工地周边围挡、物料堆放覆盖、土方开挖湿法作业、路面硬化、出入车辆清洗、渣土车辆密闭运输）各项举措落到实处。压实建设、施工、监理等单位主体责任，做好施工现场扬尘治理工作；</w:t>
            </w:r>
          </w:p>
          <w:p w14:paraId="15FE1069">
            <w:pPr>
              <w:pStyle w:val="10"/>
              <w:widowControl w:val="0"/>
              <w:spacing w:before="0" w:after="0" w:line="360" w:lineRule="auto"/>
              <w:ind w:right="0" w:firstLine="480" w:firstLineChars="200"/>
              <w:rPr>
                <w:bCs/>
                <w:sz w:val="24"/>
                <w:szCs w:val="18"/>
              </w:rPr>
            </w:pPr>
            <w:r>
              <w:rPr>
                <w:rFonts w:hint="eastAsia" w:ascii="宋体" w:hAnsi="宋体" w:cs="宋体"/>
                <w:bCs/>
                <w:sz w:val="24"/>
                <w:szCs w:val="18"/>
              </w:rPr>
              <w:t>②</w:t>
            </w:r>
            <w:r>
              <w:rPr>
                <w:bCs/>
                <w:sz w:val="24"/>
                <w:szCs w:val="18"/>
              </w:rPr>
              <w:t>施工过程中每天定期洒水，防止二次扬尘污染，遇有4级以上大风或重度污染天气时，必须采取扬尘应急措施，严禁土方开挖、土方回填等作业；</w:t>
            </w:r>
          </w:p>
          <w:p w14:paraId="0209FC3C">
            <w:pPr>
              <w:pStyle w:val="10"/>
              <w:widowControl w:val="0"/>
              <w:spacing w:before="0" w:after="0" w:line="360" w:lineRule="auto"/>
              <w:ind w:right="0" w:firstLine="480" w:firstLineChars="200"/>
              <w:rPr>
                <w:bCs/>
                <w:sz w:val="24"/>
                <w:szCs w:val="18"/>
              </w:rPr>
            </w:pPr>
            <w:r>
              <w:rPr>
                <w:rFonts w:hint="eastAsia" w:ascii="宋体" w:hAnsi="宋体" w:cs="宋体"/>
                <w:bCs/>
                <w:sz w:val="24"/>
                <w:szCs w:val="18"/>
              </w:rPr>
              <w:t>③</w:t>
            </w:r>
            <w:r>
              <w:rPr>
                <w:bCs/>
                <w:sz w:val="24"/>
                <w:szCs w:val="18"/>
              </w:rPr>
              <w:t>项目光伏区距离居民较近的区域，为减少施工期扬尘对其影响，通过采取在临近居民点侧施工现场设置围挡；运输车辆路线应尽量避免经过村庄；临时建筑垃圾堆放位置远离居民点布置等措施；</w:t>
            </w:r>
          </w:p>
          <w:p w14:paraId="3F3CB205">
            <w:pPr>
              <w:pStyle w:val="10"/>
              <w:widowControl w:val="0"/>
              <w:spacing w:before="0" w:after="0" w:line="360" w:lineRule="auto"/>
              <w:ind w:right="0" w:firstLine="480" w:firstLineChars="200"/>
              <w:rPr>
                <w:bCs/>
                <w:sz w:val="24"/>
                <w:szCs w:val="18"/>
              </w:rPr>
            </w:pPr>
            <w:r>
              <w:rPr>
                <w:rFonts w:hint="eastAsia" w:ascii="宋体" w:hAnsi="宋体" w:cs="宋体"/>
                <w:bCs/>
                <w:sz w:val="24"/>
                <w:szCs w:val="18"/>
              </w:rPr>
              <w:t>④</w:t>
            </w:r>
            <w:r>
              <w:rPr>
                <w:bCs/>
                <w:sz w:val="24"/>
                <w:szCs w:val="18"/>
              </w:rPr>
              <w:t>施工现场集中堆放的土方和裸露场地必须采取覆盖、固化或绿化等降尘措施，严禁裸露；</w:t>
            </w:r>
          </w:p>
          <w:p w14:paraId="6FC754A6">
            <w:pPr>
              <w:pStyle w:val="10"/>
              <w:widowControl w:val="0"/>
              <w:spacing w:before="0" w:after="0" w:line="360" w:lineRule="auto"/>
              <w:ind w:right="0" w:firstLine="480" w:firstLineChars="200"/>
              <w:rPr>
                <w:bCs/>
                <w:sz w:val="24"/>
                <w:szCs w:val="18"/>
              </w:rPr>
            </w:pPr>
            <w:r>
              <w:rPr>
                <w:rFonts w:hint="eastAsia" w:ascii="宋体" w:hAnsi="宋体" w:cs="宋体"/>
                <w:bCs/>
                <w:sz w:val="24"/>
                <w:szCs w:val="18"/>
              </w:rPr>
              <w:t>⑤</w:t>
            </w:r>
            <w:r>
              <w:rPr>
                <w:bCs/>
                <w:sz w:val="24"/>
                <w:szCs w:val="18"/>
              </w:rPr>
              <w:t>将建筑垃圾堆放在临时建筑垃圾堆场内，并设置标牌用苫布遮盖，建筑垃圾清运按照规划好的运输路线运输。建筑垃圾运输过程中运输车辆用苫布遮盖，防止二次扬尘污染；</w:t>
            </w:r>
          </w:p>
          <w:p w14:paraId="7D64E327">
            <w:pPr>
              <w:pStyle w:val="10"/>
              <w:widowControl w:val="0"/>
              <w:spacing w:before="0" w:after="0" w:line="360" w:lineRule="auto"/>
              <w:ind w:right="0" w:firstLine="480" w:firstLineChars="200"/>
              <w:rPr>
                <w:bCs/>
                <w:sz w:val="24"/>
                <w:szCs w:val="18"/>
              </w:rPr>
            </w:pPr>
            <w:r>
              <w:rPr>
                <w:rFonts w:hint="eastAsia" w:ascii="宋体" w:hAnsi="宋体" w:cs="宋体"/>
                <w:bCs/>
                <w:sz w:val="24"/>
                <w:szCs w:val="18"/>
              </w:rPr>
              <w:t>⑥</w:t>
            </w:r>
            <w:r>
              <w:rPr>
                <w:bCs/>
                <w:sz w:val="24"/>
                <w:szCs w:val="18"/>
              </w:rPr>
              <w:t>施工生活垃圾集中收集至封闭式塑料桶内，日产日清。</w:t>
            </w:r>
          </w:p>
          <w:p w14:paraId="6781CA86">
            <w:pPr>
              <w:pStyle w:val="69"/>
              <w:tabs>
                <w:tab w:val="left" w:pos="1423"/>
              </w:tabs>
              <w:ind w:firstLine="480"/>
              <w:jc w:val="left"/>
              <w:rPr>
                <w:bCs/>
              </w:rPr>
            </w:pPr>
            <w:r>
              <w:rPr>
                <w:bCs/>
              </w:rPr>
              <w:t>（2）施工机械废气</w:t>
            </w:r>
          </w:p>
          <w:p w14:paraId="1AEA77E8">
            <w:pPr>
              <w:pStyle w:val="10"/>
              <w:widowControl w:val="0"/>
              <w:spacing w:before="0" w:after="0" w:line="360" w:lineRule="auto"/>
              <w:ind w:right="0" w:firstLine="480" w:firstLineChars="200"/>
              <w:rPr>
                <w:bCs/>
                <w:sz w:val="24"/>
              </w:rPr>
            </w:pPr>
            <w:r>
              <w:rPr>
                <w:bCs/>
                <w:sz w:val="24"/>
              </w:rPr>
              <w:t>施工过程中废气主要来源于施工机械和运输车辆等排放的废气。施工过程中应加强施工机械和车辆的维护保养。由于施工机械和运输车辆等排放的废气产生量较小，项目拟建地较开阔，空气流动性好，废气扩散快，对当地的空气环境影响较小。</w:t>
            </w:r>
          </w:p>
          <w:p w14:paraId="3519B626">
            <w:pPr>
              <w:pStyle w:val="69"/>
              <w:tabs>
                <w:tab w:val="left" w:pos="1423"/>
              </w:tabs>
              <w:ind w:firstLine="480"/>
              <w:jc w:val="left"/>
              <w:rPr>
                <w:bCs/>
                <w:szCs w:val="18"/>
              </w:rPr>
            </w:pPr>
            <w:r>
              <w:rPr>
                <w:bCs/>
                <w:szCs w:val="18"/>
              </w:rPr>
              <w:t>因此，采取上述措施后，可有效降低施工扬尘污染，施工场地扬尘满足《施工场地扬尘排放标准》(DB32/4437-2022)相关排放标准值，本项目施工过程中产生的废气对该地区环境空气质量不会产生较大影响，并且施工废气为间断排放，随施工结束而结束。</w:t>
            </w:r>
          </w:p>
          <w:p w14:paraId="4F1C516B">
            <w:pPr>
              <w:pStyle w:val="69"/>
              <w:tabs>
                <w:tab w:val="left" w:pos="1423"/>
              </w:tabs>
              <w:ind w:firstLine="480"/>
              <w:jc w:val="left"/>
              <w:rPr>
                <w:bCs/>
              </w:rPr>
            </w:pPr>
            <w:r>
              <w:rPr>
                <w:bCs/>
              </w:rPr>
              <w:t>（3）施工焊接烟尘</w:t>
            </w:r>
          </w:p>
          <w:p w14:paraId="650F14F0">
            <w:pPr>
              <w:pStyle w:val="10"/>
              <w:widowControl w:val="0"/>
              <w:adjustRightInd w:val="0"/>
              <w:spacing w:before="0" w:after="0" w:line="360" w:lineRule="auto"/>
              <w:ind w:right="0" w:firstLine="480" w:firstLineChars="200"/>
              <w:jc w:val="left"/>
              <w:rPr>
                <w:bCs/>
                <w:sz w:val="24"/>
                <w:szCs w:val="18"/>
              </w:rPr>
            </w:pPr>
            <w:r>
              <w:rPr>
                <w:bCs/>
                <w:sz w:val="24"/>
                <w:szCs w:val="18"/>
              </w:rPr>
              <w:t>本项目施工期使用的焊机为氩弧焊机，焊接烟尘主要成分为锰化物、三氧化二铁等金属氧化物。本项目焊接烟尘产生量较少，采用移动式焊烟除尘器对焊接烟尘进行收集处理后达标排放，经施工区上空大气稀释、扩散后对周围的空气环境影响可以接受。随着施工的结束，影响也随之消失。</w:t>
            </w:r>
          </w:p>
          <w:p w14:paraId="2D28A5E3">
            <w:pPr>
              <w:pStyle w:val="10"/>
              <w:widowControl w:val="0"/>
              <w:adjustRightInd w:val="0"/>
              <w:spacing w:before="0" w:after="0" w:line="360" w:lineRule="auto"/>
              <w:ind w:right="0" w:firstLine="480" w:firstLineChars="200"/>
              <w:jc w:val="left"/>
              <w:rPr>
                <w:bCs/>
                <w:sz w:val="24"/>
                <w:szCs w:val="18"/>
              </w:rPr>
            </w:pPr>
            <w:r>
              <w:rPr>
                <w:bCs/>
                <w:sz w:val="24"/>
                <w:szCs w:val="18"/>
              </w:rPr>
              <w:t>（4）</w:t>
            </w:r>
            <w:r>
              <w:rPr>
                <w:sz w:val="24"/>
              </w:rPr>
              <w:t>装修废气</w:t>
            </w:r>
          </w:p>
          <w:p w14:paraId="6E60C7B3">
            <w:pPr>
              <w:spacing w:line="360" w:lineRule="auto"/>
              <w:ind w:firstLine="480" w:firstLineChars="200"/>
              <w:rPr>
                <w:sz w:val="24"/>
              </w:rPr>
            </w:pPr>
            <w:r>
              <w:rPr>
                <w:sz w:val="24"/>
              </w:rPr>
              <w:t>装修采用环保水性漆，控制施工作业时间。</w:t>
            </w:r>
          </w:p>
          <w:p w14:paraId="3FAEC1CF">
            <w:pPr>
              <w:pStyle w:val="166"/>
              <w:numPr>
                <w:ilvl w:val="0"/>
                <w:numId w:val="12"/>
              </w:numPr>
              <w:spacing w:line="360" w:lineRule="auto"/>
              <w:ind w:firstLine="480"/>
              <w:rPr>
                <w:rFonts w:cs="Times New Roman"/>
                <w:sz w:val="24"/>
              </w:rPr>
            </w:pPr>
            <w:r>
              <w:rPr>
                <w:rFonts w:cs="Times New Roman"/>
                <w:sz w:val="24"/>
              </w:rPr>
              <w:t>补漆废气</w:t>
            </w:r>
          </w:p>
          <w:p w14:paraId="4210293A">
            <w:pPr>
              <w:pStyle w:val="166"/>
              <w:spacing w:line="360" w:lineRule="auto"/>
              <w:ind w:firstLine="480"/>
              <w:rPr>
                <w:rFonts w:cs="Times New Roman"/>
                <w:bCs/>
                <w:sz w:val="24"/>
                <w:szCs w:val="18"/>
              </w:rPr>
            </w:pPr>
            <w:r>
              <w:rPr>
                <w:rFonts w:cs="Times New Roman"/>
                <w:sz w:val="24"/>
                <w:szCs w:val="24"/>
              </w:rPr>
              <w:t>施工防锈补漆应使用低VOCs水性环保漆，补漆过程采用刷涂，规范施工方式，谨慎施工，禁止水性漆撒漏鱼塘水面等情况发生。</w:t>
            </w:r>
          </w:p>
          <w:p w14:paraId="6B5D2984">
            <w:pPr>
              <w:pStyle w:val="5"/>
              <w:numPr>
                <w:ilvl w:val="0"/>
                <w:numId w:val="0"/>
              </w:numPr>
              <w:adjustRightInd w:val="0"/>
              <w:snapToGrid w:val="0"/>
              <w:spacing w:line="360" w:lineRule="auto"/>
              <w:ind w:firstLine="482" w:firstLineChars="200"/>
              <w:rPr>
                <w:b/>
                <w:sz w:val="24"/>
              </w:rPr>
            </w:pPr>
            <w:r>
              <w:rPr>
                <w:rFonts w:hint="eastAsia"/>
                <w:b/>
                <w:sz w:val="24"/>
                <w:lang w:val="en-US" w:eastAsia="zh-CN"/>
              </w:rPr>
              <w:t>3</w:t>
            </w:r>
            <w:r>
              <w:rPr>
                <w:b/>
                <w:sz w:val="24"/>
              </w:rPr>
              <w:t>、施工期废水处理措施</w:t>
            </w:r>
          </w:p>
          <w:p w14:paraId="4854284C">
            <w:pPr>
              <w:adjustRightInd w:val="0"/>
              <w:snapToGrid w:val="0"/>
              <w:spacing w:line="360" w:lineRule="auto"/>
              <w:ind w:firstLine="480" w:firstLineChars="200"/>
              <w:rPr>
                <w:sz w:val="24"/>
                <w:szCs w:val="32"/>
              </w:rPr>
            </w:pPr>
            <w:r>
              <w:rPr>
                <w:sz w:val="24"/>
                <w:szCs w:val="32"/>
              </w:rPr>
              <w:t>（1）施工废水</w:t>
            </w:r>
          </w:p>
          <w:p w14:paraId="7FF0FF52">
            <w:pPr>
              <w:adjustRightInd w:val="0"/>
              <w:snapToGrid w:val="0"/>
              <w:spacing w:line="360" w:lineRule="auto"/>
              <w:ind w:firstLine="480" w:firstLineChars="200"/>
              <w:rPr>
                <w:sz w:val="24"/>
                <w:szCs w:val="32"/>
              </w:rPr>
            </w:pPr>
            <w:r>
              <w:rPr>
                <w:sz w:val="24"/>
              </w:rPr>
              <w:t>施工废水主要为机械修配和冲洗废水。机械修配和冲洗、汽车保养产生的废水为含油废水，石油类浓度约20mg/L。应尽量要求施工机械和车辆到附近专门清洗点或修理点进行清洗和修理，小部分在施工现场进行清洗和修理的施工机械、车辆所产生的机械保养冲洗废水、含油污水不得随意排放，经隔油、沉淀池处理后回用于车辆冲洗或施工现场洒水降尘，不外排</w:t>
            </w:r>
            <w:r>
              <w:rPr>
                <w:sz w:val="24"/>
                <w:szCs w:val="32"/>
              </w:rPr>
              <w:t>。</w:t>
            </w:r>
          </w:p>
          <w:p w14:paraId="75904A1D">
            <w:pPr>
              <w:adjustRightInd w:val="0"/>
              <w:snapToGrid w:val="0"/>
              <w:spacing w:line="360" w:lineRule="auto"/>
              <w:ind w:firstLine="480" w:firstLineChars="200"/>
              <w:rPr>
                <w:sz w:val="24"/>
                <w:szCs w:val="32"/>
              </w:rPr>
            </w:pPr>
            <w:r>
              <w:rPr>
                <w:sz w:val="24"/>
                <w:szCs w:val="32"/>
              </w:rPr>
              <w:t>（2）生活污水</w:t>
            </w:r>
          </w:p>
          <w:p w14:paraId="662EC2A1">
            <w:pPr>
              <w:adjustRightInd w:val="0"/>
              <w:snapToGrid w:val="0"/>
              <w:spacing w:line="360" w:lineRule="auto"/>
              <w:ind w:firstLine="480" w:firstLineChars="200"/>
              <w:rPr>
                <w:sz w:val="24"/>
                <w:szCs w:val="32"/>
              </w:rPr>
            </w:pPr>
            <w:r>
              <w:rPr>
                <w:sz w:val="24"/>
                <w:szCs w:val="32"/>
              </w:rPr>
              <w:t>施工生活污水经通过旱厕收集处理，定期清掏后回用于当地周边林地或周边农田施肥，不外排。</w:t>
            </w:r>
          </w:p>
          <w:p w14:paraId="5305290F">
            <w:pPr>
              <w:adjustRightInd w:val="0"/>
              <w:snapToGrid w:val="0"/>
              <w:spacing w:line="360" w:lineRule="auto"/>
              <w:ind w:firstLine="480" w:firstLineChars="200"/>
              <w:rPr>
                <w:sz w:val="24"/>
                <w:szCs w:val="32"/>
              </w:rPr>
            </w:pPr>
            <w:r>
              <w:rPr>
                <w:sz w:val="24"/>
                <w:szCs w:val="32"/>
              </w:rPr>
              <w:t>同时还应加强工程施工方环境监理，减少无序施工对渔场水体的扰动。在做好上述环保措施的基础上，施工过程中产生的废污水不会对周边水环境产生不良影响。</w:t>
            </w:r>
          </w:p>
          <w:p w14:paraId="2F35D8A9">
            <w:pPr>
              <w:pStyle w:val="5"/>
              <w:numPr>
                <w:ilvl w:val="0"/>
                <w:numId w:val="0"/>
              </w:numPr>
              <w:spacing w:line="360" w:lineRule="auto"/>
              <w:ind w:firstLine="482" w:firstLineChars="200"/>
              <w:rPr>
                <w:b/>
                <w:sz w:val="24"/>
              </w:rPr>
            </w:pPr>
            <w:r>
              <w:rPr>
                <w:rFonts w:hint="eastAsia"/>
                <w:b/>
                <w:sz w:val="24"/>
                <w:lang w:val="en-US" w:eastAsia="zh-CN"/>
              </w:rPr>
              <w:t>4</w:t>
            </w:r>
            <w:r>
              <w:rPr>
                <w:b/>
                <w:sz w:val="24"/>
              </w:rPr>
              <w:t>、施工期噪声防治措施</w:t>
            </w:r>
          </w:p>
          <w:p w14:paraId="155CA246">
            <w:pPr>
              <w:pStyle w:val="10"/>
              <w:widowControl w:val="0"/>
              <w:snapToGrid/>
              <w:spacing w:before="0" w:after="0" w:line="360" w:lineRule="auto"/>
              <w:ind w:right="0" w:firstLine="480" w:firstLineChars="200"/>
              <w:rPr>
                <w:bCs/>
                <w:sz w:val="24"/>
                <w:szCs w:val="18"/>
              </w:rPr>
            </w:pPr>
            <w:r>
              <w:rPr>
                <w:bCs/>
                <w:sz w:val="24"/>
              </w:rPr>
              <w:t>由于拟建项目施工期较短，施工期结束后，施工影响也随之消失。</w:t>
            </w:r>
            <w:r>
              <w:rPr>
                <w:bCs/>
                <w:sz w:val="24"/>
                <w:szCs w:val="18"/>
              </w:rPr>
              <w:t>项目施工阶段采取以下噪声控制措施：</w:t>
            </w:r>
          </w:p>
          <w:p w14:paraId="4D30A4A6">
            <w:pPr>
              <w:adjustRightInd w:val="0"/>
              <w:snapToGrid w:val="0"/>
              <w:spacing w:line="360" w:lineRule="auto"/>
              <w:ind w:firstLine="480" w:firstLineChars="200"/>
              <w:rPr>
                <w:sz w:val="24"/>
                <w:szCs w:val="32"/>
              </w:rPr>
            </w:pPr>
            <w:r>
              <w:rPr>
                <w:sz w:val="24"/>
                <w:szCs w:val="32"/>
              </w:rPr>
              <w:t>（1）施工期间按《建筑施工场界环境噪声排放标准》(GB12523-2011)进行施工时间、施工噪声的控制，夜间禁止施工。如根据工况要求必须连续作业，必须得到当地生态环境部门的许可方可施工，并可在必要时采用柔性吸声屏替代目前通用的尼龙质地的围挡；且夜间施工作业必需向周边居民公布施工的时间，并征求附近易受影响居民对工程建设的意见和建议，协调好与周边居民及单位之间的关系，取得民众的理解，避免引起噪声投诉；</w:t>
            </w:r>
          </w:p>
          <w:p w14:paraId="36522C74">
            <w:pPr>
              <w:adjustRightInd w:val="0"/>
              <w:snapToGrid w:val="0"/>
              <w:spacing w:line="360" w:lineRule="auto"/>
              <w:ind w:firstLine="480" w:firstLineChars="200"/>
              <w:rPr>
                <w:sz w:val="24"/>
                <w:szCs w:val="32"/>
              </w:rPr>
            </w:pPr>
            <w:r>
              <w:rPr>
                <w:sz w:val="24"/>
                <w:szCs w:val="32"/>
              </w:rPr>
              <w:t>（2）建设单位必须对施工时段作统筹安排，尽量避免高噪源同时进行施工，设置施工围挡；</w:t>
            </w:r>
          </w:p>
          <w:p w14:paraId="4CBA1868">
            <w:pPr>
              <w:adjustRightInd w:val="0"/>
              <w:snapToGrid w:val="0"/>
              <w:spacing w:line="360" w:lineRule="auto"/>
              <w:ind w:firstLine="480" w:firstLineChars="200"/>
              <w:rPr>
                <w:sz w:val="24"/>
                <w:szCs w:val="32"/>
              </w:rPr>
            </w:pPr>
            <w:r>
              <w:rPr>
                <w:sz w:val="24"/>
                <w:szCs w:val="32"/>
              </w:rPr>
              <w:t>（3）设备选型上采用新型低噪声设备，对运输车辆及动力机械要定期维护和管理，确保正常运转，以减少机械故障噪声的产生；闲置不用的设备立即关闭；</w:t>
            </w:r>
          </w:p>
          <w:p w14:paraId="1C2F6B0C">
            <w:pPr>
              <w:adjustRightInd w:val="0"/>
              <w:snapToGrid w:val="0"/>
              <w:spacing w:line="360" w:lineRule="auto"/>
              <w:ind w:firstLine="480" w:firstLineChars="200"/>
              <w:rPr>
                <w:sz w:val="24"/>
                <w:szCs w:val="32"/>
              </w:rPr>
            </w:pPr>
            <w:r>
              <w:rPr>
                <w:sz w:val="24"/>
                <w:szCs w:val="32"/>
              </w:rPr>
              <w:t>（4）与施工单位签订控噪协议，督促和监督其施工控噪工作的有效实施；</w:t>
            </w:r>
          </w:p>
          <w:p w14:paraId="195B9AD1">
            <w:pPr>
              <w:pStyle w:val="10"/>
              <w:widowControl w:val="0"/>
              <w:snapToGrid/>
              <w:spacing w:before="0" w:after="0" w:line="360" w:lineRule="auto"/>
              <w:ind w:right="0" w:firstLine="480" w:firstLineChars="200"/>
              <w:rPr>
                <w:sz w:val="24"/>
                <w:szCs w:val="32"/>
              </w:rPr>
            </w:pPr>
            <w:r>
              <w:rPr>
                <w:sz w:val="24"/>
                <w:szCs w:val="32"/>
              </w:rPr>
              <w:t>（5）项目光伏区基础施工、道路施工等边界外存在居民等声敏感目标，为避免对距离较近的环境保护目标产生噪声干扰，项目夜间不施工，将高噪声施工设备布置于场地中央，远离敏感目标，并采取适当的封闭和隔声措施如施工围挡等，严禁高噪音、高振动的设备在中午及夜间休息时间作业。且制定合理的运输线路，施工车辆的运行应尽量避开噪声敏感区域和噪声敏感时段，</w:t>
            </w:r>
            <w:r>
              <w:rPr>
                <w:bCs/>
                <w:spacing w:val="-8"/>
                <w:sz w:val="24"/>
                <w:szCs w:val="18"/>
              </w:rPr>
              <w:t>路过村庄时应采取限速、禁鸣等措施</w:t>
            </w:r>
            <w:r>
              <w:rPr>
                <w:bCs/>
                <w:sz w:val="24"/>
                <w:szCs w:val="18"/>
              </w:rPr>
              <w:t>，以防扰民，</w:t>
            </w:r>
            <w:r>
              <w:rPr>
                <w:sz w:val="24"/>
                <w:szCs w:val="32"/>
              </w:rPr>
              <w:t>降低对环境敏感目标的影响。</w:t>
            </w:r>
          </w:p>
          <w:p w14:paraId="157DE4A6">
            <w:pPr>
              <w:pStyle w:val="10"/>
              <w:widowControl w:val="0"/>
              <w:snapToGrid/>
              <w:spacing w:before="0" w:after="0" w:line="360" w:lineRule="auto"/>
              <w:ind w:right="0" w:firstLine="480" w:firstLineChars="200"/>
              <w:rPr>
                <w:bCs/>
                <w:sz w:val="24"/>
                <w:szCs w:val="18"/>
              </w:rPr>
            </w:pPr>
            <w:r>
              <w:rPr>
                <w:bCs/>
                <w:sz w:val="24"/>
                <w:szCs w:val="18"/>
              </w:rPr>
              <w:t>通过采取以上措施，可将施工期噪声降至最低，施工噪声对周围环境敏感点产生的影响会大大减轻。</w:t>
            </w:r>
          </w:p>
          <w:p w14:paraId="3F6D4EB1">
            <w:pPr>
              <w:pStyle w:val="5"/>
              <w:numPr>
                <w:ilvl w:val="0"/>
                <w:numId w:val="0"/>
              </w:numPr>
              <w:spacing w:line="360" w:lineRule="auto"/>
              <w:ind w:firstLine="482" w:firstLineChars="200"/>
              <w:rPr>
                <w:b/>
                <w:sz w:val="24"/>
              </w:rPr>
            </w:pPr>
            <w:r>
              <w:rPr>
                <w:rFonts w:hint="eastAsia"/>
                <w:b/>
                <w:sz w:val="24"/>
                <w:lang w:val="en-US" w:eastAsia="zh-CN"/>
              </w:rPr>
              <w:t>5</w:t>
            </w:r>
            <w:r>
              <w:rPr>
                <w:b/>
                <w:sz w:val="24"/>
              </w:rPr>
              <w:t>、施工期固体废物处理措施</w:t>
            </w:r>
          </w:p>
          <w:p w14:paraId="3A4B97CD">
            <w:pPr>
              <w:pStyle w:val="10"/>
              <w:widowControl w:val="0"/>
              <w:snapToGrid/>
              <w:spacing w:before="0" w:after="0" w:line="360" w:lineRule="auto"/>
              <w:ind w:right="0" w:firstLine="480" w:firstLineChars="200"/>
              <w:rPr>
                <w:bCs/>
                <w:sz w:val="24"/>
                <w:szCs w:val="18"/>
              </w:rPr>
            </w:pPr>
            <w:r>
              <w:rPr>
                <w:bCs/>
                <w:sz w:val="24"/>
                <w:szCs w:val="18"/>
              </w:rPr>
              <w:t>施工期的固体废物主要是土石方、建筑垃圾、设备安装过程的下脚料、包材等以及工作人员的生活垃圾。</w:t>
            </w:r>
          </w:p>
          <w:p w14:paraId="7A69673F">
            <w:pPr>
              <w:pStyle w:val="69"/>
              <w:tabs>
                <w:tab w:val="left" w:pos="1183"/>
              </w:tabs>
              <w:adjustRightInd w:val="0"/>
              <w:snapToGrid w:val="0"/>
              <w:ind w:firstLine="476"/>
              <w:rPr>
                <w:bCs/>
              </w:rPr>
            </w:pPr>
            <w:r>
              <w:rPr>
                <w:bCs/>
                <w:spacing w:val="-1"/>
              </w:rPr>
              <w:t>项目在</w:t>
            </w:r>
            <w:r>
              <w:t>挖方过程中将表土进行暂存后用于项目结束后的覆绿。开挖出的土方除在基坑附近预留足够回填土外，</w:t>
            </w:r>
            <w:r>
              <w:rPr>
                <w:kern w:val="0"/>
              </w:rPr>
              <w:t>其余弃方筑检修道路用</w:t>
            </w:r>
            <w:r>
              <w:rPr>
                <w:bCs/>
              </w:rPr>
              <w:t>。</w:t>
            </w:r>
          </w:p>
          <w:p w14:paraId="040C9906">
            <w:pPr>
              <w:pStyle w:val="10"/>
              <w:widowControl w:val="0"/>
              <w:adjustRightInd w:val="0"/>
              <w:spacing w:before="0" w:after="0" w:line="360" w:lineRule="auto"/>
              <w:ind w:right="0" w:firstLine="480" w:firstLineChars="200"/>
              <w:rPr>
                <w:kern w:val="2"/>
                <w:sz w:val="24"/>
                <w:szCs w:val="32"/>
              </w:rPr>
            </w:pPr>
            <w:r>
              <w:rPr>
                <w:kern w:val="2"/>
                <w:sz w:val="24"/>
                <w:szCs w:val="32"/>
              </w:rPr>
              <w:t>施工建筑垃圾主要为钢筋、板材、碎砖石等。建筑垃圾中钢筋、钢板、木材等下脚料分类收集至临时建筑垃圾堆场内，定期出售给废品收购站进行回收利用。</w:t>
            </w:r>
          </w:p>
          <w:p w14:paraId="576A3FE3">
            <w:pPr>
              <w:pStyle w:val="10"/>
              <w:widowControl w:val="0"/>
              <w:adjustRightInd w:val="0"/>
              <w:spacing w:before="0" w:after="0" w:line="360" w:lineRule="auto"/>
              <w:ind w:right="0" w:firstLine="480" w:firstLineChars="200"/>
              <w:rPr>
                <w:kern w:val="2"/>
                <w:sz w:val="24"/>
                <w:szCs w:val="32"/>
              </w:rPr>
            </w:pPr>
            <w:r>
              <w:rPr>
                <w:kern w:val="2"/>
                <w:sz w:val="24"/>
                <w:szCs w:val="32"/>
              </w:rPr>
              <w:t>太阳能发电系统组件安装及设备安装等过程产生的下脚料（导线、电缆等）、废包装材料（主要为废纸箱和木架）等均具有回收再利用价值，外售给废旧资源回收站。</w:t>
            </w:r>
          </w:p>
          <w:p w14:paraId="2F960996">
            <w:pPr>
              <w:pStyle w:val="69"/>
              <w:tabs>
                <w:tab w:val="left" w:pos="1184"/>
              </w:tabs>
              <w:ind w:firstLine="464"/>
              <w:jc w:val="left"/>
              <w:rPr>
                <w:bCs/>
              </w:rPr>
            </w:pPr>
            <w:r>
              <w:rPr>
                <w:bCs/>
                <w:spacing w:val="-4"/>
              </w:rPr>
              <w:t>生活垃圾产生量约</w:t>
            </w:r>
            <w:r>
              <w:rPr>
                <w:bCs/>
              </w:rPr>
              <w:t>15kg/d，在施工区设计垃圾桶，集中定点收集后，交由环卫部门处理。</w:t>
            </w:r>
          </w:p>
          <w:p w14:paraId="24FA5C86">
            <w:pPr>
              <w:pStyle w:val="10"/>
              <w:widowControl w:val="0"/>
              <w:snapToGrid/>
              <w:spacing w:before="0" w:after="0" w:line="360" w:lineRule="auto"/>
              <w:ind w:right="0" w:firstLine="480" w:firstLineChars="200"/>
              <w:rPr>
                <w:bCs/>
                <w:sz w:val="24"/>
                <w:szCs w:val="18"/>
              </w:rPr>
            </w:pPr>
            <w:r>
              <w:rPr>
                <w:bCs/>
                <w:sz w:val="24"/>
                <w:szCs w:val="18"/>
              </w:rPr>
              <w:t>总之，施工期固体废弃物排放是短期行为，本项目施工期加强固废管理，及时、安全的处理施工垃圾，施工期固体废物对环境影响较小。</w:t>
            </w:r>
          </w:p>
          <w:p w14:paraId="0E541B54">
            <w:pPr>
              <w:pStyle w:val="10"/>
              <w:widowControl w:val="0"/>
              <w:snapToGrid/>
              <w:spacing w:before="0" w:after="0" w:line="360" w:lineRule="auto"/>
              <w:ind w:right="0" w:firstLine="480" w:firstLineChars="200"/>
              <w:rPr>
                <w:bCs/>
                <w:sz w:val="24"/>
                <w:szCs w:val="18"/>
              </w:rPr>
            </w:pPr>
            <w:r>
              <w:rPr>
                <w:rFonts w:hint="eastAsia"/>
                <w:bCs/>
                <w:sz w:val="24"/>
                <w:szCs w:val="18"/>
                <w:lang w:val="en-US" w:eastAsia="zh-CN"/>
              </w:rPr>
              <w:t>6、</w:t>
            </w:r>
            <w:r>
              <w:rPr>
                <w:bCs/>
                <w:sz w:val="24"/>
                <w:szCs w:val="18"/>
              </w:rPr>
              <w:t>管理措施</w:t>
            </w:r>
          </w:p>
          <w:p w14:paraId="78B5EFC0">
            <w:pPr>
              <w:pStyle w:val="10"/>
              <w:widowControl w:val="0"/>
              <w:snapToGrid/>
              <w:spacing w:before="0" w:after="0" w:line="360" w:lineRule="auto"/>
              <w:ind w:right="0" w:firstLine="480" w:firstLineChars="200"/>
              <w:rPr>
                <w:bCs/>
                <w:sz w:val="24"/>
                <w:szCs w:val="18"/>
              </w:rPr>
            </w:pPr>
            <w:r>
              <w:rPr>
                <w:bCs/>
                <w:sz w:val="24"/>
                <w:szCs w:val="18"/>
              </w:rPr>
              <w:t>①建设单位在施工招标时应要求施工单位，在编制的施工组织大纲中应有完善的生态环境保护的措施和方案，在工程监理中应设置相应的监理人员，随时对施工过程进行监理。</w:t>
            </w:r>
          </w:p>
          <w:p w14:paraId="52569C71">
            <w:pPr>
              <w:pStyle w:val="10"/>
              <w:widowControl w:val="0"/>
              <w:snapToGrid/>
              <w:spacing w:before="0" w:after="0" w:line="360" w:lineRule="auto"/>
              <w:ind w:right="0" w:firstLine="480" w:firstLineChars="200"/>
              <w:rPr>
                <w:bCs/>
                <w:sz w:val="24"/>
                <w:szCs w:val="18"/>
              </w:rPr>
            </w:pPr>
            <w:r>
              <w:rPr>
                <w:bCs/>
                <w:sz w:val="24"/>
                <w:szCs w:val="18"/>
              </w:rPr>
              <w:t>②施工单位在施工前应加强对施工人员进行野生动物保护法律法规的宣传和教育，提高环境保护意识。施工过程中，禁止施工人员随时使用明火，防止发生火灾。</w:t>
            </w:r>
          </w:p>
          <w:p w14:paraId="35250F3F">
            <w:pPr>
              <w:pStyle w:val="10"/>
              <w:widowControl w:val="0"/>
              <w:snapToGrid/>
              <w:spacing w:before="0" w:after="0" w:line="360" w:lineRule="auto"/>
              <w:ind w:right="0" w:firstLine="480" w:firstLineChars="200"/>
              <w:rPr>
                <w:rFonts w:hint="eastAsia" w:eastAsia="宋体"/>
                <w:lang w:eastAsia="zh-CN"/>
              </w:rPr>
            </w:pPr>
            <w:r>
              <w:rPr>
                <w:bCs/>
                <w:sz w:val="24"/>
                <w:szCs w:val="18"/>
              </w:rPr>
              <w:t>综上，本项目施工量较小，在施工期间污染物产生量不大，施工周期较短。项目施工期合理安排施工周期，严格按照施工要求，采取以上措施后，对周环境污染较小，并会随施工期的结束而消失。通过采取以上生态保护措施，可最大限度的保护好项目区域的生态环境</w:t>
            </w:r>
            <w:r>
              <w:rPr>
                <w:rFonts w:hint="eastAsia"/>
                <w:bCs/>
                <w:sz w:val="24"/>
                <w:szCs w:val="18"/>
                <w:lang w:eastAsia="zh-CN"/>
              </w:rPr>
              <w:t>。</w:t>
            </w:r>
          </w:p>
        </w:tc>
      </w:tr>
      <w:tr w14:paraId="59CE4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Mar>
              <w:left w:w="28" w:type="dxa"/>
              <w:right w:w="28" w:type="dxa"/>
            </w:tcMar>
            <w:vAlign w:val="center"/>
          </w:tcPr>
          <w:p w14:paraId="69C940D8">
            <w:pPr>
              <w:adjustRightInd w:val="0"/>
              <w:snapToGrid w:val="0"/>
              <w:jc w:val="center"/>
              <w:rPr>
                <w:bCs/>
                <w:spacing w:val="10"/>
                <w:szCs w:val="21"/>
              </w:rPr>
            </w:pPr>
            <w:r>
              <w:rPr>
                <w:bCs/>
                <w:spacing w:val="10"/>
                <w:sz w:val="24"/>
              </w:rPr>
              <w:t>运营期生态环境保护措施</w:t>
            </w:r>
          </w:p>
        </w:tc>
        <w:tc>
          <w:tcPr>
            <w:tcW w:w="8743" w:type="dxa"/>
          </w:tcPr>
          <w:p w14:paraId="44759B7A">
            <w:pPr>
              <w:pStyle w:val="28"/>
              <w:spacing w:after="0" w:line="360" w:lineRule="auto"/>
              <w:ind w:left="0" w:leftChars="0" w:firstLine="522" w:firstLineChars="200"/>
              <w:rPr>
                <w:b/>
                <w:kern w:val="2"/>
              </w:rPr>
            </w:pPr>
            <w:r>
              <w:rPr>
                <w:rFonts w:hint="eastAsia"/>
                <w:b/>
                <w:spacing w:val="10"/>
                <w:lang w:val="en-US" w:eastAsia="zh-CN"/>
              </w:rPr>
              <w:t>1</w:t>
            </w:r>
            <w:r>
              <w:rPr>
                <w:b/>
                <w:spacing w:val="10"/>
              </w:rPr>
              <w:t>、</w:t>
            </w:r>
            <w:r>
              <w:rPr>
                <w:b/>
                <w:kern w:val="2"/>
              </w:rPr>
              <w:t>运营期生态环境保护措施</w:t>
            </w:r>
          </w:p>
          <w:p w14:paraId="741201BB">
            <w:pPr>
              <w:pStyle w:val="28"/>
              <w:spacing w:after="0" w:line="360" w:lineRule="auto"/>
              <w:ind w:left="0" w:leftChars="0" w:firstLine="480" w:firstLineChars="200"/>
            </w:pPr>
            <w:r>
              <w:rPr>
                <w:bCs/>
                <w:kern w:val="2"/>
              </w:rPr>
              <w:t>本项目不属于污染型工业项目，建</w:t>
            </w:r>
            <w:r>
              <w:t>成后无工业废气、废水排放。建设单位采取以下措施减轻对所在区域生态环境的影响。</w:t>
            </w:r>
          </w:p>
          <w:p w14:paraId="61946B2B">
            <w:pPr>
              <w:adjustRightInd w:val="0"/>
              <w:snapToGrid w:val="0"/>
              <w:spacing w:line="360" w:lineRule="auto"/>
              <w:ind w:firstLine="480" w:firstLineChars="200"/>
              <w:rPr>
                <w:sz w:val="24"/>
              </w:rPr>
            </w:pPr>
            <w:r>
              <w:rPr>
                <w:sz w:val="24"/>
              </w:rPr>
              <w:t>1）合理分布光伏方阵，在光伏方阵之间留有足够的光照空间，保证水生生态系统正常发生光合作用。基本不会形成低温水影响成鱼正常生产，同时因为光伏方阵适当遮阴，可防止夏季高温季节对成鱼的高温影响。</w:t>
            </w:r>
          </w:p>
          <w:p w14:paraId="65815EEB">
            <w:pPr>
              <w:adjustRightInd w:val="0"/>
              <w:snapToGrid w:val="0"/>
              <w:spacing w:line="360" w:lineRule="auto"/>
              <w:ind w:firstLine="480" w:firstLineChars="200"/>
              <w:rPr>
                <w:sz w:val="24"/>
              </w:rPr>
            </w:pPr>
            <w:r>
              <w:rPr>
                <w:sz w:val="24"/>
              </w:rPr>
              <w:t>2）在项目周边留有足够的水面，供鱼类活动。</w:t>
            </w:r>
          </w:p>
          <w:p w14:paraId="4F279EB1">
            <w:pPr>
              <w:adjustRightInd w:val="0"/>
              <w:snapToGrid w:val="0"/>
              <w:spacing w:line="360" w:lineRule="auto"/>
              <w:ind w:firstLine="480" w:firstLineChars="200"/>
              <w:rPr>
                <w:sz w:val="24"/>
              </w:rPr>
            </w:pPr>
            <w:r>
              <w:rPr>
                <w:sz w:val="24"/>
              </w:rPr>
              <w:t>3）光伏方阵与水面留有足够的高度，减少生产活动对水生生物的干扰。</w:t>
            </w:r>
            <w:r>
              <w:rPr>
                <w:bCs/>
                <w:sz w:val="24"/>
              </w:rPr>
              <w:t>鱼塘内选择合理的水生生物品种，保证项目所在地的生态平衡。</w:t>
            </w:r>
          </w:p>
          <w:p w14:paraId="4F050FCC">
            <w:pPr>
              <w:adjustRightInd w:val="0"/>
              <w:snapToGrid w:val="0"/>
              <w:spacing w:line="360" w:lineRule="auto"/>
              <w:ind w:firstLine="480" w:firstLineChars="200"/>
              <w:rPr>
                <w:sz w:val="24"/>
              </w:rPr>
            </w:pPr>
            <w:r>
              <w:rPr>
                <w:sz w:val="24"/>
              </w:rPr>
              <w:t>4）加强管理，巡检车辆只在巡检道路内行驶，避免对植被造成损害；加强对各项生态保护措施的日常维护；现场维护和检修应选择在昼间进行，避免影响周边动物夜间的正常活动。</w:t>
            </w:r>
          </w:p>
          <w:p w14:paraId="724854AF">
            <w:pPr>
              <w:adjustRightInd w:val="0"/>
              <w:snapToGrid w:val="0"/>
              <w:spacing w:line="360" w:lineRule="auto"/>
              <w:ind w:firstLine="480" w:firstLineChars="200"/>
              <w:rPr>
                <w:sz w:val="24"/>
              </w:rPr>
            </w:pPr>
            <w:r>
              <w:rPr>
                <w:sz w:val="24"/>
              </w:rPr>
              <w:t>采取以上措施后，项目运营期对区域的生态环境影响较小。</w:t>
            </w:r>
          </w:p>
          <w:p w14:paraId="34BA35CE">
            <w:pPr>
              <w:pStyle w:val="76"/>
              <w:spacing w:line="360" w:lineRule="auto"/>
              <w:ind w:firstLine="482" w:firstLineChars="200"/>
              <w:rPr>
                <w:b/>
              </w:rPr>
            </w:pPr>
            <w:r>
              <w:rPr>
                <w:rFonts w:hint="eastAsia"/>
                <w:b/>
                <w:lang w:val="en-US" w:eastAsia="zh-CN"/>
              </w:rPr>
              <w:t>2</w:t>
            </w:r>
            <w:r>
              <w:rPr>
                <w:b/>
              </w:rPr>
              <w:t>、水环境保护措施</w:t>
            </w:r>
          </w:p>
          <w:p w14:paraId="651135BB">
            <w:pPr>
              <w:spacing w:line="360" w:lineRule="auto"/>
              <w:ind w:firstLine="480" w:firstLineChars="200"/>
              <w:rPr>
                <w:bCs/>
                <w:sz w:val="24"/>
              </w:rPr>
            </w:pPr>
            <w:r>
              <w:rPr>
                <w:sz w:val="24"/>
                <w:szCs w:val="32"/>
              </w:rPr>
              <w:t>本工程光伏场区</w:t>
            </w:r>
            <w:r>
              <w:rPr>
                <w:sz w:val="24"/>
                <w:szCs w:val="21"/>
              </w:rPr>
              <w:t>光伏组件冲洗废水</w:t>
            </w:r>
            <w:r>
              <w:rPr>
                <w:bCs/>
                <w:sz w:val="24"/>
              </w:rPr>
              <w:t>除含SS外无其他污染物质，产生的清洗废水直接排入鱼塘内，对水体水质基本无影响。</w:t>
            </w:r>
          </w:p>
          <w:p w14:paraId="40C1551E">
            <w:pPr>
              <w:spacing w:line="360" w:lineRule="auto"/>
              <w:ind w:firstLine="482" w:firstLineChars="200"/>
              <w:rPr>
                <w:b/>
                <w:sz w:val="24"/>
              </w:rPr>
            </w:pPr>
            <w:r>
              <w:rPr>
                <w:rFonts w:hint="eastAsia"/>
                <w:b/>
                <w:sz w:val="24"/>
                <w:lang w:val="en-US" w:eastAsia="zh-CN"/>
              </w:rPr>
              <w:t>3</w:t>
            </w:r>
            <w:r>
              <w:rPr>
                <w:b/>
                <w:sz w:val="24"/>
              </w:rPr>
              <w:t>、大气环境保护措施</w:t>
            </w:r>
          </w:p>
          <w:p w14:paraId="20D34A41">
            <w:pPr>
              <w:spacing w:line="360" w:lineRule="auto"/>
              <w:ind w:firstLine="480" w:firstLineChars="200"/>
              <w:rPr>
                <w:bCs/>
                <w:sz w:val="24"/>
              </w:rPr>
            </w:pPr>
            <w:r>
              <w:rPr>
                <w:bCs/>
                <w:sz w:val="24"/>
              </w:rPr>
              <w:t>本项目是将太阳能转换为电能，属于清洁能源利用项目，因此运行期间无废气产生。</w:t>
            </w:r>
          </w:p>
          <w:p w14:paraId="46A8E5B2">
            <w:pPr>
              <w:tabs>
                <w:tab w:val="left" w:pos="675"/>
              </w:tabs>
              <w:adjustRightInd w:val="0"/>
              <w:snapToGrid w:val="0"/>
              <w:spacing w:line="360" w:lineRule="auto"/>
              <w:ind w:firstLine="482" w:firstLineChars="200"/>
              <w:rPr>
                <w:b/>
                <w:sz w:val="24"/>
              </w:rPr>
            </w:pPr>
            <w:r>
              <w:rPr>
                <w:rFonts w:hint="eastAsia"/>
                <w:b/>
                <w:sz w:val="24"/>
                <w:lang w:val="en-US" w:eastAsia="zh-CN"/>
              </w:rPr>
              <w:t>4</w:t>
            </w:r>
            <w:r>
              <w:rPr>
                <w:b/>
                <w:sz w:val="24"/>
              </w:rPr>
              <w:t>、声环境保护措施</w:t>
            </w:r>
          </w:p>
          <w:p w14:paraId="23E40024">
            <w:pPr>
              <w:pStyle w:val="90"/>
              <w:tabs>
                <w:tab w:val="left" w:pos="1241"/>
              </w:tabs>
              <w:ind w:firstLine="480"/>
              <w:jc w:val="left"/>
              <w:rPr>
                <w:bCs/>
              </w:rPr>
            </w:pPr>
            <w:r>
              <w:rPr>
                <w:bCs/>
              </w:rPr>
              <w:t>运营期噪声主要来自光伏发电区逆变、箱式变压器噪声，为减小噪声对周围环境的影响，本评价提出的噪声污染防治措施如下：</w:t>
            </w:r>
          </w:p>
          <w:p w14:paraId="64CA466F">
            <w:pPr>
              <w:pStyle w:val="90"/>
              <w:tabs>
                <w:tab w:val="left" w:pos="1241"/>
              </w:tabs>
              <w:ind w:firstLine="480"/>
              <w:jc w:val="left"/>
              <w:rPr>
                <w:bCs/>
              </w:rPr>
            </w:pPr>
            <w:r>
              <w:rPr>
                <w:rFonts w:hint="eastAsia" w:ascii="宋体" w:hAnsi="宋体" w:cs="宋体"/>
                <w:bCs/>
              </w:rPr>
              <w:t>①</w:t>
            </w:r>
            <w:r>
              <w:rPr>
                <w:bCs/>
              </w:rPr>
              <w:t>设备选型时，应选择低噪声设备；</w:t>
            </w:r>
          </w:p>
          <w:p w14:paraId="508F4F9D">
            <w:pPr>
              <w:pStyle w:val="90"/>
              <w:tabs>
                <w:tab w:val="left" w:pos="1241"/>
              </w:tabs>
              <w:ind w:firstLine="480"/>
              <w:jc w:val="left"/>
              <w:rPr>
                <w:bCs/>
              </w:rPr>
            </w:pPr>
            <w:r>
              <w:rPr>
                <w:rFonts w:hint="eastAsia" w:ascii="宋体" w:hAnsi="宋体" w:cs="宋体"/>
                <w:bCs/>
              </w:rPr>
              <w:t>②</w:t>
            </w:r>
            <w:r>
              <w:rPr>
                <w:bCs/>
              </w:rPr>
              <w:t>做好变压器等设备基础减震措施；</w:t>
            </w:r>
          </w:p>
          <w:p w14:paraId="08396734">
            <w:pPr>
              <w:pStyle w:val="90"/>
              <w:tabs>
                <w:tab w:val="left" w:pos="1241"/>
              </w:tabs>
              <w:ind w:firstLine="480"/>
              <w:jc w:val="left"/>
              <w:rPr>
                <w:bCs/>
              </w:rPr>
            </w:pPr>
            <w:r>
              <w:rPr>
                <w:rFonts w:hint="eastAsia" w:ascii="宋体" w:hAnsi="宋体" w:cs="宋体"/>
                <w:bCs/>
              </w:rPr>
              <w:t>③</w:t>
            </w:r>
            <w:r>
              <w:rPr>
                <w:bCs/>
              </w:rPr>
              <w:t>加强设备的运行管理，保证设备运行良好；定期对电气设备进行检修，减少因设备陈旧产生的噪声；</w:t>
            </w:r>
          </w:p>
          <w:p w14:paraId="1AFEF075">
            <w:pPr>
              <w:pStyle w:val="90"/>
              <w:tabs>
                <w:tab w:val="left" w:pos="1241"/>
              </w:tabs>
              <w:ind w:firstLine="480"/>
              <w:jc w:val="left"/>
              <w:rPr>
                <w:bCs/>
              </w:rPr>
            </w:pPr>
            <w:r>
              <w:rPr>
                <w:rFonts w:hint="eastAsia" w:ascii="宋体" w:hAnsi="宋体" w:cs="宋体"/>
                <w:bCs/>
              </w:rPr>
              <w:t>④</w:t>
            </w:r>
            <w:r>
              <w:rPr>
                <w:bCs/>
              </w:rPr>
              <w:t>对光伏场区合理布局，逆变、箱式变压器等产噪设备尽量远离较近声敏感目标布置。</w:t>
            </w:r>
          </w:p>
          <w:p w14:paraId="406B3611">
            <w:pPr>
              <w:pStyle w:val="90"/>
              <w:tabs>
                <w:tab w:val="left" w:pos="1241"/>
              </w:tabs>
              <w:ind w:firstLine="480"/>
              <w:jc w:val="left"/>
              <w:rPr>
                <w:bCs/>
              </w:rPr>
            </w:pPr>
            <w:r>
              <w:rPr>
                <w:bCs/>
              </w:rPr>
              <w:t>经采取上述措施后，对周边声环境影响较小。</w:t>
            </w:r>
          </w:p>
          <w:p w14:paraId="59CA0946">
            <w:pPr>
              <w:adjustRightInd w:val="0"/>
              <w:snapToGrid w:val="0"/>
              <w:spacing w:line="360" w:lineRule="auto"/>
              <w:ind w:firstLine="482" w:firstLineChars="200"/>
              <w:jc w:val="left"/>
              <w:rPr>
                <w:bCs/>
                <w:sz w:val="24"/>
              </w:rPr>
            </w:pPr>
            <w:r>
              <w:rPr>
                <w:rFonts w:hint="eastAsia"/>
                <w:b/>
                <w:sz w:val="24"/>
                <w:lang w:val="en-US" w:eastAsia="zh-CN"/>
              </w:rPr>
              <w:t>5</w:t>
            </w:r>
            <w:r>
              <w:rPr>
                <w:b/>
                <w:sz w:val="24"/>
              </w:rPr>
              <w:t>、固体废物处置措施</w:t>
            </w:r>
          </w:p>
          <w:p w14:paraId="4873C394">
            <w:pPr>
              <w:pStyle w:val="77"/>
              <w:spacing w:line="360" w:lineRule="auto"/>
              <w:ind w:firstLine="480" w:firstLineChars="200"/>
              <w:jc w:val="both"/>
              <w:rPr>
                <w:rFonts w:ascii="Times New Roman" w:hAnsi="Times New Roman" w:eastAsia="宋体" w:cs="Times New Roman"/>
                <w:b w:val="0"/>
                <w:bCs w:val="0"/>
                <w:color w:val="auto"/>
              </w:rPr>
            </w:pPr>
            <w:r>
              <w:rPr>
                <w:rFonts w:ascii="Times New Roman" w:hAnsi="Times New Roman" w:eastAsia="宋体" w:cs="Times New Roman"/>
                <w:b w:val="0"/>
                <w:bCs w:val="0"/>
                <w:color w:val="auto"/>
              </w:rPr>
              <w:t>项目产生的固体废物主要有废光伏组件。</w:t>
            </w:r>
          </w:p>
          <w:p w14:paraId="71513E49">
            <w:pPr>
              <w:pStyle w:val="77"/>
              <w:spacing w:line="360" w:lineRule="auto"/>
              <w:ind w:firstLine="480" w:firstLineChars="200"/>
              <w:jc w:val="both"/>
              <w:rPr>
                <w:rFonts w:ascii="Times New Roman" w:hAnsi="Times New Roman" w:eastAsia="宋体" w:cs="Times New Roman"/>
                <w:b w:val="0"/>
                <w:bCs w:val="0"/>
                <w:color w:val="auto"/>
              </w:rPr>
            </w:pPr>
            <w:r>
              <w:rPr>
                <w:rFonts w:ascii="Times New Roman" w:hAnsi="Times New Roman" w:eastAsia="宋体" w:cs="Times New Roman"/>
                <w:b w:val="0"/>
                <w:bCs w:val="0"/>
                <w:color w:val="auto"/>
              </w:rPr>
              <w:t>废光伏组件</w:t>
            </w:r>
            <w:r>
              <w:rPr>
                <w:rFonts w:hint="eastAsia" w:ascii="Times New Roman" w:hAnsi="Times New Roman" w:eastAsia="宋体" w:cs="Times New Roman"/>
                <w:b w:val="0"/>
                <w:bCs w:val="0"/>
                <w:color w:val="auto"/>
                <w:lang w:val="en-US" w:eastAsia="zh-CN"/>
              </w:rPr>
              <w:t>为一般固废，</w:t>
            </w:r>
            <w:r>
              <w:rPr>
                <w:rFonts w:ascii="Times New Roman" w:hAnsi="Times New Roman" w:eastAsia="宋体" w:cs="Times New Roman"/>
                <w:b w:val="0"/>
                <w:bCs w:val="0"/>
                <w:color w:val="auto"/>
              </w:rPr>
              <w:t>在遇检修更换，则直接由各厂家回收处理。</w:t>
            </w:r>
          </w:p>
          <w:p w14:paraId="65257C88">
            <w:pPr>
              <w:pStyle w:val="10"/>
              <w:adjustRightInd w:val="0"/>
              <w:spacing w:before="0" w:after="0" w:line="360" w:lineRule="auto"/>
              <w:ind w:right="0" w:firstLine="482" w:firstLineChars="200"/>
              <w:rPr>
                <w:b/>
                <w:sz w:val="24"/>
                <w:szCs w:val="24"/>
              </w:rPr>
            </w:pPr>
            <w:r>
              <w:rPr>
                <w:rFonts w:hint="eastAsia"/>
                <w:b/>
                <w:sz w:val="24"/>
                <w:szCs w:val="24"/>
                <w:lang w:val="en-US" w:eastAsia="zh-CN"/>
              </w:rPr>
              <w:t>6</w:t>
            </w:r>
            <w:r>
              <w:rPr>
                <w:b/>
                <w:sz w:val="24"/>
                <w:szCs w:val="24"/>
              </w:rPr>
              <w:t>、鸟类保护措施</w:t>
            </w:r>
          </w:p>
          <w:p w14:paraId="1C987C3D">
            <w:pPr>
              <w:adjustRightInd w:val="0"/>
              <w:snapToGrid w:val="0"/>
              <w:spacing w:line="360" w:lineRule="auto"/>
              <w:ind w:firstLine="480" w:firstLineChars="200"/>
              <w:rPr>
                <w:sz w:val="24"/>
              </w:rPr>
            </w:pPr>
            <w:r>
              <w:rPr>
                <w:sz w:val="24"/>
              </w:rPr>
              <w:t xml:space="preserve">1、噪声影响减缓措施 </w:t>
            </w:r>
          </w:p>
          <w:p w14:paraId="10DA985E">
            <w:pPr>
              <w:adjustRightInd w:val="0"/>
              <w:snapToGrid w:val="0"/>
              <w:spacing w:line="360" w:lineRule="auto"/>
              <w:ind w:firstLine="480" w:firstLineChars="200"/>
              <w:rPr>
                <w:sz w:val="24"/>
              </w:rPr>
            </w:pPr>
            <w:r>
              <w:rPr>
                <w:sz w:val="24"/>
              </w:rPr>
              <w:t>（1）尽量选择低噪声设备，最大限度降低噪声，同时还可以在机械的声源处安装消音设备；</w:t>
            </w:r>
          </w:p>
          <w:p w14:paraId="3E52AC43">
            <w:pPr>
              <w:adjustRightInd w:val="0"/>
              <w:snapToGrid w:val="0"/>
              <w:spacing w:line="360" w:lineRule="auto"/>
              <w:ind w:firstLine="480" w:firstLineChars="200"/>
              <w:rPr>
                <w:sz w:val="24"/>
              </w:rPr>
            </w:pPr>
            <w:r>
              <w:rPr>
                <w:sz w:val="24"/>
              </w:rPr>
              <w:t>（2）对产生噪音较大的设备采取吸声隔音的处理方法，以降低噪声；</w:t>
            </w:r>
          </w:p>
          <w:p w14:paraId="6A439B3B">
            <w:pPr>
              <w:adjustRightInd w:val="0"/>
              <w:snapToGrid w:val="0"/>
              <w:spacing w:line="360" w:lineRule="auto"/>
              <w:ind w:firstLine="480" w:firstLineChars="200"/>
              <w:rPr>
                <w:sz w:val="24"/>
              </w:rPr>
            </w:pPr>
            <w:r>
              <w:rPr>
                <w:sz w:val="24"/>
              </w:rPr>
              <w:t>（3）工作期间应加强设备的日常维修保养，避免超过正常噪声运转。</w:t>
            </w:r>
          </w:p>
          <w:p w14:paraId="36E9D734">
            <w:pPr>
              <w:adjustRightInd w:val="0"/>
              <w:snapToGrid w:val="0"/>
              <w:spacing w:line="360" w:lineRule="auto"/>
              <w:ind w:firstLine="480" w:firstLineChars="200"/>
              <w:rPr>
                <w:sz w:val="24"/>
              </w:rPr>
            </w:pPr>
            <w:r>
              <w:rPr>
                <w:sz w:val="24"/>
              </w:rPr>
              <w:t>2、撞鸟影响减缓措施</w:t>
            </w:r>
          </w:p>
          <w:p w14:paraId="1C77237B">
            <w:pPr>
              <w:adjustRightInd w:val="0"/>
              <w:snapToGrid w:val="0"/>
              <w:spacing w:line="360" w:lineRule="auto"/>
              <w:ind w:firstLine="480" w:firstLineChars="200"/>
              <w:rPr>
                <w:sz w:val="24"/>
              </w:rPr>
            </w:pPr>
            <w:r>
              <w:rPr>
                <w:sz w:val="24"/>
              </w:rPr>
              <w:t>（1）警示色标识：太阳能面板应当尽量采用黑色等折射率较小的面板，输电线应当选用红色与白色相间的警示色，使鸟类在飞行中能及时分辨出安全路线，以减少碰撞面板、电线的概率；</w:t>
            </w:r>
          </w:p>
          <w:p w14:paraId="0B25541D">
            <w:pPr>
              <w:adjustRightInd w:val="0"/>
              <w:snapToGrid w:val="0"/>
              <w:spacing w:line="360" w:lineRule="auto"/>
              <w:ind w:firstLine="480" w:firstLineChars="200"/>
              <w:rPr>
                <w:sz w:val="24"/>
              </w:rPr>
            </w:pPr>
            <w:r>
              <w:rPr>
                <w:sz w:val="24"/>
              </w:rPr>
              <w:t>（2）紧密联系相关部门，获取鸟类迁徙动态及气候变化动态，随时调整工作状态，同市、区林业局野生动物主管部门保持密切联系，密切关注每年迁徙性鸟类过境高峰时期，在该时期内建议调整面板角度避让。在鸟类迁徙强度大的季节，观测鸟类迁徙情况，调整运行时间等，合理避让林鸟迁徙高峰。密切关注鸟类迁徙期气候变化情况，大雾等能见度较低的恶劣天气应考虑调整太阳能面板角度以避免撞鸟事故概率的升高。</w:t>
            </w:r>
          </w:p>
          <w:p w14:paraId="29415A0A">
            <w:pPr>
              <w:adjustRightInd w:val="0"/>
              <w:snapToGrid w:val="0"/>
              <w:spacing w:line="360" w:lineRule="auto"/>
              <w:ind w:firstLine="480" w:firstLineChars="200"/>
              <w:rPr>
                <w:sz w:val="24"/>
              </w:rPr>
            </w:pPr>
            <w:r>
              <w:rPr>
                <w:sz w:val="24"/>
              </w:rPr>
              <w:t>3、建立长期监测救助机制</w:t>
            </w:r>
          </w:p>
          <w:p w14:paraId="2ABA6626">
            <w:pPr>
              <w:adjustRightInd w:val="0"/>
              <w:snapToGrid w:val="0"/>
              <w:spacing w:line="360" w:lineRule="auto"/>
              <w:ind w:firstLine="480" w:firstLineChars="200"/>
              <w:rPr>
                <w:sz w:val="24"/>
              </w:rPr>
            </w:pPr>
            <w:r>
              <w:rPr>
                <w:sz w:val="24"/>
              </w:rPr>
              <w:t>长期对鸟类开展监测与研究有利于进一步了解项目区周边鸟类活动规律，进一步确定渔光互补项目对鸟类产生的具体影响，从而更有效地针对鸟类迁徙、日常活动调整运行状态，以更好地实现渔光互补的生态经济效益。可联合当地的野保部门，设立鸟类救助站，并设置巡护员，在渔光互补项目运行期尤其是运行初期对太阳能面板周边开展鸟类搜救、记录活动，并辅佐鸟类监测工作的开展。</w:t>
            </w:r>
          </w:p>
          <w:p w14:paraId="1BE2E392">
            <w:pPr>
              <w:pStyle w:val="10"/>
              <w:adjustRightInd w:val="0"/>
              <w:spacing w:before="0" w:after="0" w:line="360" w:lineRule="auto"/>
              <w:ind w:right="0" w:firstLine="482" w:firstLineChars="200"/>
              <w:rPr>
                <w:b/>
                <w:sz w:val="24"/>
                <w:szCs w:val="18"/>
              </w:rPr>
            </w:pPr>
            <w:r>
              <w:rPr>
                <w:rFonts w:hint="eastAsia"/>
                <w:b/>
                <w:sz w:val="24"/>
                <w:szCs w:val="24"/>
                <w:lang w:val="en-US" w:eastAsia="zh-CN"/>
              </w:rPr>
              <w:t>7</w:t>
            </w:r>
            <w:r>
              <w:rPr>
                <w:b/>
                <w:sz w:val="24"/>
                <w:szCs w:val="24"/>
              </w:rPr>
              <w:t>、服务期满后生态</w:t>
            </w:r>
            <w:r>
              <w:rPr>
                <w:b/>
                <w:sz w:val="24"/>
                <w:szCs w:val="18"/>
              </w:rPr>
              <w:t>恢复措施</w:t>
            </w:r>
          </w:p>
          <w:p w14:paraId="58169A6D">
            <w:pPr>
              <w:pStyle w:val="10"/>
              <w:adjustRightInd w:val="0"/>
              <w:spacing w:before="0" w:after="0" w:line="360" w:lineRule="auto"/>
              <w:ind w:right="0" w:firstLine="480" w:firstLineChars="200"/>
              <w:rPr>
                <w:sz w:val="24"/>
                <w:szCs w:val="18"/>
              </w:rPr>
            </w:pPr>
            <w:r>
              <w:rPr>
                <w:sz w:val="24"/>
                <w:szCs w:val="18"/>
              </w:rPr>
              <w:t>本光伏电站运行期在25 年左右。服务期满后，应集中对电站内废旧的太阳能电池板、逆变器及变压器等进行妥善处置，届时按照国家的相关政策法规，对上述固废采取厂家回收再循环利用或交由有资质的机构回收的方式处理，不随意丢弃。拆除过程中，应科学设计，严格管理。按照国家各项施工规范和条例进行施工，并教育施工人员明确施工注意事项，文明施工，保证拆除施工质量，按期竣工验收。</w:t>
            </w:r>
          </w:p>
          <w:p w14:paraId="2A78FAF9">
            <w:pPr>
              <w:pStyle w:val="10"/>
              <w:adjustRightInd w:val="0"/>
              <w:spacing w:before="0" w:after="0" w:line="360" w:lineRule="auto"/>
              <w:ind w:right="0" w:firstLine="480" w:firstLineChars="200"/>
              <w:rPr>
                <w:sz w:val="24"/>
                <w:szCs w:val="18"/>
              </w:rPr>
            </w:pPr>
            <w:r>
              <w:rPr>
                <w:sz w:val="24"/>
                <w:szCs w:val="18"/>
              </w:rPr>
              <w:t>（1）拆除施工时，应尽量做到土石方平衡，粉状材料运输及堆存须加盖防尘布和选择不易流失的地点堆存，或设置简易堆棚，定点存放。</w:t>
            </w:r>
          </w:p>
          <w:p w14:paraId="179ADBBD">
            <w:pPr>
              <w:pStyle w:val="10"/>
              <w:adjustRightInd w:val="0"/>
              <w:spacing w:before="0" w:after="0" w:line="360" w:lineRule="auto"/>
              <w:ind w:right="0" w:firstLine="480" w:firstLineChars="200"/>
              <w:rPr>
                <w:sz w:val="24"/>
                <w:szCs w:val="18"/>
              </w:rPr>
            </w:pPr>
            <w:r>
              <w:rPr>
                <w:sz w:val="24"/>
                <w:szCs w:val="18"/>
              </w:rPr>
              <w:t>（2）施工中应分区合理施工，快速开挖，及时填埋夯实，并恢复地表。生活垃圾、粪便、弃土渣必须及时</w:t>
            </w:r>
            <w:r>
              <w:rPr>
                <w:rFonts w:hint="eastAsia"/>
                <w:sz w:val="24"/>
                <w:szCs w:val="18"/>
              </w:rPr>
              <w:t>清运至专业场所进行规范处置</w:t>
            </w:r>
            <w:r>
              <w:rPr>
                <w:sz w:val="24"/>
                <w:szCs w:val="18"/>
              </w:rPr>
              <w:t>，避免由此而产生的区域生态及区域卫生问题。</w:t>
            </w:r>
          </w:p>
          <w:p w14:paraId="0037C017">
            <w:pPr>
              <w:pStyle w:val="10"/>
              <w:adjustRightInd w:val="0"/>
              <w:spacing w:before="0" w:after="0" w:line="360" w:lineRule="auto"/>
              <w:ind w:right="0" w:firstLine="480" w:firstLineChars="200"/>
              <w:rPr>
                <w:sz w:val="24"/>
                <w:szCs w:val="18"/>
              </w:rPr>
            </w:pPr>
            <w:r>
              <w:rPr>
                <w:sz w:val="24"/>
                <w:szCs w:val="18"/>
              </w:rPr>
              <w:t>（3）施工噪声是一种短期行为，应合理安排施工时间，尽量缩短夜间施工，并禁止车辆及施工机械高音喇叭鸣叫，尽可能降低声环境影响。</w:t>
            </w:r>
          </w:p>
          <w:p w14:paraId="4DF175E5">
            <w:pPr>
              <w:pStyle w:val="10"/>
              <w:adjustRightInd w:val="0"/>
              <w:spacing w:before="0" w:after="0" w:line="360" w:lineRule="auto"/>
              <w:ind w:right="0" w:firstLine="480" w:firstLineChars="200"/>
              <w:rPr>
                <w:sz w:val="24"/>
                <w:szCs w:val="18"/>
              </w:rPr>
            </w:pPr>
            <w:r>
              <w:rPr>
                <w:sz w:val="24"/>
                <w:szCs w:val="18"/>
              </w:rPr>
              <w:t>（4）施工时对施工作业面应适时洒水，增加湿度，抑制扬尘飘移。另外，施工时要避开大风、尘暴等不利气象条件，尽可降低或避免对局地的扬尘污染。</w:t>
            </w:r>
          </w:p>
          <w:p w14:paraId="5F0CDA63">
            <w:pPr>
              <w:pStyle w:val="10"/>
              <w:adjustRightInd w:val="0"/>
              <w:spacing w:before="0" w:after="0" w:line="360" w:lineRule="auto"/>
              <w:ind w:right="0" w:firstLine="480" w:firstLineChars="200"/>
              <w:rPr>
                <w:sz w:val="24"/>
                <w:szCs w:val="18"/>
              </w:rPr>
            </w:pPr>
            <w:r>
              <w:rPr>
                <w:sz w:val="24"/>
                <w:szCs w:val="18"/>
              </w:rPr>
              <w:t>2、服务期满后生态恢复措施</w:t>
            </w:r>
          </w:p>
          <w:p w14:paraId="7C84675A">
            <w:pPr>
              <w:pStyle w:val="10"/>
              <w:adjustRightInd w:val="0"/>
              <w:spacing w:before="0" w:after="0" w:line="360" w:lineRule="auto"/>
              <w:ind w:right="0" w:firstLine="480" w:firstLineChars="200"/>
              <w:rPr>
                <w:sz w:val="24"/>
                <w:szCs w:val="18"/>
              </w:rPr>
            </w:pPr>
            <w:r>
              <w:rPr>
                <w:sz w:val="24"/>
                <w:szCs w:val="18"/>
              </w:rPr>
              <w:t>根据《省发展改革委等部门关于印发江苏省促进退役风电光伏设备循环利用的实施意见的通知》（苏发改资环发〔2023〕984 号）要求：“1.明确回收处理责任。督促指导集中式风电和光伏发电企业依法承担退役新能源设备（含零部件，下同）处理责任，不得擅自以填埋、焚烧、丢弃等方式非法处置退役设备，不得向生活垃圾收集设施中投放工业固体废弃物，节约资源，防治污染。2.完善回收处置方案。贯彻落实《风电场改造升级和退役管理办法》，督促指导发电企业依法依规负责风电场改造升级和退役的废弃物循环利用和处置，完善废弃物循环利用和处置方案，将退役设备回收、循环利用和妥善处置作为风电场改造升级项目的重要内容。3.做好生态修复。督促指导发电企业拆除风电、光伏设备后及时做好周边生态环境修复4.建立设备报废管理制度。指导发电企业完善退役风电、光伏设备报废管理制度，提升报废资产处置效率。落实国有资产交易流转有关要求，进一步优化国有退役风电、光伏设备处理处置制度，推动企业高效、规范处置相关资产。”</w:t>
            </w:r>
          </w:p>
          <w:p w14:paraId="346ED321">
            <w:pPr>
              <w:pStyle w:val="10"/>
              <w:adjustRightInd w:val="0"/>
              <w:spacing w:before="0" w:after="0" w:line="360" w:lineRule="auto"/>
              <w:ind w:right="0" w:firstLine="480" w:firstLineChars="200"/>
              <w:rPr>
                <w:sz w:val="24"/>
                <w:szCs w:val="18"/>
              </w:rPr>
            </w:pPr>
            <w:r>
              <w:rPr>
                <w:sz w:val="24"/>
                <w:szCs w:val="18"/>
              </w:rPr>
              <w:t>本项目退役后光伏组件由设备厂家回收，逆变器等设备交由有资质单位处理，组件支架等钢材、电缆外售给物资回收公司，所有建（构）物及其基础由拆迁公司拆除、清理，不存在填埋、焚烧、丢弃退役设备或向生活垃圾收集设施投放工业固体废弃物等行为。本项目光伏发电项目服务期满后会对构筑物、</w:t>
            </w:r>
          </w:p>
          <w:p w14:paraId="63226D33">
            <w:pPr>
              <w:pStyle w:val="10"/>
              <w:adjustRightInd w:val="0"/>
              <w:spacing w:before="0" w:after="0" w:line="360" w:lineRule="auto"/>
              <w:ind w:right="0" w:firstLine="480" w:firstLineChars="200"/>
              <w:rPr>
                <w:sz w:val="24"/>
                <w:szCs w:val="18"/>
              </w:rPr>
            </w:pPr>
            <w:r>
              <w:rPr>
                <w:sz w:val="24"/>
                <w:szCs w:val="18"/>
              </w:rPr>
              <w:t>设备拆除的场区应进行生态恢复：</w:t>
            </w:r>
          </w:p>
          <w:p w14:paraId="1B64B1D4">
            <w:pPr>
              <w:pStyle w:val="10"/>
              <w:adjustRightInd w:val="0"/>
              <w:spacing w:before="0" w:after="0" w:line="360" w:lineRule="auto"/>
              <w:ind w:right="0" w:firstLine="480" w:firstLineChars="200"/>
              <w:rPr>
                <w:sz w:val="24"/>
                <w:szCs w:val="18"/>
              </w:rPr>
            </w:pPr>
            <w:r>
              <w:rPr>
                <w:sz w:val="24"/>
                <w:szCs w:val="18"/>
              </w:rPr>
              <w:t>（1）掘除硬化地面基础，对场地进行恢复，在场区内播撒耐旱草籽，草种优先选用原著种；加大绿化面积；拆除过程中应尽量减少对土地的扰动，对于项目场区原绿化土地应保留。</w:t>
            </w:r>
          </w:p>
          <w:p w14:paraId="1E6D0C9A">
            <w:pPr>
              <w:pStyle w:val="10"/>
              <w:adjustRightInd w:val="0"/>
              <w:spacing w:before="0" w:after="0" w:line="360" w:lineRule="auto"/>
              <w:ind w:right="0" w:firstLine="480" w:firstLineChars="200"/>
              <w:rPr>
                <w:sz w:val="24"/>
                <w:szCs w:val="18"/>
              </w:rPr>
            </w:pPr>
            <w:r>
              <w:rPr>
                <w:sz w:val="24"/>
                <w:szCs w:val="18"/>
              </w:rPr>
              <w:t>（2）掘除光伏方阵区混凝土的基础，对场地进行恢复，覆土厚度30cm，并将光伏阵区侵蚀沟和低洼区域填土、平整，恢复后的场地则进行洒水和压实，以固结地表，防止产生扬尘和对土壤的风蚀，并进行植被恢复，对于少量不能进行植被恢复的区域，进行平整压实，以减轻水土流失。光伏电站在服务期满后，要严格采取固废处置及生态恢复的环保措施，确保无遗留环保问题。</w:t>
            </w:r>
          </w:p>
          <w:p w14:paraId="1E9CAF0D">
            <w:pPr>
              <w:pStyle w:val="10"/>
              <w:adjustRightInd w:val="0"/>
              <w:spacing w:before="0" w:after="0" w:line="360" w:lineRule="auto"/>
              <w:ind w:right="0" w:firstLine="480" w:firstLineChars="200"/>
            </w:pPr>
            <w:r>
              <w:rPr>
                <w:sz w:val="24"/>
                <w:szCs w:val="18"/>
              </w:rPr>
              <w:t>（3）检修道路中新建道路砂石路面破坏后，恢复后的场地进行洒水和压实，播种草籽进行植被恢复。</w:t>
            </w:r>
          </w:p>
        </w:tc>
      </w:tr>
      <w:tr w14:paraId="7444A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467" w:type="dxa"/>
            <w:vAlign w:val="center"/>
          </w:tcPr>
          <w:p w14:paraId="3ED02DAF">
            <w:pPr>
              <w:adjustRightInd w:val="0"/>
              <w:snapToGrid w:val="0"/>
              <w:jc w:val="center"/>
              <w:rPr>
                <w:bCs/>
                <w:spacing w:val="10"/>
                <w:sz w:val="24"/>
              </w:rPr>
            </w:pPr>
            <w:r>
              <w:rPr>
                <w:bCs/>
                <w:sz w:val="24"/>
              </w:rPr>
              <w:t>其他</w:t>
            </w:r>
          </w:p>
        </w:tc>
        <w:tc>
          <w:tcPr>
            <w:tcW w:w="8743" w:type="dxa"/>
            <w:vAlign w:val="center"/>
          </w:tcPr>
          <w:p w14:paraId="30125F62">
            <w:pPr>
              <w:adjustRightInd w:val="0"/>
              <w:snapToGrid w:val="0"/>
              <w:spacing w:line="360" w:lineRule="auto"/>
              <w:ind w:firstLine="478" w:firstLineChars="200"/>
              <w:rPr>
                <w:b/>
                <w:bCs/>
                <w:spacing w:val="-1"/>
                <w:sz w:val="24"/>
              </w:rPr>
            </w:pPr>
            <w:r>
              <w:rPr>
                <w:rFonts w:hint="eastAsia"/>
                <w:b/>
                <w:bCs/>
                <w:spacing w:val="-1"/>
                <w:sz w:val="24"/>
                <w:lang w:val="en-US" w:eastAsia="zh-CN"/>
              </w:rPr>
              <w:t>1</w:t>
            </w:r>
            <w:r>
              <w:rPr>
                <w:b/>
                <w:bCs/>
                <w:spacing w:val="-1"/>
                <w:sz w:val="24"/>
              </w:rPr>
              <w:t>、环境管理</w:t>
            </w:r>
          </w:p>
          <w:p w14:paraId="19B85103">
            <w:pPr>
              <w:adjustRightInd w:val="0"/>
              <w:snapToGrid w:val="0"/>
              <w:spacing w:line="360" w:lineRule="auto"/>
              <w:ind w:firstLine="476" w:firstLineChars="200"/>
              <w:rPr>
                <w:spacing w:val="-1"/>
                <w:sz w:val="24"/>
              </w:rPr>
            </w:pPr>
            <w:r>
              <w:rPr>
                <w:spacing w:val="-1"/>
                <w:sz w:val="24"/>
              </w:rPr>
              <w:t xml:space="preserve">本着“谁污染谁治理”的原则，本项目将建立以建设单位为责任主体的环境管理体系，为确保光伏电站影响区域环境保护目标的实现和各项环保措施的落实，特提出如下环境管理实施建议： </w:t>
            </w:r>
          </w:p>
          <w:p w14:paraId="0070896F">
            <w:pPr>
              <w:adjustRightInd w:val="0"/>
              <w:snapToGrid w:val="0"/>
              <w:spacing w:line="360" w:lineRule="auto"/>
              <w:ind w:firstLine="476" w:firstLineChars="200"/>
              <w:rPr>
                <w:spacing w:val="-1"/>
                <w:sz w:val="24"/>
              </w:rPr>
            </w:pPr>
            <w:r>
              <w:rPr>
                <w:spacing w:val="-1"/>
                <w:sz w:val="24"/>
              </w:rPr>
              <w:t>（1）加强环境监督与管理，环境管理人员应深入施工现场，监督环保措施的实施。</w:t>
            </w:r>
          </w:p>
          <w:p w14:paraId="7F5CDDBB">
            <w:pPr>
              <w:adjustRightInd w:val="0"/>
              <w:snapToGrid w:val="0"/>
              <w:spacing w:line="360" w:lineRule="auto"/>
              <w:ind w:firstLine="476" w:firstLineChars="200"/>
              <w:rPr>
                <w:spacing w:val="-1"/>
                <w:sz w:val="24"/>
              </w:rPr>
            </w:pPr>
            <w:r>
              <w:rPr>
                <w:spacing w:val="-1"/>
                <w:sz w:val="24"/>
              </w:rPr>
              <w:t>（2）严格执行国家环保有关政策和法规，及时协助有关环保部门进行项目环境保护。</w:t>
            </w:r>
          </w:p>
          <w:p w14:paraId="163ED2DA">
            <w:pPr>
              <w:adjustRightInd w:val="0"/>
              <w:snapToGrid w:val="0"/>
              <w:spacing w:line="360" w:lineRule="auto"/>
              <w:ind w:firstLine="476" w:firstLineChars="200"/>
              <w:rPr>
                <w:spacing w:val="-1"/>
                <w:sz w:val="24"/>
              </w:rPr>
            </w:pPr>
            <w:r>
              <w:rPr>
                <w:spacing w:val="-1"/>
                <w:sz w:val="24"/>
              </w:rPr>
              <w:t>（3）建立、健全环境管理制度，设置专职或兼职环保人员，负责日常环保安全，定期检查环保管理和环境监测工作。</w:t>
            </w:r>
          </w:p>
          <w:p w14:paraId="3DF20581">
            <w:pPr>
              <w:adjustRightInd w:val="0"/>
              <w:snapToGrid w:val="0"/>
              <w:spacing w:line="360" w:lineRule="auto"/>
              <w:ind w:firstLine="476" w:firstLineChars="200"/>
              <w:rPr>
                <w:spacing w:val="-1"/>
                <w:sz w:val="24"/>
              </w:rPr>
            </w:pPr>
            <w:r>
              <w:rPr>
                <w:spacing w:val="-1"/>
                <w:sz w:val="24"/>
              </w:rPr>
              <w:t>（4）制定各种可能发生事故的应急计划，定期对职工进行培训演练，配备各种必要的维护、抢修器材和设备，保证发生事故时能及时到位。</w:t>
            </w:r>
          </w:p>
          <w:p w14:paraId="215B51A6">
            <w:pPr>
              <w:adjustRightInd w:val="0"/>
              <w:snapToGrid w:val="0"/>
              <w:spacing w:line="360" w:lineRule="auto"/>
              <w:ind w:firstLine="478" w:firstLineChars="200"/>
              <w:rPr>
                <w:b/>
                <w:bCs/>
                <w:spacing w:val="-1"/>
                <w:sz w:val="24"/>
              </w:rPr>
            </w:pPr>
            <w:r>
              <w:rPr>
                <w:rFonts w:hint="eastAsia"/>
                <w:b/>
                <w:bCs/>
                <w:spacing w:val="-1"/>
                <w:sz w:val="24"/>
                <w:lang w:val="en-US" w:eastAsia="zh-CN"/>
              </w:rPr>
              <w:t>2</w:t>
            </w:r>
            <w:r>
              <w:rPr>
                <w:b/>
                <w:bCs/>
                <w:spacing w:val="-1"/>
                <w:sz w:val="24"/>
              </w:rPr>
              <w:t>、与排污许可证的衔接</w:t>
            </w:r>
          </w:p>
          <w:p w14:paraId="0B2060DB">
            <w:pPr>
              <w:spacing w:line="360" w:lineRule="auto"/>
              <w:ind w:firstLine="480" w:firstLineChars="200"/>
            </w:pPr>
            <w:r>
              <w:rPr>
                <w:sz w:val="24"/>
              </w:rPr>
              <w:t>根据《固定污染源排污许可分类管理名录（2019年版）》，对照排污许可分类管理名录，本项目所涉及的行业“太阳能发电〔D4416〕”未作规定。</w:t>
            </w:r>
          </w:p>
        </w:tc>
      </w:tr>
      <w:tr w14:paraId="0CC1E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4" w:hRule="atLeast"/>
          <w:jc w:val="center"/>
        </w:trPr>
        <w:tc>
          <w:tcPr>
            <w:tcW w:w="467" w:type="dxa"/>
            <w:vAlign w:val="center"/>
          </w:tcPr>
          <w:p w14:paraId="77C07A5F">
            <w:pPr>
              <w:adjustRightInd w:val="0"/>
              <w:snapToGrid w:val="0"/>
              <w:jc w:val="center"/>
              <w:rPr>
                <w:bCs/>
                <w:spacing w:val="10"/>
                <w:szCs w:val="21"/>
              </w:rPr>
            </w:pPr>
            <w:r>
              <w:rPr>
                <w:bCs/>
                <w:sz w:val="24"/>
              </w:rPr>
              <w:t>环保投资</w:t>
            </w:r>
          </w:p>
        </w:tc>
        <w:tc>
          <w:tcPr>
            <w:tcW w:w="8743" w:type="dxa"/>
          </w:tcPr>
          <w:p w14:paraId="37EDBF14">
            <w:pPr>
              <w:snapToGrid w:val="0"/>
              <w:spacing w:line="360" w:lineRule="auto"/>
              <w:ind w:firstLine="480" w:firstLineChars="200"/>
              <w:rPr>
                <w:bCs/>
              </w:rPr>
            </w:pPr>
            <w:r>
              <w:rPr>
                <w:rFonts w:hint="eastAsia"/>
                <w:bCs/>
                <w:color w:val="000000"/>
                <w:sz w:val="24"/>
              </w:rPr>
              <w:t>本项目总投资</w:t>
            </w:r>
            <w:r>
              <w:rPr>
                <w:rFonts w:hint="eastAsia"/>
                <w:kern w:val="0"/>
                <w:sz w:val="24"/>
                <w:lang w:bidi="ar"/>
              </w:rPr>
              <w:t>105000</w:t>
            </w:r>
            <w:r>
              <w:rPr>
                <w:rFonts w:hint="eastAsia"/>
                <w:bCs/>
                <w:color w:val="000000"/>
                <w:sz w:val="24"/>
              </w:rPr>
              <w:t>万元，</w:t>
            </w:r>
            <w:r>
              <w:rPr>
                <w:bCs/>
                <w:sz w:val="24"/>
              </w:rPr>
              <w:t>环保投资包括废水、废气治理、噪声控制及固体废物处理与处置等费用，根据项目预算，环保投资费用总计</w:t>
            </w:r>
            <w:r>
              <w:rPr>
                <w:rFonts w:hint="eastAsia"/>
                <w:bCs/>
                <w:sz w:val="24"/>
                <w:lang w:val="en-US" w:eastAsia="zh-CN"/>
              </w:rPr>
              <w:t>150</w:t>
            </w:r>
            <w:r>
              <w:rPr>
                <w:bCs/>
                <w:sz w:val="24"/>
              </w:rPr>
              <w:t>万元，占总投资的0.1</w:t>
            </w:r>
            <w:r>
              <w:rPr>
                <w:rFonts w:hint="eastAsia"/>
                <w:bCs/>
                <w:sz w:val="24"/>
                <w:lang w:val="en-US" w:eastAsia="zh-CN"/>
              </w:rPr>
              <w:t>4</w:t>
            </w:r>
            <w:r>
              <w:rPr>
                <w:bCs/>
                <w:sz w:val="24"/>
              </w:rPr>
              <w:t>%。主要环保投资清单见表5-2。</w:t>
            </w:r>
          </w:p>
          <w:p w14:paraId="3B0D3A9E">
            <w:pPr>
              <w:jc w:val="center"/>
              <w:rPr>
                <w:b/>
                <w:sz w:val="24"/>
              </w:rPr>
            </w:pPr>
            <w:r>
              <w:rPr>
                <w:b/>
                <w:sz w:val="24"/>
              </w:rPr>
              <w:t>表5-2环保投资估算汇总表</w:t>
            </w:r>
          </w:p>
          <w:tbl>
            <w:tblPr>
              <w:tblStyle w:val="80"/>
              <w:tblW w:w="824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63"/>
              <w:gridCol w:w="2059"/>
              <w:gridCol w:w="2059"/>
              <w:gridCol w:w="2064"/>
            </w:tblGrid>
            <w:tr w14:paraId="0B1BB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063" w:type="dxa"/>
                  <w:vAlign w:val="center"/>
                </w:tcPr>
                <w:p w14:paraId="08672127">
                  <w:pPr>
                    <w:pStyle w:val="93"/>
                    <w:jc w:val="center"/>
                    <w:rPr>
                      <w:b/>
                      <w:bCs/>
                    </w:rPr>
                  </w:pPr>
                  <w:r>
                    <w:rPr>
                      <w:b/>
                      <w:bCs/>
                    </w:rPr>
                    <w:t>阶段</w:t>
                  </w:r>
                </w:p>
              </w:tc>
              <w:tc>
                <w:tcPr>
                  <w:tcW w:w="2059" w:type="dxa"/>
                  <w:vAlign w:val="center"/>
                </w:tcPr>
                <w:p w14:paraId="11A7E000">
                  <w:pPr>
                    <w:pStyle w:val="93"/>
                    <w:jc w:val="center"/>
                    <w:rPr>
                      <w:b/>
                      <w:bCs/>
                    </w:rPr>
                  </w:pPr>
                  <w:r>
                    <w:rPr>
                      <w:b/>
                      <w:bCs/>
                    </w:rPr>
                    <w:t>项目</w:t>
                  </w:r>
                </w:p>
              </w:tc>
              <w:tc>
                <w:tcPr>
                  <w:tcW w:w="2059" w:type="dxa"/>
                  <w:vAlign w:val="center"/>
                </w:tcPr>
                <w:p w14:paraId="1D2CFFC2">
                  <w:pPr>
                    <w:pStyle w:val="93"/>
                    <w:jc w:val="center"/>
                    <w:rPr>
                      <w:b/>
                      <w:bCs/>
                    </w:rPr>
                  </w:pPr>
                  <w:r>
                    <w:rPr>
                      <w:b/>
                      <w:bCs/>
                    </w:rPr>
                    <w:t>措施内容</w:t>
                  </w:r>
                </w:p>
              </w:tc>
              <w:tc>
                <w:tcPr>
                  <w:tcW w:w="2064" w:type="dxa"/>
                  <w:vAlign w:val="center"/>
                </w:tcPr>
                <w:p w14:paraId="49A983DC">
                  <w:pPr>
                    <w:pStyle w:val="93"/>
                    <w:jc w:val="center"/>
                    <w:rPr>
                      <w:b/>
                      <w:bCs/>
                    </w:rPr>
                  </w:pPr>
                  <w:r>
                    <w:rPr>
                      <w:b/>
                      <w:bCs/>
                    </w:rPr>
                    <w:t>投资（万元）</w:t>
                  </w:r>
                </w:p>
              </w:tc>
            </w:tr>
            <w:tr w14:paraId="13F6C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063" w:type="dxa"/>
                  <w:vMerge w:val="restart"/>
                  <w:tcBorders>
                    <w:bottom w:val="nil"/>
                  </w:tcBorders>
                  <w:vAlign w:val="center"/>
                </w:tcPr>
                <w:p w14:paraId="4078CDB5">
                  <w:pPr>
                    <w:pStyle w:val="93"/>
                    <w:jc w:val="center"/>
                  </w:pPr>
                  <w:r>
                    <w:t>施工期</w:t>
                  </w:r>
                </w:p>
              </w:tc>
              <w:tc>
                <w:tcPr>
                  <w:tcW w:w="2059" w:type="dxa"/>
                  <w:vAlign w:val="center"/>
                </w:tcPr>
                <w:p w14:paraId="0EEE7B6E">
                  <w:pPr>
                    <w:pStyle w:val="93"/>
                    <w:jc w:val="center"/>
                  </w:pPr>
                  <w:r>
                    <w:t>废气</w:t>
                  </w:r>
                </w:p>
              </w:tc>
              <w:tc>
                <w:tcPr>
                  <w:tcW w:w="2059" w:type="dxa"/>
                  <w:vAlign w:val="center"/>
                </w:tcPr>
                <w:p w14:paraId="3FFED7B8">
                  <w:pPr>
                    <w:pStyle w:val="93"/>
                    <w:jc w:val="center"/>
                  </w:pPr>
                  <w:r>
                    <w:t>施工场地及材料运</w:t>
                  </w:r>
                </w:p>
                <w:p w14:paraId="6D97FB7B">
                  <w:pPr>
                    <w:pStyle w:val="93"/>
                    <w:jc w:val="center"/>
                  </w:pPr>
                  <w:r>
                    <w:t>输路线、施工场地抑</w:t>
                  </w:r>
                </w:p>
                <w:p w14:paraId="77CE950E">
                  <w:pPr>
                    <w:pStyle w:val="93"/>
                    <w:jc w:val="center"/>
                  </w:pPr>
                  <w:r>
                    <w:t>尘</w:t>
                  </w:r>
                </w:p>
              </w:tc>
              <w:tc>
                <w:tcPr>
                  <w:tcW w:w="2064" w:type="dxa"/>
                  <w:vAlign w:val="center"/>
                </w:tcPr>
                <w:p w14:paraId="5E0BFE68">
                  <w:pPr>
                    <w:pStyle w:val="93"/>
                    <w:jc w:val="center"/>
                  </w:pPr>
                  <w:r>
                    <w:t>15</w:t>
                  </w:r>
                </w:p>
              </w:tc>
            </w:tr>
            <w:tr w14:paraId="50265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063" w:type="dxa"/>
                  <w:vMerge w:val="continue"/>
                  <w:tcBorders>
                    <w:top w:val="nil"/>
                    <w:bottom w:val="nil"/>
                  </w:tcBorders>
                  <w:vAlign w:val="center"/>
                </w:tcPr>
                <w:p w14:paraId="1CB95480">
                  <w:pPr>
                    <w:pStyle w:val="93"/>
                    <w:jc w:val="center"/>
                  </w:pPr>
                </w:p>
              </w:tc>
              <w:tc>
                <w:tcPr>
                  <w:tcW w:w="2059" w:type="dxa"/>
                  <w:vAlign w:val="center"/>
                </w:tcPr>
                <w:p w14:paraId="06A5B11B">
                  <w:pPr>
                    <w:pStyle w:val="93"/>
                    <w:jc w:val="center"/>
                  </w:pPr>
                  <w:r>
                    <w:t>废水</w:t>
                  </w:r>
                </w:p>
              </w:tc>
              <w:tc>
                <w:tcPr>
                  <w:tcW w:w="2059" w:type="dxa"/>
                  <w:vAlign w:val="center"/>
                </w:tcPr>
                <w:p w14:paraId="3E34FC10">
                  <w:pPr>
                    <w:pStyle w:val="93"/>
                    <w:jc w:val="center"/>
                  </w:pPr>
                  <w:r>
                    <w:t>设置沉淀池、隔油池 等</w:t>
                  </w:r>
                </w:p>
              </w:tc>
              <w:tc>
                <w:tcPr>
                  <w:tcW w:w="2064" w:type="dxa"/>
                  <w:vAlign w:val="center"/>
                </w:tcPr>
                <w:p w14:paraId="4AF6B7AB">
                  <w:pPr>
                    <w:pStyle w:val="93"/>
                    <w:jc w:val="center"/>
                  </w:pPr>
                  <w:r>
                    <w:t>15</w:t>
                  </w:r>
                </w:p>
              </w:tc>
            </w:tr>
            <w:tr w14:paraId="0C5D6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063" w:type="dxa"/>
                  <w:vMerge w:val="continue"/>
                  <w:tcBorders>
                    <w:top w:val="nil"/>
                    <w:bottom w:val="nil"/>
                  </w:tcBorders>
                  <w:vAlign w:val="center"/>
                </w:tcPr>
                <w:p w14:paraId="705384EC">
                  <w:pPr>
                    <w:pStyle w:val="93"/>
                    <w:jc w:val="center"/>
                  </w:pPr>
                </w:p>
              </w:tc>
              <w:tc>
                <w:tcPr>
                  <w:tcW w:w="2059" w:type="dxa"/>
                  <w:vAlign w:val="center"/>
                </w:tcPr>
                <w:p w14:paraId="5A0B09FF">
                  <w:pPr>
                    <w:pStyle w:val="93"/>
                    <w:jc w:val="center"/>
                  </w:pPr>
                  <w:r>
                    <w:t>噪声</w:t>
                  </w:r>
                </w:p>
              </w:tc>
              <w:tc>
                <w:tcPr>
                  <w:tcW w:w="2059" w:type="dxa"/>
                  <w:vAlign w:val="center"/>
                </w:tcPr>
                <w:p w14:paraId="14B54828">
                  <w:pPr>
                    <w:pStyle w:val="93"/>
                    <w:jc w:val="center"/>
                  </w:pPr>
                  <w:r>
                    <w:t>低噪声设备、减震降 噪措施等</w:t>
                  </w:r>
                </w:p>
              </w:tc>
              <w:tc>
                <w:tcPr>
                  <w:tcW w:w="2064" w:type="dxa"/>
                  <w:vAlign w:val="center"/>
                </w:tcPr>
                <w:p w14:paraId="06DBF3D4">
                  <w:pPr>
                    <w:pStyle w:val="93"/>
                    <w:jc w:val="center"/>
                  </w:pPr>
                  <w:r>
                    <w:t>5</w:t>
                  </w:r>
                </w:p>
              </w:tc>
            </w:tr>
            <w:tr w14:paraId="795D2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063" w:type="dxa"/>
                  <w:vMerge w:val="continue"/>
                  <w:tcBorders>
                    <w:top w:val="nil"/>
                    <w:bottom w:val="nil"/>
                  </w:tcBorders>
                  <w:vAlign w:val="center"/>
                </w:tcPr>
                <w:p w14:paraId="63AF3A45">
                  <w:pPr>
                    <w:pStyle w:val="93"/>
                    <w:jc w:val="center"/>
                  </w:pPr>
                </w:p>
              </w:tc>
              <w:tc>
                <w:tcPr>
                  <w:tcW w:w="2059" w:type="dxa"/>
                  <w:vAlign w:val="center"/>
                </w:tcPr>
                <w:p w14:paraId="0B831744">
                  <w:pPr>
                    <w:pStyle w:val="93"/>
                    <w:jc w:val="center"/>
                  </w:pPr>
                  <w:r>
                    <w:t>固体废物</w:t>
                  </w:r>
                </w:p>
              </w:tc>
              <w:tc>
                <w:tcPr>
                  <w:tcW w:w="2059" w:type="dxa"/>
                  <w:vAlign w:val="center"/>
                </w:tcPr>
                <w:p w14:paraId="2F8CB86C">
                  <w:pPr>
                    <w:pStyle w:val="93"/>
                    <w:jc w:val="center"/>
                  </w:pPr>
                  <w:r>
                    <w:t>生活垃圾及建筑垃 圾收集、清运</w:t>
                  </w:r>
                </w:p>
              </w:tc>
              <w:tc>
                <w:tcPr>
                  <w:tcW w:w="2064" w:type="dxa"/>
                  <w:vAlign w:val="center"/>
                </w:tcPr>
                <w:p w14:paraId="0A784579">
                  <w:pPr>
                    <w:pStyle w:val="93"/>
                    <w:jc w:val="center"/>
                  </w:pPr>
                  <w:r>
                    <w:t>10</w:t>
                  </w:r>
                </w:p>
              </w:tc>
            </w:tr>
            <w:tr w14:paraId="04877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2063" w:type="dxa"/>
                  <w:vMerge w:val="continue"/>
                  <w:tcBorders>
                    <w:top w:val="nil"/>
                    <w:bottom w:val="single" w:color="auto" w:sz="4" w:space="0"/>
                  </w:tcBorders>
                  <w:vAlign w:val="center"/>
                </w:tcPr>
                <w:p w14:paraId="62B16BA5">
                  <w:pPr>
                    <w:pStyle w:val="93"/>
                    <w:jc w:val="center"/>
                  </w:pPr>
                </w:p>
              </w:tc>
              <w:tc>
                <w:tcPr>
                  <w:tcW w:w="2059" w:type="dxa"/>
                  <w:tcBorders>
                    <w:bottom w:val="single" w:color="auto" w:sz="4" w:space="0"/>
                  </w:tcBorders>
                  <w:vAlign w:val="center"/>
                </w:tcPr>
                <w:p w14:paraId="76EDC0B7">
                  <w:pPr>
                    <w:pStyle w:val="93"/>
                    <w:jc w:val="center"/>
                  </w:pPr>
                  <w:r>
                    <w:t>生态</w:t>
                  </w:r>
                </w:p>
              </w:tc>
              <w:tc>
                <w:tcPr>
                  <w:tcW w:w="2059" w:type="dxa"/>
                  <w:tcBorders>
                    <w:bottom w:val="single" w:color="auto" w:sz="4" w:space="0"/>
                  </w:tcBorders>
                  <w:vAlign w:val="center"/>
                </w:tcPr>
                <w:p w14:paraId="7D7741AF">
                  <w:pPr>
                    <w:pStyle w:val="93"/>
                    <w:jc w:val="center"/>
                  </w:pPr>
                  <w:r>
                    <w:t>水生和陆生生态保</w:t>
                  </w:r>
                </w:p>
                <w:p w14:paraId="31123536">
                  <w:pPr>
                    <w:pStyle w:val="93"/>
                    <w:jc w:val="center"/>
                  </w:pPr>
                  <w:r>
                    <w:t>护措施、水土流失防</w:t>
                  </w:r>
                </w:p>
                <w:p w14:paraId="107E10FB">
                  <w:pPr>
                    <w:pStyle w:val="93"/>
                    <w:jc w:val="center"/>
                  </w:pPr>
                  <w:r>
                    <w:t>治措施</w:t>
                  </w:r>
                </w:p>
              </w:tc>
              <w:tc>
                <w:tcPr>
                  <w:tcW w:w="2064" w:type="dxa"/>
                  <w:vAlign w:val="center"/>
                </w:tcPr>
                <w:p w14:paraId="6C30146C">
                  <w:pPr>
                    <w:pStyle w:val="93"/>
                    <w:jc w:val="center"/>
                  </w:pPr>
                  <w:r>
                    <w:t>50</w:t>
                  </w:r>
                </w:p>
              </w:tc>
            </w:tr>
            <w:tr w14:paraId="7FDCD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063" w:type="dxa"/>
                  <w:vMerge w:val="restart"/>
                  <w:tcBorders>
                    <w:top w:val="single" w:color="auto" w:sz="4" w:space="0"/>
                    <w:left w:val="single" w:color="auto" w:sz="4" w:space="0"/>
                    <w:bottom w:val="single" w:color="auto" w:sz="4" w:space="0"/>
                    <w:right w:val="single" w:color="auto" w:sz="4" w:space="0"/>
                  </w:tcBorders>
                  <w:vAlign w:val="center"/>
                </w:tcPr>
                <w:p w14:paraId="72A81E09">
                  <w:pPr>
                    <w:pStyle w:val="93"/>
                    <w:jc w:val="center"/>
                  </w:pPr>
                  <w:r>
                    <w:t>运营期</w:t>
                  </w:r>
                </w:p>
              </w:tc>
              <w:tc>
                <w:tcPr>
                  <w:tcW w:w="2059" w:type="dxa"/>
                  <w:tcBorders>
                    <w:top w:val="single" w:color="auto" w:sz="4" w:space="0"/>
                    <w:left w:val="single" w:color="auto" w:sz="4" w:space="0"/>
                    <w:bottom w:val="single" w:color="auto" w:sz="4" w:space="0"/>
                    <w:right w:val="single" w:color="auto" w:sz="4" w:space="0"/>
                  </w:tcBorders>
                  <w:vAlign w:val="center"/>
                </w:tcPr>
                <w:p w14:paraId="216E6EBE">
                  <w:pPr>
                    <w:pStyle w:val="93"/>
                    <w:jc w:val="center"/>
                  </w:pPr>
                  <w:r>
                    <w:t>噪声</w:t>
                  </w:r>
                </w:p>
              </w:tc>
              <w:tc>
                <w:tcPr>
                  <w:tcW w:w="2059" w:type="dxa"/>
                  <w:tcBorders>
                    <w:top w:val="single" w:color="auto" w:sz="4" w:space="0"/>
                    <w:left w:val="single" w:color="auto" w:sz="4" w:space="0"/>
                    <w:bottom w:val="single" w:color="auto" w:sz="4" w:space="0"/>
                    <w:right w:val="single" w:color="auto" w:sz="4" w:space="0"/>
                  </w:tcBorders>
                  <w:vAlign w:val="center"/>
                </w:tcPr>
                <w:p w14:paraId="0468E95E">
                  <w:pPr>
                    <w:pStyle w:val="93"/>
                    <w:jc w:val="center"/>
                  </w:pPr>
                  <w:r>
                    <w:t>设备基础减震、绿化 隔离带等</w:t>
                  </w:r>
                </w:p>
              </w:tc>
              <w:tc>
                <w:tcPr>
                  <w:tcW w:w="2064" w:type="dxa"/>
                  <w:tcBorders>
                    <w:left w:val="single" w:color="auto" w:sz="4" w:space="0"/>
                  </w:tcBorders>
                  <w:vAlign w:val="center"/>
                </w:tcPr>
                <w:p w14:paraId="3C4B8512">
                  <w:pPr>
                    <w:pStyle w:val="93"/>
                    <w:jc w:val="center"/>
                  </w:pPr>
                  <w:r>
                    <w:t>20</w:t>
                  </w:r>
                </w:p>
              </w:tc>
            </w:tr>
            <w:tr w14:paraId="0B864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63" w:type="dxa"/>
                  <w:vMerge w:val="continue"/>
                  <w:tcBorders>
                    <w:top w:val="single" w:color="auto" w:sz="4" w:space="0"/>
                    <w:left w:val="single" w:color="auto" w:sz="4" w:space="0"/>
                    <w:bottom w:val="single" w:color="auto" w:sz="4" w:space="0"/>
                    <w:right w:val="single" w:color="auto" w:sz="4" w:space="0"/>
                  </w:tcBorders>
                  <w:vAlign w:val="center"/>
                </w:tcPr>
                <w:p w14:paraId="0B9585B8">
                  <w:pPr>
                    <w:pStyle w:val="93"/>
                    <w:jc w:val="center"/>
                  </w:pPr>
                </w:p>
              </w:tc>
              <w:tc>
                <w:tcPr>
                  <w:tcW w:w="2059" w:type="dxa"/>
                  <w:tcBorders>
                    <w:top w:val="single" w:color="auto" w:sz="4" w:space="0"/>
                    <w:left w:val="single" w:color="auto" w:sz="4" w:space="0"/>
                    <w:bottom w:val="single" w:color="auto" w:sz="4" w:space="0"/>
                    <w:right w:val="single" w:color="auto" w:sz="4" w:space="0"/>
                  </w:tcBorders>
                  <w:vAlign w:val="center"/>
                </w:tcPr>
                <w:p w14:paraId="0F33C683">
                  <w:pPr>
                    <w:pStyle w:val="93"/>
                    <w:jc w:val="center"/>
                  </w:pPr>
                  <w:r>
                    <w:t>固体废物</w:t>
                  </w:r>
                </w:p>
              </w:tc>
              <w:tc>
                <w:tcPr>
                  <w:tcW w:w="2059" w:type="dxa"/>
                  <w:tcBorders>
                    <w:top w:val="single" w:color="auto" w:sz="4" w:space="0"/>
                    <w:left w:val="single" w:color="auto" w:sz="4" w:space="0"/>
                    <w:bottom w:val="single" w:color="auto" w:sz="4" w:space="0"/>
                    <w:right w:val="single" w:color="auto" w:sz="4" w:space="0"/>
                  </w:tcBorders>
                  <w:vAlign w:val="center"/>
                </w:tcPr>
                <w:p w14:paraId="0F0CE155">
                  <w:pPr>
                    <w:pStyle w:val="93"/>
                    <w:jc w:val="center"/>
                  </w:pPr>
                  <w:r>
                    <w:t>垃圾箱</w:t>
                  </w:r>
                </w:p>
              </w:tc>
              <w:tc>
                <w:tcPr>
                  <w:tcW w:w="2064" w:type="dxa"/>
                  <w:tcBorders>
                    <w:left w:val="single" w:color="auto" w:sz="4" w:space="0"/>
                  </w:tcBorders>
                  <w:vAlign w:val="center"/>
                </w:tcPr>
                <w:p w14:paraId="333D31C6">
                  <w:pPr>
                    <w:pStyle w:val="93"/>
                    <w:jc w:val="center"/>
                  </w:pPr>
                  <w:r>
                    <w:t>20</w:t>
                  </w:r>
                </w:p>
              </w:tc>
            </w:tr>
            <w:tr w14:paraId="19DD1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2063" w:type="dxa"/>
                  <w:vMerge w:val="continue"/>
                  <w:tcBorders>
                    <w:top w:val="single" w:color="auto" w:sz="4" w:space="0"/>
                    <w:left w:val="single" w:color="auto" w:sz="4" w:space="0"/>
                    <w:bottom w:val="single" w:color="auto" w:sz="4" w:space="0"/>
                    <w:right w:val="single" w:color="auto" w:sz="4" w:space="0"/>
                  </w:tcBorders>
                  <w:vAlign w:val="center"/>
                </w:tcPr>
                <w:p w14:paraId="54EEA00B">
                  <w:pPr>
                    <w:pStyle w:val="93"/>
                    <w:jc w:val="center"/>
                  </w:pPr>
                </w:p>
              </w:tc>
              <w:tc>
                <w:tcPr>
                  <w:tcW w:w="2059" w:type="dxa"/>
                  <w:tcBorders>
                    <w:top w:val="single" w:color="auto" w:sz="4" w:space="0"/>
                    <w:left w:val="single" w:color="auto" w:sz="4" w:space="0"/>
                    <w:bottom w:val="single" w:color="auto" w:sz="4" w:space="0"/>
                    <w:right w:val="single" w:color="auto" w:sz="4" w:space="0"/>
                  </w:tcBorders>
                  <w:vAlign w:val="center"/>
                </w:tcPr>
                <w:p w14:paraId="1F9E3175">
                  <w:pPr>
                    <w:pStyle w:val="93"/>
                    <w:jc w:val="center"/>
                  </w:pPr>
                  <w:r>
                    <w:t>生态</w:t>
                  </w:r>
                </w:p>
              </w:tc>
              <w:tc>
                <w:tcPr>
                  <w:tcW w:w="2059" w:type="dxa"/>
                  <w:tcBorders>
                    <w:top w:val="single" w:color="auto" w:sz="4" w:space="0"/>
                    <w:left w:val="single" w:color="auto" w:sz="4" w:space="0"/>
                    <w:bottom w:val="single" w:color="auto" w:sz="4" w:space="0"/>
                    <w:right w:val="single" w:color="auto" w:sz="4" w:space="0"/>
                  </w:tcBorders>
                  <w:vAlign w:val="center"/>
                </w:tcPr>
                <w:p w14:paraId="411E1D33">
                  <w:pPr>
                    <w:pStyle w:val="93"/>
                    <w:jc w:val="center"/>
                  </w:pPr>
                  <w:r>
                    <w:t>景观绿化</w:t>
                  </w:r>
                </w:p>
              </w:tc>
              <w:tc>
                <w:tcPr>
                  <w:tcW w:w="2064" w:type="dxa"/>
                  <w:tcBorders>
                    <w:left w:val="single" w:color="auto" w:sz="4" w:space="0"/>
                  </w:tcBorders>
                  <w:vAlign w:val="center"/>
                </w:tcPr>
                <w:p w14:paraId="26C3AE77">
                  <w:pPr>
                    <w:pStyle w:val="93"/>
                    <w:jc w:val="center"/>
                  </w:pPr>
                  <w:r>
                    <w:t>15</w:t>
                  </w:r>
                </w:p>
              </w:tc>
            </w:tr>
            <w:tr w14:paraId="7068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2063" w:type="dxa"/>
                  <w:tcBorders>
                    <w:top w:val="single" w:color="auto" w:sz="4" w:space="0"/>
                    <w:left w:val="single" w:color="auto" w:sz="4" w:space="0"/>
                    <w:bottom w:val="single" w:color="auto" w:sz="4" w:space="0"/>
                    <w:right w:val="single" w:color="auto" w:sz="4" w:space="0"/>
                  </w:tcBorders>
                  <w:vAlign w:val="center"/>
                </w:tcPr>
                <w:p w14:paraId="38E04C72">
                  <w:pPr>
                    <w:pStyle w:val="93"/>
                    <w:jc w:val="center"/>
                  </w:pPr>
                  <w:r>
                    <w:t>合计</w:t>
                  </w:r>
                </w:p>
              </w:tc>
              <w:tc>
                <w:tcPr>
                  <w:tcW w:w="4118" w:type="dxa"/>
                  <w:gridSpan w:val="2"/>
                  <w:tcBorders>
                    <w:top w:val="single" w:color="auto" w:sz="4" w:space="0"/>
                    <w:left w:val="single" w:color="auto" w:sz="4" w:space="0"/>
                    <w:bottom w:val="single" w:color="auto" w:sz="4" w:space="0"/>
                    <w:right w:val="single" w:color="auto" w:sz="4" w:space="0"/>
                  </w:tcBorders>
                  <w:vAlign w:val="center"/>
                </w:tcPr>
                <w:p w14:paraId="3D2AABB8">
                  <w:pPr>
                    <w:pStyle w:val="93"/>
                    <w:jc w:val="center"/>
                    <w:rPr>
                      <w:rFonts w:hint="eastAsia" w:eastAsia="宋体"/>
                      <w:lang w:val="en-US" w:eastAsia="zh-CN"/>
                    </w:rPr>
                  </w:pPr>
                  <w:r>
                    <w:rPr>
                      <w:rFonts w:hint="eastAsia"/>
                      <w:lang w:val="en-US" w:eastAsia="zh-CN"/>
                    </w:rPr>
                    <w:t>/</w:t>
                  </w:r>
                </w:p>
              </w:tc>
              <w:tc>
                <w:tcPr>
                  <w:tcW w:w="2064" w:type="dxa"/>
                  <w:tcBorders>
                    <w:left w:val="single" w:color="auto" w:sz="4" w:space="0"/>
                  </w:tcBorders>
                  <w:vAlign w:val="center"/>
                </w:tcPr>
                <w:p w14:paraId="68F3DB77">
                  <w:pPr>
                    <w:pStyle w:val="93"/>
                    <w:jc w:val="center"/>
                    <w:rPr>
                      <w:rFonts w:hint="default" w:eastAsia="宋体"/>
                      <w:lang w:val="en-US" w:eastAsia="zh-CN"/>
                    </w:rPr>
                  </w:pPr>
                  <w:r>
                    <w:rPr>
                      <w:rFonts w:hint="eastAsia"/>
                      <w:lang w:val="en-US" w:eastAsia="zh-CN"/>
                    </w:rPr>
                    <w:t>150</w:t>
                  </w:r>
                </w:p>
              </w:tc>
            </w:tr>
          </w:tbl>
          <w:p w14:paraId="3FEB602F">
            <w:pPr>
              <w:jc w:val="center"/>
              <w:rPr>
                <w:b/>
                <w:sz w:val="24"/>
              </w:rPr>
            </w:pPr>
          </w:p>
          <w:p w14:paraId="22042BAD">
            <w:pPr>
              <w:jc w:val="center"/>
              <w:rPr>
                <w:b/>
                <w:sz w:val="24"/>
              </w:rPr>
            </w:pPr>
          </w:p>
          <w:p w14:paraId="1AEDE79D">
            <w:pPr>
              <w:jc w:val="both"/>
              <w:rPr>
                <w:b/>
                <w:sz w:val="24"/>
              </w:rPr>
            </w:pPr>
          </w:p>
          <w:p w14:paraId="05CDDF54">
            <w:pPr>
              <w:jc w:val="both"/>
              <w:rPr>
                <w:b/>
                <w:sz w:val="24"/>
              </w:rPr>
            </w:pPr>
          </w:p>
          <w:p w14:paraId="428CF958">
            <w:pPr>
              <w:jc w:val="center"/>
              <w:rPr>
                <w:b/>
                <w:sz w:val="24"/>
              </w:rPr>
            </w:pPr>
          </w:p>
          <w:p w14:paraId="7B1559C8">
            <w:pPr>
              <w:pStyle w:val="2"/>
            </w:pPr>
          </w:p>
        </w:tc>
      </w:tr>
    </w:tbl>
    <w:p w14:paraId="3E811949">
      <w:pPr>
        <w:sectPr>
          <w:pgSz w:w="11907" w:h="16840"/>
          <w:pgMar w:top="1440" w:right="1797" w:bottom="1440" w:left="1797" w:header="851" w:footer="1077" w:gutter="0"/>
          <w:cols w:space="720" w:num="1"/>
          <w:docGrid w:linePitch="312" w:charSpace="0"/>
        </w:sectPr>
      </w:pPr>
    </w:p>
    <w:p w14:paraId="651B73A5">
      <w:pPr>
        <w:pStyle w:val="3"/>
        <w:ind w:firstLine="0"/>
        <w:rPr>
          <w:color w:val="auto"/>
        </w:rPr>
      </w:pPr>
      <w:bookmarkStart w:id="27" w:name="_Toc6275"/>
      <w:bookmarkStart w:id="28" w:name="_Toc8549"/>
      <w:r>
        <w:rPr>
          <w:color w:val="auto"/>
        </w:rPr>
        <w:t>六、生态环境保护措施监督检查清单</w:t>
      </w:r>
      <w:bookmarkEnd w:id="27"/>
      <w:bookmarkEnd w:id="28"/>
    </w:p>
    <w:tbl>
      <w:tblPr>
        <w:tblStyle w:val="29"/>
        <w:tblW w:w="4994"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882"/>
        <w:gridCol w:w="1324"/>
        <w:gridCol w:w="2358"/>
        <w:gridCol w:w="1952"/>
      </w:tblGrid>
      <w:tr w14:paraId="4DC7E54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572" w:type="pct"/>
            <w:vMerge w:val="restart"/>
            <w:tcBorders>
              <w:tl2br w:val="single" w:color="auto" w:sz="4" w:space="0"/>
            </w:tcBorders>
            <w:vAlign w:val="center"/>
          </w:tcPr>
          <w:p w14:paraId="7CEA182B">
            <w:pPr>
              <w:adjustRightInd w:val="0"/>
              <w:snapToGrid w:val="0"/>
              <w:jc w:val="center"/>
              <w:rPr>
                <w:b/>
                <w:bCs/>
                <w:szCs w:val="21"/>
              </w:rPr>
            </w:pPr>
            <w:r>
              <w:rPr>
                <w:b/>
                <w:bCs/>
                <w:szCs w:val="21"/>
              </w:rPr>
              <w:t xml:space="preserve">  内容</w:t>
            </w:r>
          </w:p>
          <w:p w14:paraId="7B62BE2E">
            <w:pPr>
              <w:adjustRightInd w:val="0"/>
              <w:snapToGrid w:val="0"/>
              <w:jc w:val="center"/>
              <w:rPr>
                <w:b/>
                <w:bCs/>
                <w:szCs w:val="21"/>
              </w:rPr>
            </w:pPr>
          </w:p>
          <w:p w14:paraId="02D32E36">
            <w:pPr>
              <w:adjustRightInd w:val="0"/>
              <w:snapToGrid w:val="0"/>
              <w:rPr>
                <w:b/>
                <w:bCs/>
                <w:szCs w:val="21"/>
              </w:rPr>
            </w:pPr>
            <w:r>
              <w:rPr>
                <w:b/>
                <w:bCs/>
                <w:szCs w:val="21"/>
              </w:rPr>
              <w:t>要素</w:t>
            </w:r>
          </w:p>
        </w:tc>
        <w:tc>
          <w:tcPr>
            <w:tcW w:w="2186" w:type="pct"/>
            <w:gridSpan w:val="2"/>
            <w:vAlign w:val="center"/>
          </w:tcPr>
          <w:p w14:paraId="489CD28D">
            <w:pPr>
              <w:adjustRightInd w:val="0"/>
              <w:snapToGrid w:val="0"/>
              <w:jc w:val="center"/>
              <w:rPr>
                <w:b/>
                <w:bCs/>
                <w:szCs w:val="21"/>
              </w:rPr>
            </w:pPr>
            <w:r>
              <w:rPr>
                <w:b/>
                <w:bCs/>
                <w:szCs w:val="21"/>
              </w:rPr>
              <w:t>施工期</w:t>
            </w:r>
          </w:p>
        </w:tc>
        <w:tc>
          <w:tcPr>
            <w:tcW w:w="2241" w:type="pct"/>
            <w:gridSpan w:val="2"/>
            <w:vAlign w:val="center"/>
          </w:tcPr>
          <w:p w14:paraId="26D8DABD">
            <w:pPr>
              <w:adjustRightInd w:val="0"/>
              <w:snapToGrid w:val="0"/>
              <w:jc w:val="center"/>
              <w:rPr>
                <w:b/>
                <w:bCs/>
                <w:szCs w:val="21"/>
              </w:rPr>
            </w:pPr>
            <w:r>
              <w:rPr>
                <w:b/>
                <w:bCs/>
                <w:szCs w:val="21"/>
              </w:rPr>
              <w:t>运营期</w:t>
            </w:r>
          </w:p>
        </w:tc>
      </w:tr>
      <w:tr w14:paraId="343A948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blHeader/>
          <w:jc w:val="center"/>
        </w:trPr>
        <w:tc>
          <w:tcPr>
            <w:tcW w:w="572" w:type="pct"/>
            <w:vMerge w:val="continue"/>
            <w:vAlign w:val="center"/>
          </w:tcPr>
          <w:p w14:paraId="7F409DFE">
            <w:pPr>
              <w:adjustRightInd w:val="0"/>
              <w:snapToGrid w:val="0"/>
              <w:jc w:val="center"/>
              <w:rPr>
                <w:b/>
                <w:bCs/>
                <w:szCs w:val="21"/>
              </w:rPr>
            </w:pPr>
          </w:p>
        </w:tc>
        <w:tc>
          <w:tcPr>
            <w:tcW w:w="1498" w:type="pct"/>
            <w:vAlign w:val="center"/>
          </w:tcPr>
          <w:p w14:paraId="5D2AF69B">
            <w:pPr>
              <w:adjustRightInd w:val="0"/>
              <w:snapToGrid w:val="0"/>
              <w:jc w:val="center"/>
              <w:rPr>
                <w:b/>
                <w:bCs/>
                <w:szCs w:val="21"/>
              </w:rPr>
            </w:pPr>
            <w:r>
              <w:rPr>
                <w:b/>
                <w:bCs/>
                <w:szCs w:val="21"/>
              </w:rPr>
              <w:t>环境保护措施</w:t>
            </w:r>
          </w:p>
        </w:tc>
        <w:tc>
          <w:tcPr>
            <w:tcW w:w="688" w:type="pct"/>
            <w:vAlign w:val="center"/>
          </w:tcPr>
          <w:p w14:paraId="71B60588">
            <w:pPr>
              <w:adjustRightInd w:val="0"/>
              <w:snapToGrid w:val="0"/>
              <w:jc w:val="center"/>
              <w:rPr>
                <w:b/>
                <w:bCs/>
                <w:szCs w:val="21"/>
              </w:rPr>
            </w:pPr>
            <w:r>
              <w:rPr>
                <w:b/>
                <w:bCs/>
                <w:szCs w:val="21"/>
              </w:rPr>
              <w:t>验收要求</w:t>
            </w:r>
          </w:p>
        </w:tc>
        <w:tc>
          <w:tcPr>
            <w:tcW w:w="1226" w:type="pct"/>
            <w:vAlign w:val="center"/>
          </w:tcPr>
          <w:p w14:paraId="13568C27">
            <w:pPr>
              <w:adjustRightInd w:val="0"/>
              <w:snapToGrid w:val="0"/>
              <w:jc w:val="center"/>
              <w:rPr>
                <w:b/>
                <w:bCs/>
                <w:szCs w:val="21"/>
              </w:rPr>
            </w:pPr>
            <w:r>
              <w:rPr>
                <w:b/>
                <w:bCs/>
                <w:szCs w:val="21"/>
              </w:rPr>
              <w:t>环境保护措施</w:t>
            </w:r>
          </w:p>
        </w:tc>
        <w:tc>
          <w:tcPr>
            <w:tcW w:w="1015" w:type="pct"/>
            <w:vAlign w:val="center"/>
          </w:tcPr>
          <w:p w14:paraId="60BA0E09">
            <w:pPr>
              <w:adjustRightInd w:val="0"/>
              <w:snapToGrid w:val="0"/>
              <w:jc w:val="center"/>
              <w:rPr>
                <w:b/>
                <w:bCs/>
                <w:szCs w:val="21"/>
              </w:rPr>
            </w:pPr>
            <w:r>
              <w:rPr>
                <w:b/>
                <w:bCs/>
                <w:szCs w:val="21"/>
              </w:rPr>
              <w:t>验收要求</w:t>
            </w:r>
          </w:p>
        </w:tc>
      </w:tr>
      <w:tr w14:paraId="5B9503A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572" w:type="pct"/>
            <w:vAlign w:val="center"/>
          </w:tcPr>
          <w:p w14:paraId="0DB50BED">
            <w:pPr>
              <w:adjustRightInd w:val="0"/>
              <w:snapToGrid w:val="0"/>
              <w:jc w:val="center"/>
              <w:rPr>
                <w:szCs w:val="21"/>
              </w:rPr>
            </w:pPr>
            <w:r>
              <w:rPr>
                <w:szCs w:val="21"/>
              </w:rPr>
              <w:t>陆生生态</w:t>
            </w:r>
          </w:p>
        </w:tc>
        <w:tc>
          <w:tcPr>
            <w:tcW w:w="1498" w:type="pct"/>
            <w:vAlign w:val="center"/>
          </w:tcPr>
          <w:p w14:paraId="2E588190">
            <w:pPr>
              <w:widowControl/>
              <w:adjustRightInd w:val="0"/>
              <w:snapToGrid w:val="0"/>
              <w:jc w:val="center"/>
              <w:rPr>
                <w:szCs w:val="21"/>
              </w:rPr>
            </w:pPr>
            <w:r>
              <w:rPr>
                <w:szCs w:val="21"/>
              </w:rPr>
              <w:t>（1）水土保持措施</w:t>
            </w:r>
          </w:p>
          <w:p w14:paraId="00BD8863">
            <w:pPr>
              <w:widowControl/>
              <w:adjustRightInd w:val="0"/>
              <w:snapToGrid w:val="0"/>
              <w:jc w:val="center"/>
              <w:rPr>
                <w:szCs w:val="21"/>
              </w:rPr>
            </w:pPr>
            <w:r>
              <w:rPr>
                <w:rFonts w:hint="eastAsia" w:ascii="宋体" w:hAnsi="宋体" w:cs="宋体"/>
                <w:szCs w:val="21"/>
              </w:rPr>
              <w:t>①</w:t>
            </w:r>
            <w:r>
              <w:rPr>
                <w:szCs w:val="21"/>
              </w:rPr>
              <w:t>施工期要注重优化施工组织和制定严格的施工作业制度，尽量将挖填施工安排在非雨汛期，并缩短挖填土石方的堆置时间。土石方和堆料堆置过程中做好堆置坡度、高度的控制及位置的选择。施工单位应该将堆料和挖出来的土石方堆放在不容易受到地面径流冲刷的地方，或将容易冲刷的堆料临时覆盖起来，并在堆放场临渔场一侧修建临时挡土设施，以防止泥土流失进入渔场。对于易产生水土流失的堆置场地，应采取草包填土作临时围栏、开挖水沟等防护措施，以减少施工期水土流失量。土石方工程结束后，结合项目功能设计，进行植被恢复。</w:t>
            </w:r>
          </w:p>
          <w:p w14:paraId="3EEFB027">
            <w:pPr>
              <w:widowControl/>
              <w:adjustRightInd w:val="0"/>
              <w:snapToGrid w:val="0"/>
              <w:jc w:val="center"/>
              <w:rPr>
                <w:szCs w:val="21"/>
              </w:rPr>
            </w:pPr>
            <w:r>
              <w:rPr>
                <w:rFonts w:hint="eastAsia" w:ascii="宋体" w:hAnsi="宋体" w:cs="宋体"/>
                <w:szCs w:val="21"/>
              </w:rPr>
              <w:t>②</w:t>
            </w:r>
            <w:r>
              <w:rPr>
                <w:szCs w:val="21"/>
              </w:rPr>
              <w:t>施工场地建立排水系统，以预防地面径流直接冲刷施工浮土，导致水土流失加剧，排水沟应分段设置沉淀池，以减轻场地最终出口沉沙池的负荷。</w:t>
            </w:r>
          </w:p>
          <w:p w14:paraId="03330A43">
            <w:pPr>
              <w:widowControl/>
              <w:adjustRightInd w:val="0"/>
              <w:snapToGrid w:val="0"/>
              <w:jc w:val="center"/>
              <w:rPr>
                <w:szCs w:val="21"/>
              </w:rPr>
            </w:pPr>
            <w:r>
              <w:rPr>
                <w:rFonts w:hint="eastAsia" w:ascii="宋体" w:hAnsi="宋体" w:cs="宋体"/>
                <w:szCs w:val="21"/>
              </w:rPr>
              <w:t>③</w:t>
            </w:r>
            <w:r>
              <w:rPr>
                <w:szCs w:val="21"/>
              </w:rPr>
              <w:t>施工过程中项目区将不可避免地产生大型带有一定坡度的裸露面，建设部门在雨季应随时与气象部门保持联系，在大雨到来之前做好相应的水保应急工作，对新产生的裸露地表的松土予以压实，准备足够的塑料布和草包用于遮蔽。雨季施工应尽量避免同时产生较多的裸露地表。应密切注意天气情况，避免在雨期施工。</w:t>
            </w:r>
          </w:p>
          <w:p w14:paraId="29930A71">
            <w:pPr>
              <w:widowControl/>
              <w:adjustRightInd w:val="0"/>
              <w:snapToGrid w:val="0"/>
              <w:jc w:val="center"/>
              <w:rPr>
                <w:szCs w:val="21"/>
              </w:rPr>
            </w:pPr>
            <w:r>
              <w:rPr>
                <w:rFonts w:hint="eastAsia" w:ascii="宋体" w:hAnsi="宋体" w:cs="宋体"/>
                <w:szCs w:val="21"/>
              </w:rPr>
              <w:t>④</w:t>
            </w:r>
            <w:r>
              <w:rPr>
                <w:szCs w:val="21"/>
              </w:rPr>
              <w:t>动土前在项目周边建临时围墙、及时清运弃土、及时夯实回填土，施工道路采用硬化路面，在施工场地建排水沟，防止雨水冲刷场地，并在排水沟出口设沉淀池，使雨水经沉淀池沉清后回用于洒水降尘等，尽量减少施工期水土流失。</w:t>
            </w:r>
          </w:p>
          <w:p w14:paraId="180D79F5">
            <w:pPr>
              <w:widowControl/>
              <w:adjustRightInd w:val="0"/>
              <w:snapToGrid w:val="0"/>
              <w:jc w:val="center"/>
              <w:rPr>
                <w:szCs w:val="21"/>
              </w:rPr>
            </w:pPr>
            <w:r>
              <w:rPr>
                <w:rFonts w:hint="eastAsia" w:ascii="宋体" w:hAnsi="宋体" w:cs="宋体"/>
                <w:szCs w:val="21"/>
              </w:rPr>
              <w:t>⑤</w:t>
            </w:r>
            <w:r>
              <w:rPr>
                <w:szCs w:val="21"/>
              </w:rPr>
              <w:t>施工结束后，所有建筑垃圾必须及时清运，不得占用土地，影响项目区域环境卫生，且应采用封闭运输，避免运输尘土洒落对周围环境影响，特别是对渔场的影响。</w:t>
            </w:r>
          </w:p>
          <w:p w14:paraId="5753DB84">
            <w:pPr>
              <w:widowControl/>
              <w:adjustRightInd w:val="0"/>
              <w:snapToGrid w:val="0"/>
              <w:jc w:val="center"/>
              <w:rPr>
                <w:szCs w:val="21"/>
              </w:rPr>
            </w:pPr>
            <w:r>
              <w:rPr>
                <w:szCs w:val="21"/>
              </w:rPr>
              <w:t>（2）陆生生物保护措施</w:t>
            </w:r>
          </w:p>
          <w:p w14:paraId="5242059A">
            <w:pPr>
              <w:widowControl/>
              <w:adjustRightInd w:val="0"/>
              <w:snapToGrid w:val="0"/>
              <w:jc w:val="center"/>
              <w:rPr>
                <w:szCs w:val="21"/>
              </w:rPr>
            </w:pPr>
            <w:r>
              <w:rPr>
                <w:rFonts w:hint="eastAsia" w:ascii="宋体" w:hAnsi="宋体" w:cs="宋体"/>
                <w:szCs w:val="21"/>
              </w:rPr>
              <w:t>①</w:t>
            </w:r>
            <w:r>
              <w:rPr>
                <w:szCs w:val="21"/>
              </w:rPr>
              <w:t>合理安排施工期，光伏发电组件安装期间，尽量减少在湿地鸟类迁徙时期的作业内容。</w:t>
            </w:r>
          </w:p>
          <w:p w14:paraId="6589DF51">
            <w:pPr>
              <w:widowControl/>
              <w:adjustRightInd w:val="0"/>
              <w:snapToGrid w:val="0"/>
              <w:jc w:val="center"/>
              <w:rPr>
                <w:szCs w:val="21"/>
              </w:rPr>
            </w:pPr>
            <w:r>
              <w:rPr>
                <w:rFonts w:hint="eastAsia" w:ascii="宋体" w:hAnsi="宋体" w:cs="宋体"/>
                <w:szCs w:val="21"/>
              </w:rPr>
              <w:t>②</w:t>
            </w:r>
            <w:r>
              <w:rPr>
                <w:szCs w:val="21"/>
              </w:rPr>
              <w:t>合理安排打桩等高噪声作业时间，防止噪声对野生动物的惊扰。野生鸟类和兽类大多是早晨、黄昏或夜间外出觅食，正午是鸟类休息时间。为了减少工程施工噪声对野生动物的惊扰，应做好施工方式和时间的计划，并力求避免在晨昏和正午进行大型机械施工产生的噪声影响等。</w:t>
            </w:r>
          </w:p>
          <w:p w14:paraId="3E06A892">
            <w:pPr>
              <w:widowControl/>
              <w:adjustRightInd w:val="0"/>
              <w:snapToGrid w:val="0"/>
              <w:jc w:val="center"/>
              <w:rPr>
                <w:szCs w:val="21"/>
              </w:rPr>
            </w:pPr>
            <w:r>
              <w:rPr>
                <w:rFonts w:hint="eastAsia" w:ascii="宋体" w:hAnsi="宋体" w:cs="宋体"/>
                <w:szCs w:val="21"/>
              </w:rPr>
              <w:t>③</w:t>
            </w:r>
            <w:r>
              <w:rPr>
                <w:szCs w:val="21"/>
              </w:rPr>
              <w:t xml:space="preserve">施工结束后，可在项目区边缘生态环境较好的地方（如河堤路沿线、临洪河口湿地等）搭建人工鸟巢，引导鸟类前往人工鸟巢居住。 </w:t>
            </w:r>
          </w:p>
          <w:p w14:paraId="72241893">
            <w:pPr>
              <w:widowControl/>
              <w:adjustRightInd w:val="0"/>
              <w:snapToGrid w:val="0"/>
              <w:jc w:val="center"/>
              <w:rPr>
                <w:szCs w:val="21"/>
              </w:rPr>
            </w:pPr>
            <w:r>
              <w:rPr>
                <w:szCs w:val="21"/>
              </w:rPr>
              <w:t>（3）水生生物保护措施</w:t>
            </w:r>
          </w:p>
          <w:p w14:paraId="73BE0F63">
            <w:pPr>
              <w:widowControl/>
              <w:adjustRightInd w:val="0"/>
              <w:snapToGrid w:val="0"/>
              <w:jc w:val="center"/>
              <w:rPr>
                <w:szCs w:val="21"/>
              </w:rPr>
            </w:pPr>
            <w:r>
              <w:rPr>
                <w:rFonts w:hint="eastAsia" w:ascii="宋体" w:hAnsi="宋体" w:cs="宋体"/>
                <w:szCs w:val="21"/>
              </w:rPr>
              <w:t>①</w:t>
            </w:r>
            <w:r>
              <w:rPr>
                <w:szCs w:val="21"/>
              </w:rPr>
              <w:t>优化施工方案。在施工时，尽量避免在各渔场附近堆放施工材料，运输建筑材料时要采取遮盖防尘等措施。施工前，应科学合理规划，加快施工进度，缩短水边施工时间，控制和减少污染物排放，尽量减小对水生生态环境的影响。同时，在施工时间上进行合理安排，尽量避免造成水域大范围悬浮物浓度过高。</w:t>
            </w:r>
          </w:p>
          <w:p w14:paraId="0F6ABC1E">
            <w:pPr>
              <w:widowControl/>
              <w:adjustRightInd w:val="0"/>
              <w:snapToGrid w:val="0"/>
              <w:jc w:val="center"/>
              <w:rPr>
                <w:szCs w:val="21"/>
              </w:rPr>
            </w:pPr>
            <w:r>
              <w:rPr>
                <w:rFonts w:hint="eastAsia" w:ascii="宋体" w:hAnsi="宋体" w:cs="宋体"/>
                <w:szCs w:val="21"/>
              </w:rPr>
              <w:t>②</w:t>
            </w:r>
            <w:r>
              <w:rPr>
                <w:szCs w:val="21"/>
              </w:rPr>
              <w:t>合理安排项目施工时段和方式，尽量缩短水中作业的时间，减少对鱼类繁殖的影响。</w:t>
            </w:r>
          </w:p>
          <w:p w14:paraId="34A3310B">
            <w:pPr>
              <w:widowControl/>
              <w:adjustRightInd w:val="0"/>
              <w:snapToGrid w:val="0"/>
              <w:jc w:val="center"/>
              <w:rPr>
                <w:szCs w:val="21"/>
              </w:rPr>
            </w:pPr>
            <w:r>
              <w:rPr>
                <w:rFonts w:hint="eastAsia" w:ascii="宋体" w:hAnsi="宋体" w:cs="宋体"/>
                <w:szCs w:val="21"/>
              </w:rPr>
              <w:t>③</w:t>
            </w:r>
            <w:r>
              <w:rPr>
                <w:szCs w:val="21"/>
              </w:rPr>
              <w:t>施工单位应加强对施工人员的生态环境保护宣传和教育工作，在工地及周边设立爱护野生动植物、鱼类的宣传牌，严禁施工人员捕捉、猎杀、捕捞野生动物和鱼类。</w:t>
            </w:r>
          </w:p>
          <w:p w14:paraId="4C820F5C">
            <w:pPr>
              <w:widowControl/>
              <w:adjustRightInd w:val="0"/>
              <w:snapToGrid w:val="0"/>
              <w:jc w:val="center"/>
              <w:rPr>
                <w:szCs w:val="21"/>
              </w:rPr>
            </w:pPr>
            <w:r>
              <w:rPr>
                <w:rFonts w:hint="eastAsia" w:ascii="宋体" w:hAnsi="宋体" w:cs="宋体"/>
                <w:szCs w:val="21"/>
              </w:rPr>
              <w:t>④</w:t>
            </w:r>
            <w:r>
              <w:rPr>
                <w:szCs w:val="21"/>
              </w:rPr>
              <w:t>划定施工界限。为减轻施工队伍对水生生物的影响，要标明施工活动区，严禁到非施工区域活动。</w:t>
            </w:r>
          </w:p>
          <w:p w14:paraId="39EEEA74">
            <w:pPr>
              <w:widowControl/>
              <w:adjustRightInd w:val="0"/>
              <w:snapToGrid w:val="0"/>
              <w:jc w:val="center"/>
              <w:rPr>
                <w:szCs w:val="21"/>
              </w:rPr>
            </w:pPr>
            <w:r>
              <w:rPr>
                <w:rFonts w:hint="eastAsia" w:ascii="宋体" w:hAnsi="宋体" w:cs="宋体"/>
                <w:szCs w:val="21"/>
              </w:rPr>
              <w:t>⑤</w:t>
            </w:r>
            <w:r>
              <w:rPr>
                <w:szCs w:val="21"/>
              </w:rPr>
              <w:t>合理分布光伏方阵，在光伏方阵之间留足够的光照空间，保证水生生态系统正常发生光合作用；在项目四周留足够的水面，供鱼类活动；同时光伏方阵与水面留有足够的高度，减少生产活动对水生生物的干扰。</w:t>
            </w:r>
          </w:p>
          <w:p w14:paraId="2FE8DA00">
            <w:pPr>
              <w:widowControl/>
              <w:adjustRightInd w:val="0"/>
              <w:snapToGrid w:val="0"/>
              <w:jc w:val="center"/>
              <w:rPr>
                <w:szCs w:val="21"/>
              </w:rPr>
            </w:pPr>
            <w:r>
              <w:rPr>
                <w:rFonts w:hint="eastAsia" w:ascii="宋体" w:hAnsi="宋体" w:cs="宋体"/>
                <w:szCs w:val="21"/>
              </w:rPr>
              <w:t>⑥</w:t>
            </w:r>
            <w:r>
              <w:rPr>
                <w:szCs w:val="21"/>
              </w:rPr>
              <w:t>施工废水和生活污水严禁直排渔场。</w:t>
            </w:r>
          </w:p>
        </w:tc>
        <w:tc>
          <w:tcPr>
            <w:tcW w:w="688" w:type="pct"/>
            <w:vAlign w:val="center"/>
          </w:tcPr>
          <w:p w14:paraId="113BCD63">
            <w:pPr>
              <w:adjustRightInd w:val="0"/>
              <w:snapToGrid w:val="0"/>
              <w:jc w:val="center"/>
              <w:rPr>
                <w:szCs w:val="21"/>
              </w:rPr>
            </w:pPr>
            <w:r>
              <w:rPr>
                <w:szCs w:val="21"/>
              </w:rPr>
              <w:t>严格按要求的范围施工，临时占地面积较小，及时对临时用地进行恢复，无明显水土流失现象。</w:t>
            </w:r>
          </w:p>
        </w:tc>
        <w:tc>
          <w:tcPr>
            <w:tcW w:w="1226" w:type="pct"/>
            <w:vAlign w:val="center"/>
          </w:tcPr>
          <w:p w14:paraId="079BB720">
            <w:pPr>
              <w:adjustRightInd w:val="0"/>
              <w:snapToGrid w:val="0"/>
              <w:jc w:val="center"/>
              <w:rPr>
                <w:szCs w:val="21"/>
              </w:rPr>
            </w:pPr>
            <w:r>
              <w:rPr>
                <w:szCs w:val="21"/>
              </w:rPr>
              <w:t>在工程营运期，应坚持利用与管护相结合的原则，经常检查，以确保林草植被恢复，保证环保措施发挥应有效益。完善施工期未实施到位</w:t>
            </w:r>
          </w:p>
          <w:p w14:paraId="26C2257E">
            <w:pPr>
              <w:adjustRightInd w:val="0"/>
              <w:snapToGrid w:val="0"/>
              <w:jc w:val="center"/>
              <w:rPr>
                <w:szCs w:val="21"/>
              </w:rPr>
            </w:pPr>
            <w:r>
              <w:rPr>
                <w:szCs w:val="21"/>
              </w:rPr>
              <w:t>的植被保护措施，确保植被覆盖率和存活率。维修时尽量减少植被破坏，及时采取水土保持措施。</w:t>
            </w:r>
          </w:p>
        </w:tc>
        <w:tc>
          <w:tcPr>
            <w:tcW w:w="1015" w:type="pct"/>
            <w:vAlign w:val="center"/>
          </w:tcPr>
          <w:p w14:paraId="69CD1340">
            <w:pPr>
              <w:adjustRightInd w:val="0"/>
              <w:snapToGrid w:val="0"/>
              <w:jc w:val="center"/>
              <w:rPr>
                <w:szCs w:val="21"/>
              </w:rPr>
            </w:pPr>
            <w:r>
              <w:rPr>
                <w:szCs w:val="21"/>
              </w:rPr>
              <w:t>区域生态系统可恢复到现有状态</w:t>
            </w:r>
          </w:p>
        </w:tc>
      </w:tr>
      <w:tr w14:paraId="2C34F7F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572" w:type="pct"/>
            <w:vAlign w:val="center"/>
          </w:tcPr>
          <w:p w14:paraId="2DD61263">
            <w:pPr>
              <w:adjustRightInd w:val="0"/>
              <w:snapToGrid w:val="0"/>
              <w:jc w:val="center"/>
              <w:rPr>
                <w:szCs w:val="21"/>
              </w:rPr>
            </w:pPr>
            <w:r>
              <w:rPr>
                <w:szCs w:val="21"/>
              </w:rPr>
              <w:t>水生生态</w:t>
            </w:r>
          </w:p>
        </w:tc>
        <w:tc>
          <w:tcPr>
            <w:tcW w:w="1498" w:type="pct"/>
            <w:vAlign w:val="center"/>
          </w:tcPr>
          <w:p w14:paraId="133082BC">
            <w:pPr>
              <w:adjustRightInd w:val="0"/>
              <w:snapToGrid w:val="0"/>
              <w:jc w:val="center"/>
              <w:rPr>
                <w:szCs w:val="21"/>
              </w:rPr>
            </w:pPr>
            <w:r>
              <w:rPr>
                <w:kern w:val="0"/>
                <w:szCs w:val="21"/>
                <w:lang w:bidi="ar"/>
              </w:rPr>
              <w:t>进一步优化施工布置，控制施工占地，减少对工程地区现有水环境的占压和破坏；加强施工管理，优化施工工艺，尽量缩短水中作业的时间，减少水体扰动</w:t>
            </w:r>
          </w:p>
        </w:tc>
        <w:tc>
          <w:tcPr>
            <w:tcW w:w="688" w:type="pct"/>
            <w:vAlign w:val="center"/>
          </w:tcPr>
          <w:p w14:paraId="757D93FC">
            <w:pPr>
              <w:adjustRightInd w:val="0"/>
              <w:snapToGrid w:val="0"/>
              <w:jc w:val="center"/>
              <w:rPr>
                <w:szCs w:val="21"/>
              </w:rPr>
            </w:pPr>
            <w:r>
              <w:rPr>
                <w:szCs w:val="21"/>
              </w:rPr>
              <w:t>不改变水体性质，“渔光互补”模式运转正常</w:t>
            </w:r>
          </w:p>
        </w:tc>
        <w:tc>
          <w:tcPr>
            <w:tcW w:w="1226" w:type="pct"/>
            <w:vAlign w:val="center"/>
          </w:tcPr>
          <w:p w14:paraId="31C5BF92">
            <w:pPr>
              <w:adjustRightInd w:val="0"/>
              <w:snapToGrid w:val="0"/>
              <w:jc w:val="center"/>
              <w:rPr>
                <w:szCs w:val="21"/>
              </w:rPr>
            </w:pPr>
            <w:r>
              <w:rPr>
                <w:szCs w:val="21"/>
              </w:rPr>
              <w:t>在光伏方阵之间留有足够的光照空间，保证水生生态系统正常发生光合作用，在项目四周留有足够的水面，供鱼类活动，光伏方阵与水面留有足够的高度，减少生产活动对水生生物的干扰；鱼塘内应选择合理的水生生物品种，保证项目所在地的生态平衡</w:t>
            </w:r>
          </w:p>
        </w:tc>
        <w:tc>
          <w:tcPr>
            <w:tcW w:w="1015" w:type="pct"/>
            <w:vAlign w:val="center"/>
          </w:tcPr>
          <w:p w14:paraId="65214720">
            <w:pPr>
              <w:adjustRightInd w:val="0"/>
              <w:snapToGrid w:val="0"/>
              <w:jc w:val="center"/>
              <w:rPr>
                <w:szCs w:val="21"/>
              </w:rPr>
            </w:pPr>
            <w:r>
              <w:rPr>
                <w:szCs w:val="21"/>
              </w:rPr>
              <w:t>不改变水体性质，“渔光互补”模式运转正常</w:t>
            </w:r>
          </w:p>
        </w:tc>
      </w:tr>
      <w:tr w14:paraId="4E3D350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572" w:type="pct"/>
            <w:vMerge w:val="restart"/>
            <w:vAlign w:val="center"/>
          </w:tcPr>
          <w:p w14:paraId="6DD4CB40">
            <w:pPr>
              <w:adjustRightInd w:val="0"/>
              <w:snapToGrid w:val="0"/>
              <w:jc w:val="center"/>
              <w:rPr>
                <w:szCs w:val="21"/>
              </w:rPr>
            </w:pPr>
            <w:r>
              <w:rPr>
                <w:szCs w:val="21"/>
              </w:rPr>
              <w:t>地表水环境</w:t>
            </w:r>
          </w:p>
        </w:tc>
        <w:tc>
          <w:tcPr>
            <w:tcW w:w="1498" w:type="pct"/>
            <w:vAlign w:val="center"/>
          </w:tcPr>
          <w:p w14:paraId="24127901">
            <w:pPr>
              <w:adjustRightInd w:val="0"/>
              <w:snapToGrid w:val="0"/>
              <w:jc w:val="center"/>
              <w:rPr>
                <w:szCs w:val="21"/>
              </w:rPr>
            </w:pPr>
            <w:r>
              <w:rPr>
                <w:spacing w:val="-5"/>
              </w:rPr>
              <w:t>施工废水经</w:t>
            </w:r>
            <w:r>
              <w:rPr>
                <w:bCs/>
                <w:snapToGrid w:val="0"/>
                <w:szCs w:val="22"/>
              </w:rPr>
              <w:t>隔油池、集水池收集回用于施工</w:t>
            </w:r>
          </w:p>
        </w:tc>
        <w:tc>
          <w:tcPr>
            <w:tcW w:w="688" w:type="pct"/>
            <w:vAlign w:val="center"/>
          </w:tcPr>
          <w:p w14:paraId="366C716D">
            <w:pPr>
              <w:adjustRightInd w:val="0"/>
              <w:snapToGrid w:val="0"/>
              <w:jc w:val="center"/>
              <w:rPr>
                <w:szCs w:val="21"/>
              </w:rPr>
            </w:pPr>
            <w:r>
              <w:t>施工废水循环使用，不排放</w:t>
            </w:r>
          </w:p>
        </w:tc>
        <w:tc>
          <w:tcPr>
            <w:tcW w:w="1226" w:type="pct"/>
            <w:vAlign w:val="center"/>
          </w:tcPr>
          <w:p w14:paraId="4A5DE93A">
            <w:pPr>
              <w:adjustRightInd w:val="0"/>
              <w:snapToGrid w:val="0"/>
              <w:jc w:val="center"/>
              <w:rPr>
                <w:spacing w:val="-5"/>
              </w:rPr>
            </w:pPr>
            <w:r>
              <w:rPr>
                <w:spacing w:val="-5"/>
              </w:rPr>
              <w:t>光伏场区光伏组件冲洗废水直接排入</w:t>
            </w:r>
            <w:r>
              <w:rPr>
                <w:szCs w:val="21"/>
              </w:rPr>
              <w:t>鱼塘</w:t>
            </w:r>
            <w:r>
              <w:rPr>
                <w:spacing w:val="-5"/>
              </w:rPr>
              <w:t>内。</w:t>
            </w:r>
          </w:p>
        </w:tc>
        <w:tc>
          <w:tcPr>
            <w:tcW w:w="1015" w:type="pct"/>
            <w:vAlign w:val="center"/>
          </w:tcPr>
          <w:p w14:paraId="5E30AEA9">
            <w:pPr>
              <w:adjustRightInd w:val="0"/>
              <w:snapToGrid w:val="0"/>
              <w:jc w:val="center"/>
              <w:rPr>
                <w:szCs w:val="21"/>
              </w:rPr>
            </w:pPr>
            <w:r>
              <w:rPr>
                <w:spacing w:val="-5"/>
              </w:rPr>
              <w:t>光伏场区光伏组件冲洗废水直接排入</w:t>
            </w:r>
            <w:r>
              <w:rPr>
                <w:szCs w:val="21"/>
              </w:rPr>
              <w:t>鱼塘</w:t>
            </w:r>
            <w:r>
              <w:rPr>
                <w:spacing w:val="-5"/>
              </w:rPr>
              <w:t>内。</w:t>
            </w:r>
          </w:p>
        </w:tc>
      </w:tr>
      <w:tr w14:paraId="23AED7A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72" w:type="pct"/>
            <w:vMerge w:val="continue"/>
            <w:vAlign w:val="center"/>
          </w:tcPr>
          <w:p w14:paraId="4F44BD7A">
            <w:pPr>
              <w:adjustRightInd w:val="0"/>
              <w:snapToGrid w:val="0"/>
              <w:jc w:val="center"/>
              <w:rPr>
                <w:szCs w:val="21"/>
              </w:rPr>
            </w:pPr>
          </w:p>
        </w:tc>
        <w:tc>
          <w:tcPr>
            <w:tcW w:w="1498" w:type="pct"/>
            <w:vAlign w:val="center"/>
          </w:tcPr>
          <w:p w14:paraId="77E0C565">
            <w:pPr>
              <w:adjustRightInd w:val="0"/>
              <w:snapToGrid w:val="0"/>
              <w:jc w:val="center"/>
              <w:rPr>
                <w:spacing w:val="-5"/>
              </w:rPr>
            </w:pPr>
            <w:r>
              <w:rPr>
                <w:spacing w:val="-6"/>
              </w:rPr>
              <w:t>施工人员生活</w:t>
            </w:r>
            <w:r>
              <w:t>污水</w:t>
            </w:r>
            <w:r>
              <w:rPr>
                <w:spacing w:val="-5"/>
              </w:rPr>
              <w:t>经</w:t>
            </w:r>
            <w:r>
              <w:rPr>
                <w:bCs/>
                <w:snapToGrid w:val="0"/>
                <w:szCs w:val="22"/>
              </w:rPr>
              <w:t>化粪池收集处理后，定期清掏用于周边林地或农田施肥</w:t>
            </w:r>
          </w:p>
        </w:tc>
        <w:tc>
          <w:tcPr>
            <w:tcW w:w="688" w:type="pct"/>
            <w:vAlign w:val="center"/>
          </w:tcPr>
          <w:p w14:paraId="77951B1D">
            <w:pPr>
              <w:adjustRightInd w:val="0"/>
              <w:snapToGrid w:val="0"/>
              <w:jc w:val="center"/>
              <w:rPr>
                <w:szCs w:val="21"/>
              </w:rPr>
            </w:pPr>
            <w:r>
              <w:rPr>
                <w:spacing w:val="-6"/>
              </w:rPr>
              <w:t>施工人员生活</w:t>
            </w:r>
            <w:r>
              <w:t>污水</w:t>
            </w:r>
            <w:r>
              <w:rPr>
                <w:spacing w:val="-5"/>
              </w:rPr>
              <w:t>经</w:t>
            </w:r>
            <w:r>
              <w:rPr>
                <w:bCs/>
                <w:snapToGrid w:val="0"/>
                <w:szCs w:val="22"/>
              </w:rPr>
              <w:t>化粪池收集处理后，定期清掏用于周边林地或农田施肥</w:t>
            </w:r>
          </w:p>
        </w:tc>
        <w:tc>
          <w:tcPr>
            <w:tcW w:w="1226" w:type="pct"/>
            <w:vAlign w:val="center"/>
          </w:tcPr>
          <w:p w14:paraId="3221EE7C">
            <w:pPr>
              <w:adjustRightInd w:val="0"/>
              <w:snapToGrid w:val="0"/>
              <w:jc w:val="center"/>
              <w:rPr>
                <w:rFonts w:hint="eastAsia" w:eastAsia="宋体"/>
                <w:spacing w:val="-5"/>
                <w:lang w:eastAsia="zh-CN"/>
              </w:rPr>
            </w:pPr>
            <w:r>
              <w:rPr>
                <w:rFonts w:hint="eastAsia"/>
                <w:spacing w:val="-5"/>
                <w:lang w:val="en-US" w:eastAsia="zh-CN"/>
              </w:rPr>
              <w:t>/</w:t>
            </w:r>
          </w:p>
        </w:tc>
        <w:tc>
          <w:tcPr>
            <w:tcW w:w="1015" w:type="pct"/>
            <w:vAlign w:val="center"/>
          </w:tcPr>
          <w:p w14:paraId="7D558E23">
            <w:pPr>
              <w:adjustRightInd w:val="0"/>
              <w:snapToGrid w:val="0"/>
              <w:jc w:val="center"/>
              <w:rPr>
                <w:rFonts w:hint="eastAsia" w:eastAsia="宋体"/>
                <w:szCs w:val="21"/>
                <w:lang w:eastAsia="zh-CN"/>
              </w:rPr>
            </w:pPr>
            <w:r>
              <w:rPr>
                <w:rFonts w:hint="eastAsia"/>
                <w:szCs w:val="21"/>
                <w:lang w:val="en-US" w:eastAsia="zh-CN"/>
              </w:rPr>
              <w:t>/</w:t>
            </w:r>
          </w:p>
        </w:tc>
      </w:tr>
      <w:tr w14:paraId="3BC0FAE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3" w:hRule="atLeast"/>
          <w:jc w:val="center"/>
        </w:trPr>
        <w:tc>
          <w:tcPr>
            <w:tcW w:w="572" w:type="pct"/>
            <w:vAlign w:val="center"/>
          </w:tcPr>
          <w:p w14:paraId="459BE422">
            <w:pPr>
              <w:adjustRightInd w:val="0"/>
              <w:snapToGrid w:val="0"/>
              <w:jc w:val="center"/>
              <w:rPr>
                <w:szCs w:val="21"/>
              </w:rPr>
            </w:pPr>
            <w:r>
              <w:rPr>
                <w:szCs w:val="21"/>
              </w:rPr>
              <w:t>地下水及土壤环境</w:t>
            </w:r>
          </w:p>
        </w:tc>
        <w:tc>
          <w:tcPr>
            <w:tcW w:w="1498" w:type="pct"/>
            <w:vAlign w:val="center"/>
          </w:tcPr>
          <w:p w14:paraId="34DECDFE">
            <w:pPr>
              <w:adjustRightInd w:val="0"/>
              <w:snapToGrid w:val="0"/>
              <w:jc w:val="center"/>
              <w:rPr>
                <w:rFonts w:hint="eastAsia" w:eastAsia="宋体"/>
                <w:szCs w:val="21"/>
                <w:lang w:val="en-US" w:eastAsia="zh-CN"/>
              </w:rPr>
            </w:pPr>
            <w:r>
              <w:rPr>
                <w:rFonts w:hint="eastAsia"/>
                <w:szCs w:val="21"/>
                <w:lang w:val="en-US" w:eastAsia="zh-CN"/>
              </w:rPr>
              <w:t>/</w:t>
            </w:r>
          </w:p>
        </w:tc>
        <w:tc>
          <w:tcPr>
            <w:tcW w:w="688" w:type="pct"/>
            <w:vAlign w:val="center"/>
          </w:tcPr>
          <w:p w14:paraId="6F3C11B7">
            <w:pPr>
              <w:adjustRightInd w:val="0"/>
              <w:snapToGrid w:val="0"/>
              <w:jc w:val="center"/>
              <w:rPr>
                <w:szCs w:val="21"/>
              </w:rPr>
            </w:pPr>
            <w:r>
              <w:rPr>
                <w:rFonts w:hint="eastAsia"/>
                <w:szCs w:val="21"/>
                <w:lang w:val="en-US" w:eastAsia="zh-CN"/>
              </w:rPr>
              <w:t>/</w:t>
            </w:r>
          </w:p>
        </w:tc>
        <w:tc>
          <w:tcPr>
            <w:tcW w:w="1226" w:type="pct"/>
            <w:vAlign w:val="center"/>
          </w:tcPr>
          <w:p w14:paraId="0346E704">
            <w:pPr>
              <w:adjustRightInd w:val="0"/>
              <w:snapToGrid w:val="0"/>
              <w:jc w:val="center"/>
              <w:rPr>
                <w:szCs w:val="21"/>
              </w:rPr>
            </w:pPr>
            <w:r>
              <w:rPr>
                <w:rFonts w:hint="eastAsia"/>
                <w:szCs w:val="21"/>
                <w:lang w:val="en-US" w:eastAsia="zh-CN"/>
              </w:rPr>
              <w:t>/</w:t>
            </w:r>
          </w:p>
        </w:tc>
        <w:tc>
          <w:tcPr>
            <w:tcW w:w="1015" w:type="pct"/>
            <w:vAlign w:val="center"/>
          </w:tcPr>
          <w:p w14:paraId="61BA70ED">
            <w:pPr>
              <w:adjustRightInd w:val="0"/>
              <w:snapToGrid w:val="0"/>
              <w:jc w:val="center"/>
              <w:rPr>
                <w:szCs w:val="21"/>
              </w:rPr>
            </w:pPr>
            <w:r>
              <w:rPr>
                <w:rFonts w:hint="eastAsia"/>
                <w:szCs w:val="21"/>
                <w:lang w:val="en-US" w:eastAsia="zh-CN"/>
              </w:rPr>
              <w:t>/</w:t>
            </w:r>
          </w:p>
        </w:tc>
      </w:tr>
      <w:tr w14:paraId="5CC8EAA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572" w:type="pct"/>
            <w:vAlign w:val="center"/>
          </w:tcPr>
          <w:p w14:paraId="7B0188DD">
            <w:pPr>
              <w:adjustRightInd w:val="0"/>
              <w:snapToGrid w:val="0"/>
              <w:jc w:val="center"/>
              <w:rPr>
                <w:szCs w:val="21"/>
              </w:rPr>
            </w:pPr>
            <w:r>
              <w:rPr>
                <w:szCs w:val="21"/>
              </w:rPr>
              <w:t>声环境</w:t>
            </w:r>
          </w:p>
        </w:tc>
        <w:tc>
          <w:tcPr>
            <w:tcW w:w="1498" w:type="pct"/>
            <w:vAlign w:val="center"/>
          </w:tcPr>
          <w:p w14:paraId="464A04C2">
            <w:pPr>
              <w:adjustRightInd w:val="0"/>
              <w:snapToGrid w:val="0"/>
              <w:jc w:val="center"/>
              <w:rPr>
                <w:szCs w:val="21"/>
              </w:rPr>
            </w:pPr>
            <w:r>
              <w:rPr>
                <w:szCs w:val="21"/>
              </w:rPr>
              <w:t>合理安排施工时间，高噪声施工时间尽量安排在昼间；尽量避免高噪源同时进行施工，设置施工围挡；优先选用低噪声施工工艺和施工机械；施工车辆的运行应尽量避开噪声敏感区域和噪声敏感时段。</w:t>
            </w:r>
          </w:p>
        </w:tc>
        <w:tc>
          <w:tcPr>
            <w:tcW w:w="688" w:type="pct"/>
            <w:vAlign w:val="center"/>
          </w:tcPr>
          <w:p w14:paraId="546C8ED3">
            <w:pPr>
              <w:adjustRightInd w:val="0"/>
              <w:snapToGrid w:val="0"/>
              <w:jc w:val="center"/>
              <w:rPr>
                <w:szCs w:val="21"/>
              </w:rPr>
            </w:pPr>
            <w:r>
              <w:rPr>
                <w:bCs/>
                <w:kern w:val="0"/>
                <w:szCs w:val="22"/>
              </w:rPr>
              <w:t>达到《建筑施工场界环境噪声排放标准》(GB12523-2011)中相关标准</w:t>
            </w:r>
          </w:p>
        </w:tc>
        <w:tc>
          <w:tcPr>
            <w:tcW w:w="1226" w:type="pct"/>
            <w:vAlign w:val="center"/>
          </w:tcPr>
          <w:p w14:paraId="4AE967A9">
            <w:pPr>
              <w:widowControl/>
              <w:jc w:val="center"/>
              <w:rPr>
                <w:kern w:val="0"/>
                <w:szCs w:val="20"/>
                <w:lang w:bidi="ar"/>
              </w:rPr>
            </w:pPr>
            <w:r>
              <w:rPr>
                <w:kern w:val="0"/>
                <w:szCs w:val="20"/>
                <w:lang w:bidi="ar"/>
              </w:rPr>
              <w:t>合理布局，选用低噪声设备、基础减振、加强保养等</w:t>
            </w:r>
            <w:r>
              <w:t>。</w:t>
            </w:r>
          </w:p>
        </w:tc>
        <w:tc>
          <w:tcPr>
            <w:tcW w:w="1015" w:type="pct"/>
            <w:vAlign w:val="center"/>
          </w:tcPr>
          <w:p w14:paraId="38431FB0">
            <w:pPr>
              <w:adjustRightInd w:val="0"/>
              <w:snapToGrid w:val="0"/>
              <w:jc w:val="center"/>
              <w:rPr>
                <w:szCs w:val="21"/>
              </w:rPr>
            </w:pPr>
            <w:r>
              <w:rPr>
                <w:bCs/>
                <w:kern w:val="0"/>
                <w:szCs w:val="22"/>
              </w:rPr>
              <w:t>达到《工业企业厂界环境噪声排放标准》（GB12348-2008）1类区标准。</w:t>
            </w:r>
          </w:p>
        </w:tc>
      </w:tr>
      <w:tr w14:paraId="5471511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72" w:type="pct"/>
            <w:vAlign w:val="center"/>
          </w:tcPr>
          <w:p w14:paraId="7B9017B5">
            <w:pPr>
              <w:adjustRightInd w:val="0"/>
              <w:snapToGrid w:val="0"/>
              <w:jc w:val="center"/>
              <w:rPr>
                <w:szCs w:val="21"/>
              </w:rPr>
            </w:pPr>
            <w:r>
              <w:rPr>
                <w:szCs w:val="21"/>
              </w:rPr>
              <w:t>振动</w:t>
            </w:r>
          </w:p>
        </w:tc>
        <w:tc>
          <w:tcPr>
            <w:tcW w:w="1498" w:type="pct"/>
            <w:vAlign w:val="center"/>
          </w:tcPr>
          <w:p w14:paraId="0F2E23CF">
            <w:pPr>
              <w:adjustRightInd w:val="0"/>
              <w:snapToGrid w:val="0"/>
              <w:jc w:val="center"/>
              <w:rPr>
                <w:szCs w:val="21"/>
              </w:rPr>
            </w:pPr>
            <w:r>
              <w:rPr>
                <w:szCs w:val="21"/>
              </w:rPr>
              <w:t>/</w:t>
            </w:r>
          </w:p>
        </w:tc>
        <w:tc>
          <w:tcPr>
            <w:tcW w:w="688" w:type="pct"/>
            <w:vAlign w:val="center"/>
          </w:tcPr>
          <w:p w14:paraId="75981D83">
            <w:pPr>
              <w:adjustRightInd w:val="0"/>
              <w:snapToGrid w:val="0"/>
              <w:jc w:val="center"/>
              <w:rPr>
                <w:szCs w:val="21"/>
              </w:rPr>
            </w:pPr>
            <w:r>
              <w:rPr>
                <w:szCs w:val="21"/>
              </w:rPr>
              <w:t>/</w:t>
            </w:r>
          </w:p>
        </w:tc>
        <w:tc>
          <w:tcPr>
            <w:tcW w:w="1226" w:type="pct"/>
            <w:vAlign w:val="center"/>
          </w:tcPr>
          <w:p w14:paraId="438B5CB0">
            <w:pPr>
              <w:adjustRightInd w:val="0"/>
              <w:snapToGrid w:val="0"/>
              <w:jc w:val="center"/>
              <w:rPr>
                <w:szCs w:val="21"/>
              </w:rPr>
            </w:pPr>
            <w:r>
              <w:rPr>
                <w:szCs w:val="21"/>
              </w:rPr>
              <w:t>/</w:t>
            </w:r>
          </w:p>
        </w:tc>
        <w:tc>
          <w:tcPr>
            <w:tcW w:w="1015" w:type="pct"/>
            <w:vAlign w:val="center"/>
          </w:tcPr>
          <w:p w14:paraId="1D8AA148">
            <w:pPr>
              <w:adjustRightInd w:val="0"/>
              <w:snapToGrid w:val="0"/>
              <w:jc w:val="center"/>
              <w:rPr>
                <w:szCs w:val="21"/>
              </w:rPr>
            </w:pPr>
            <w:r>
              <w:rPr>
                <w:szCs w:val="21"/>
              </w:rPr>
              <w:t>/</w:t>
            </w:r>
          </w:p>
        </w:tc>
      </w:tr>
      <w:tr w14:paraId="2127323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572" w:type="pct"/>
            <w:vAlign w:val="center"/>
          </w:tcPr>
          <w:p w14:paraId="43BCC2C7">
            <w:pPr>
              <w:adjustRightInd w:val="0"/>
              <w:snapToGrid w:val="0"/>
              <w:jc w:val="center"/>
              <w:rPr>
                <w:szCs w:val="21"/>
              </w:rPr>
            </w:pPr>
            <w:r>
              <w:rPr>
                <w:szCs w:val="21"/>
              </w:rPr>
              <w:t>大气</w:t>
            </w:r>
          </w:p>
          <w:p w14:paraId="7E053F7B">
            <w:pPr>
              <w:adjustRightInd w:val="0"/>
              <w:snapToGrid w:val="0"/>
              <w:jc w:val="center"/>
              <w:rPr>
                <w:szCs w:val="21"/>
              </w:rPr>
            </w:pPr>
            <w:r>
              <w:rPr>
                <w:szCs w:val="21"/>
              </w:rPr>
              <w:t>环境</w:t>
            </w:r>
          </w:p>
        </w:tc>
        <w:tc>
          <w:tcPr>
            <w:tcW w:w="1498" w:type="pct"/>
            <w:vAlign w:val="center"/>
          </w:tcPr>
          <w:p w14:paraId="54970CA5">
            <w:pPr>
              <w:adjustRightInd w:val="0"/>
              <w:snapToGrid w:val="0"/>
              <w:jc w:val="center"/>
              <w:rPr>
                <w:szCs w:val="21"/>
              </w:rPr>
            </w:pPr>
            <w:r>
              <w:rPr>
                <w:szCs w:val="21"/>
              </w:rPr>
              <w:t>在各项目工地上醒目位置及项目周边敏感目标公告栏处公布施工信息；设置围挡，定期洒水、物料库存或苫盖，加强运输车辆管理，对道路进行洒水降尘。</w:t>
            </w:r>
          </w:p>
        </w:tc>
        <w:tc>
          <w:tcPr>
            <w:tcW w:w="688" w:type="pct"/>
            <w:vAlign w:val="center"/>
          </w:tcPr>
          <w:p w14:paraId="2C31AF1E">
            <w:pPr>
              <w:adjustRightInd w:val="0"/>
              <w:snapToGrid w:val="0"/>
              <w:jc w:val="center"/>
              <w:rPr>
                <w:szCs w:val="21"/>
              </w:rPr>
            </w:pPr>
            <w:r>
              <w:t>满足《施工场地扬尘排放标准》(DB32/4437-2022)表2排放浓度限值</w:t>
            </w:r>
          </w:p>
        </w:tc>
        <w:tc>
          <w:tcPr>
            <w:tcW w:w="1226" w:type="pct"/>
            <w:vAlign w:val="center"/>
          </w:tcPr>
          <w:p w14:paraId="5937C042">
            <w:pPr>
              <w:adjustRightInd w:val="0"/>
              <w:snapToGrid w:val="0"/>
              <w:jc w:val="center"/>
              <w:rPr>
                <w:szCs w:val="21"/>
              </w:rPr>
            </w:pPr>
            <w:r>
              <w:rPr>
                <w:szCs w:val="21"/>
              </w:rPr>
              <w:t>/</w:t>
            </w:r>
          </w:p>
        </w:tc>
        <w:tc>
          <w:tcPr>
            <w:tcW w:w="1015" w:type="pct"/>
            <w:vAlign w:val="center"/>
          </w:tcPr>
          <w:p w14:paraId="01A7A20D">
            <w:pPr>
              <w:adjustRightInd w:val="0"/>
              <w:snapToGrid w:val="0"/>
              <w:jc w:val="center"/>
              <w:rPr>
                <w:szCs w:val="21"/>
              </w:rPr>
            </w:pPr>
            <w:r>
              <w:rPr>
                <w:szCs w:val="21"/>
              </w:rPr>
              <w:t>/</w:t>
            </w:r>
          </w:p>
        </w:tc>
      </w:tr>
      <w:tr w14:paraId="0E71BA8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572" w:type="pct"/>
            <w:vAlign w:val="center"/>
          </w:tcPr>
          <w:p w14:paraId="61725B50">
            <w:pPr>
              <w:adjustRightInd w:val="0"/>
              <w:snapToGrid w:val="0"/>
              <w:jc w:val="center"/>
              <w:rPr>
                <w:szCs w:val="21"/>
              </w:rPr>
            </w:pPr>
            <w:r>
              <w:rPr>
                <w:szCs w:val="21"/>
              </w:rPr>
              <w:t>固体</w:t>
            </w:r>
          </w:p>
          <w:p w14:paraId="082778C2">
            <w:pPr>
              <w:adjustRightInd w:val="0"/>
              <w:snapToGrid w:val="0"/>
              <w:jc w:val="center"/>
              <w:rPr>
                <w:szCs w:val="21"/>
              </w:rPr>
            </w:pPr>
            <w:r>
              <w:rPr>
                <w:szCs w:val="21"/>
              </w:rPr>
              <w:t>废物</w:t>
            </w:r>
          </w:p>
        </w:tc>
        <w:tc>
          <w:tcPr>
            <w:tcW w:w="1498" w:type="pct"/>
            <w:vAlign w:val="center"/>
          </w:tcPr>
          <w:p w14:paraId="67D66E6B">
            <w:pPr>
              <w:widowControl/>
              <w:adjustRightInd w:val="0"/>
              <w:snapToGrid w:val="0"/>
              <w:jc w:val="center"/>
              <w:rPr>
                <w:kern w:val="0"/>
                <w:szCs w:val="21"/>
                <w:lang w:bidi="ar"/>
              </w:rPr>
            </w:pPr>
            <w:r>
              <w:rPr>
                <w:kern w:val="0"/>
                <w:szCs w:val="21"/>
                <w:lang w:bidi="ar"/>
              </w:rPr>
              <w:t>项目在挖方过程中将表土进行暂存后用于项目结束后的覆绿。开挖出的土方除在基坑附近预留足够回填土外，其余弃方筑检修道路用。</w:t>
            </w:r>
          </w:p>
          <w:p w14:paraId="72838C40">
            <w:pPr>
              <w:widowControl/>
              <w:adjustRightInd w:val="0"/>
              <w:snapToGrid w:val="0"/>
              <w:jc w:val="center"/>
              <w:rPr>
                <w:kern w:val="0"/>
                <w:szCs w:val="21"/>
                <w:lang w:bidi="ar"/>
              </w:rPr>
            </w:pPr>
            <w:r>
              <w:rPr>
                <w:kern w:val="0"/>
                <w:szCs w:val="21"/>
                <w:lang w:bidi="ar"/>
              </w:rPr>
              <w:t>施工建筑垃圾主要为钢筋、板材、碎砖石等。建筑垃圾中钢筋、钢板、木材等下脚料分类收集至临时建筑垃圾堆场内，定期出售给废品收购站进行回收利用。</w:t>
            </w:r>
          </w:p>
          <w:p w14:paraId="576714FE">
            <w:pPr>
              <w:widowControl/>
              <w:adjustRightInd w:val="0"/>
              <w:snapToGrid w:val="0"/>
              <w:jc w:val="center"/>
              <w:rPr>
                <w:kern w:val="0"/>
                <w:szCs w:val="21"/>
                <w:lang w:bidi="ar"/>
              </w:rPr>
            </w:pPr>
            <w:r>
              <w:rPr>
                <w:kern w:val="0"/>
                <w:szCs w:val="21"/>
                <w:lang w:bidi="ar"/>
              </w:rPr>
              <w:t>太阳能发电系统组件安装及设备安装等过程产生的下脚料（导线、电缆等）、废包装材料（主要为废纸箱和木架）等均具有回收再利用价值，外售给废旧资源回收站。</w:t>
            </w:r>
          </w:p>
          <w:p w14:paraId="36D4F17E">
            <w:pPr>
              <w:widowControl/>
              <w:adjustRightInd w:val="0"/>
              <w:snapToGrid w:val="0"/>
              <w:jc w:val="center"/>
              <w:rPr>
                <w:szCs w:val="21"/>
              </w:rPr>
            </w:pPr>
            <w:r>
              <w:rPr>
                <w:kern w:val="0"/>
                <w:szCs w:val="21"/>
                <w:lang w:bidi="ar"/>
              </w:rPr>
              <w:t>生活垃圾集中定点收集后，交由环卫部门处理。</w:t>
            </w:r>
          </w:p>
        </w:tc>
        <w:tc>
          <w:tcPr>
            <w:tcW w:w="688" w:type="pct"/>
            <w:vAlign w:val="center"/>
          </w:tcPr>
          <w:p w14:paraId="2F76CD95">
            <w:pPr>
              <w:widowControl/>
              <w:adjustRightInd w:val="0"/>
              <w:snapToGrid w:val="0"/>
              <w:jc w:val="center"/>
              <w:rPr>
                <w:rFonts w:hint="eastAsia" w:eastAsia="宋体"/>
                <w:szCs w:val="21"/>
                <w:lang w:eastAsia="zh-CN"/>
              </w:rPr>
            </w:pPr>
            <w:r>
              <w:rPr>
                <w:kern w:val="0"/>
                <w:szCs w:val="21"/>
                <w:lang w:bidi="ar"/>
              </w:rPr>
              <w:t>落实相关措施，无乱丢乱弃现象</w:t>
            </w:r>
          </w:p>
        </w:tc>
        <w:tc>
          <w:tcPr>
            <w:tcW w:w="1226" w:type="pct"/>
            <w:vAlign w:val="center"/>
          </w:tcPr>
          <w:p w14:paraId="2D98ACD2">
            <w:pPr>
              <w:rPr>
                <w:bCs/>
                <w:kern w:val="0"/>
                <w:szCs w:val="21"/>
              </w:rPr>
            </w:pPr>
            <w:r>
              <w:rPr>
                <w:spacing w:val="8"/>
              </w:rPr>
              <w:t>运营期产生的废物主要为废旧太阳能电池组件，光伏区内不设置临时储存点</w:t>
            </w:r>
            <w:r>
              <w:rPr>
                <w:rFonts w:hint="eastAsia"/>
                <w:spacing w:val="8"/>
                <w:lang w:eastAsia="zh-CN"/>
              </w:rPr>
              <w:t>，</w:t>
            </w:r>
            <w:r>
              <w:rPr>
                <w:spacing w:val="8"/>
              </w:rPr>
              <w:t>检修更换后直接由设备</w:t>
            </w:r>
            <w:r>
              <w:rPr>
                <w:spacing w:val="5"/>
              </w:rPr>
              <w:t>厂家回收</w:t>
            </w:r>
            <w:r>
              <w:rPr>
                <w:bCs/>
                <w:szCs w:val="21"/>
              </w:rPr>
              <w:t>。</w:t>
            </w:r>
          </w:p>
        </w:tc>
        <w:tc>
          <w:tcPr>
            <w:tcW w:w="1015" w:type="pct"/>
            <w:vAlign w:val="center"/>
          </w:tcPr>
          <w:p w14:paraId="10FED73E">
            <w:pPr>
              <w:adjustRightInd w:val="0"/>
              <w:snapToGrid w:val="0"/>
              <w:jc w:val="center"/>
              <w:rPr>
                <w:szCs w:val="21"/>
              </w:rPr>
            </w:pPr>
            <w:r>
              <w:rPr>
                <w:szCs w:val="21"/>
              </w:rPr>
              <w:t>固废处置率100%</w:t>
            </w:r>
          </w:p>
        </w:tc>
      </w:tr>
      <w:tr w14:paraId="3C0D47B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72" w:type="pct"/>
            <w:vAlign w:val="center"/>
          </w:tcPr>
          <w:p w14:paraId="598F2273">
            <w:pPr>
              <w:adjustRightInd w:val="0"/>
              <w:snapToGrid w:val="0"/>
              <w:jc w:val="center"/>
              <w:rPr>
                <w:szCs w:val="21"/>
              </w:rPr>
            </w:pPr>
            <w:r>
              <w:rPr>
                <w:szCs w:val="21"/>
              </w:rPr>
              <w:t>电磁</w:t>
            </w:r>
          </w:p>
          <w:p w14:paraId="10AE486F">
            <w:pPr>
              <w:adjustRightInd w:val="0"/>
              <w:snapToGrid w:val="0"/>
              <w:jc w:val="center"/>
              <w:rPr>
                <w:szCs w:val="21"/>
              </w:rPr>
            </w:pPr>
            <w:r>
              <w:rPr>
                <w:szCs w:val="21"/>
              </w:rPr>
              <w:t>环境</w:t>
            </w:r>
          </w:p>
        </w:tc>
        <w:tc>
          <w:tcPr>
            <w:tcW w:w="1498" w:type="pct"/>
            <w:vAlign w:val="center"/>
          </w:tcPr>
          <w:p w14:paraId="6E629D9A">
            <w:pPr>
              <w:widowControl/>
              <w:adjustRightInd w:val="0"/>
              <w:snapToGrid w:val="0"/>
              <w:jc w:val="center"/>
              <w:rPr>
                <w:kern w:val="0"/>
                <w:szCs w:val="21"/>
                <w:lang w:bidi="ar"/>
              </w:rPr>
            </w:pPr>
            <w:r>
              <w:rPr>
                <w:szCs w:val="21"/>
              </w:rPr>
              <w:t>/</w:t>
            </w:r>
          </w:p>
        </w:tc>
        <w:tc>
          <w:tcPr>
            <w:tcW w:w="688" w:type="pct"/>
            <w:vAlign w:val="center"/>
          </w:tcPr>
          <w:p w14:paraId="3C8FE954">
            <w:pPr>
              <w:widowControl/>
              <w:adjustRightInd w:val="0"/>
              <w:snapToGrid w:val="0"/>
              <w:jc w:val="center"/>
              <w:rPr>
                <w:kern w:val="0"/>
                <w:szCs w:val="21"/>
                <w:lang w:bidi="ar"/>
              </w:rPr>
            </w:pPr>
            <w:r>
              <w:rPr>
                <w:szCs w:val="21"/>
              </w:rPr>
              <w:t>/</w:t>
            </w:r>
          </w:p>
        </w:tc>
        <w:tc>
          <w:tcPr>
            <w:tcW w:w="1226" w:type="pct"/>
            <w:vAlign w:val="center"/>
          </w:tcPr>
          <w:p w14:paraId="311D44FE">
            <w:pPr>
              <w:adjustRightInd w:val="0"/>
              <w:snapToGrid w:val="0"/>
              <w:jc w:val="center"/>
              <w:rPr>
                <w:bCs/>
                <w:kern w:val="0"/>
                <w:szCs w:val="21"/>
              </w:rPr>
            </w:pPr>
            <w:r>
              <w:t>/</w:t>
            </w:r>
          </w:p>
        </w:tc>
        <w:tc>
          <w:tcPr>
            <w:tcW w:w="1015" w:type="pct"/>
            <w:vAlign w:val="center"/>
          </w:tcPr>
          <w:p w14:paraId="2B7F30DF">
            <w:pPr>
              <w:adjustRightInd w:val="0"/>
              <w:snapToGrid w:val="0"/>
              <w:jc w:val="center"/>
              <w:rPr>
                <w:szCs w:val="21"/>
              </w:rPr>
            </w:pPr>
            <w:r>
              <w:t>/</w:t>
            </w:r>
          </w:p>
        </w:tc>
      </w:tr>
      <w:tr w14:paraId="17DADE9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72" w:type="pct"/>
            <w:vAlign w:val="center"/>
          </w:tcPr>
          <w:p w14:paraId="122DB46E">
            <w:pPr>
              <w:adjustRightInd w:val="0"/>
              <w:snapToGrid w:val="0"/>
              <w:jc w:val="center"/>
              <w:rPr>
                <w:szCs w:val="21"/>
              </w:rPr>
            </w:pPr>
            <w:r>
              <w:rPr>
                <w:szCs w:val="21"/>
              </w:rPr>
              <w:t>环境</w:t>
            </w:r>
          </w:p>
          <w:p w14:paraId="35D00010">
            <w:pPr>
              <w:adjustRightInd w:val="0"/>
              <w:snapToGrid w:val="0"/>
              <w:jc w:val="center"/>
              <w:rPr>
                <w:szCs w:val="21"/>
              </w:rPr>
            </w:pPr>
            <w:r>
              <w:rPr>
                <w:szCs w:val="21"/>
              </w:rPr>
              <w:t>风险</w:t>
            </w:r>
          </w:p>
        </w:tc>
        <w:tc>
          <w:tcPr>
            <w:tcW w:w="1498" w:type="pct"/>
            <w:vAlign w:val="center"/>
          </w:tcPr>
          <w:p w14:paraId="5F47395B">
            <w:pPr>
              <w:adjustRightInd w:val="0"/>
              <w:snapToGrid w:val="0"/>
              <w:jc w:val="center"/>
              <w:rPr>
                <w:szCs w:val="21"/>
              </w:rPr>
            </w:pPr>
            <w:r>
              <w:rPr>
                <w:szCs w:val="21"/>
              </w:rPr>
              <w:t>/</w:t>
            </w:r>
          </w:p>
        </w:tc>
        <w:tc>
          <w:tcPr>
            <w:tcW w:w="688" w:type="pct"/>
            <w:vAlign w:val="center"/>
          </w:tcPr>
          <w:p w14:paraId="574ACA0B">
            <w:pPr>
              <w:adjustRightInd w:val="0"/>
              <w:snapToGrid w:val="0"/>
              <w:jc w:val="center"/>
              <w:rPr>
                <w:szCs w:val="21"/>
              </w:rPr>
            </w:pPr>
            <w:r>
              <w:rPr>
                <w:szCs w:val="21"/>
              </w:rPr>
              <w:t>/</w:t>
            </w:r>
          </w:p>
        </w:tc>
        <w:tc>
          <w:tcPr>
            <w:tcW w:w="1226" w:type="pct"/>
            <w:vAlign w:val="center"/>
          </w:tcPr>
          <w:p w14:paraId="3CC1C76A">
            <w:pPr>
              <w:widowControl/>
              <w:adjustRightInd w:val="0"/>
              <w:snapToGrid w:val="0"/>
              <w:jc w:val="center"/>
            </w:pPr>
            <w:r>
              <w:t>/</w:t>
            </w:r>
          </w:p>
        </w:tc>
        <w:tc>
          <w:tcPr>
            <w:tcW w:w="1015" w:type="pct"/>
            <w:vAlign w:val="center"/>
          </w:tcPr>
          <w:p w14:paraId="2FC1920B">
            <w:pPr>
              <w:widowControl/>
              <w:adjustRightInd w:val="0"/>
              <w:snapToGrid w:val="0"/>
              <w:jc w:val="center"/>
            </w:pPr>
            <w:r>
              <w:t>/</w:t>
            </w:r>
          </w:p>
        </w:tc>
      </w:tr>
      <w:tr w14:paraId="6D39293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572" w:type="pct"/>
            <w:vAlign w:val="center"/>
          </w:tcPr>
          <w:p w14:paraId="268A7477">
            <w:pPr>
              <w:adjustRightInd w:val="0"/>
              <w:snapToGrid w:val="0"/>
              <w:jc w:val="center"/>
              <w:rPr>
                <w:szCs w:val="21"/>
              </w:rPr>
            </w:pPr>
            <w:r>
              <w:rPr>
                <w:szCs w:val="21"/>
              </w:rPr>
              <w:t>环境</w:t>
            </w:r>
          </w:p>
          <w:p w14:paraId="630C340F">
            <w:pPr>
              <w:adjustRightInd w:val="0"/>
              <w:snapToGrid w:val="0"/>
              <w:jc w:val="center"/>
              <w:rPr>
                <w:szCs w:val="21"/>
              </w:rPr>
            </w:pPr>
            <w:r>
              <w:rPr>
                <w:szCs w:val="21"/>
              </w:rPr>
              <w:t>监测</w:t>
            </w:r>
          </w:p>
        </w:tc>
        <w:tc>
          <w:tcPr>
            <w:tcW w:w="1498" w:type="pct"/>
            <w:vAlign w:val="center"/>
          </w:tcPr>
          <w:p w14:paraId="79433C25">
            <w:pPr>
              <w:widowControl/>
              <w:adjustRightInd w:val="0"/>
              <w:snapToGrid w:val="0"/>
              <w:jc w:val="center"/>
              <w:rPr>
                <w:szCs w:val="21"/>
              </w:rPr>
            </w:pPr>
            <w:r>
              <w:t>/</w:t>
            </w:r>
          </w:p>
        </w:tc>
        <w:tc>
          <w:tcPr>
            <w:tcW w:w="688" w:type="pct"/>
            <w:vAlign w:val="center"/>
          </w:tcPr>
          <w:p w14:paraId="6D70281F">
            <w:pPr>
              <w:adjustRightInd w:val="0"/>
              <w:snapToGrid w:val="0"/>
              <w:jc w:val="center"/>
              <w:rPr>
                <w:szCs w:val="21"/>
              </w:rPr>
            </w:pPr>
            <w:r>
              <w:t>/</w:t>
            </w:r>
          </w:p>
        </w:tc>
        <w:tc>
          <w:tcPr>
            <w:tcW w:w="1226" w:type="pct"/>
            <w:vAlign w:val="center"/>
          </w:tcPr>
          <w:p w14:paraId="465B893E">
            <w:pPr>
              <w:widowControl/>
              <w:adjustRightInd w:val="0"/>
              <w:snapToGrid w:val="0"/>
              <w:jc w:val="center"/>
              <w:rPr>
                <w:szCs w:val="21"/>
              </w:rPr>
            </w:pPr>
            <w:r>
              <w:t>/</w:t>
            </w:r>
          </w:p>
        </w:tc>
        <w:tc>
          <w:tcPr>
            <w:tcW w:w="1015" w:type="pct"/>
            <w:vAlign w:val="center"/>
          </w:tcPr>
          <w:p w14:paraId="74F9BE7C">
            <w:pPr>
              <w:widowControl/>
              <w:adjustRightInd w:val="0"/>
              <w:snapToGrid w:val="0"/>
              <w:jc w:val="center"/>
              <w:rPr>
                <w:szCs w:val="21"/>
              </w:rPr>
            </w:pPr>
            <w:r>
              <w:t>/</w:t>
            </w:r>
          </w:p>
        </w:tc>
      </w:tr>
      <w:tr w14:paraId="3B045AD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572" w:type="pct"/>
            <w:vAlign w:val="center"/>
          </w:tcPr>
          <w:p w14:paraId="3957C26A">
            <w:pPr>
              <w:adjustRightInd w:val="0"/>
              <w:snapToGrid w:val="0"/>
              <w:jc w:val="center"/>
              <w:rPr>
                <w:szCs w:val="21"/>
              </w:rPr>
            </w:pPr>
            <w:r>
              <w:rPr>
                <w:szCs w:val="21"/>
              </w:rPr>
              <w:t>其他</w:t>
            </w:r>
          </w:p>
        </w:tc>
        <w:tc>
          <w:tcPr>
            <w:tcW w:w="1498" w:type="pct"/>
            <w:vAlign w:val="center"/>
          </w:tcPr>
          <w:p w14:paraId="12621832">
            <w:pPr>
              <w:adjustRightInd w:val="0"/>
              <w:snapToGrid w:val="0"/>
              <w:jc w:val="center"/>
              <w:rPr>
                <w:szCs w:val="21"/>
              </w:rPr>
            </w:pPr>
            <w:r>
              <w:rPr>
                <w:szCs w:val="21"/>
              </w:rPr>
              <w:t>/</w:t>
            </w:r>
          </w:p>
        </w:tc>
        <w:tc>
          <w:tcPr>
            <w:tcW w:w="688" w:type="pct"/>
            <w:vAlign w:val="center"/>
          </w:tcPr>
          <w:p w14:paraId="1EA44B81">
            <w:pPr>
              <w:adjustRightInd w:val="0"/>
              <w:snapToGrid w:val="0"/>
              <w:jc w:val="center"/>
              <w:rPr>
                <w:szCs w:val="21"/>
              </w:rPr>
            </w:pPr>
            <w:r>
              <w:rPr>
                <w:szCs w:val="21"/>
              </w:rPr>
              <w:t>/</w:t>
            </w:r>
          </w:p>
        </w:tc>
        <w:tc>
          <w:tcPr>
            <w:tcW w:w="1226" w:type="pct"/>
            <w:vAlign w:val="center"/>
          </w:tcPr>
          <w:p w14:paraId="639E82CB">
            <w:pPr>
              <w:adjustRightInd w:val="0"/>
              <w:snapToGrid w:val="0"/>
              <w:jc w:val="center"/>
              <w:rPr>
                <w:szCs w:val="21"/>
              </w:rPr>
            </w:pPr>
            <w:r>
              <w:rPr>
                <w:szCs w:val="21"/>
              </w:rPr>
              <w:t>/</w:t>
            </w:r>
          </w:p>
        </w:tc>
        <w:tc>
          <w:tcPr>
            <w:tcW w:w="1015" w:type="pct"/>
            <w:vAlign w:val="center"/>
          </w:tcPr>
          <w:p w14:paraId="5B14B046">
            <w:pPr>
              <w:adjustRightInd w:val="0"/>
              <w:snapToGrid w:val="0"/>
              <w:jc w:val="center"/>
              <w:rPr>
                <w:szCs w:val="21"/>
              </w:rPr>
            </w:pPr>
            <w:r>
              <w:rPr>
                <w:szCs w:val="21"/>
              </w:rPr>
              <w:t>/</w:t>
            </w:r>
          </w:p>
        </w:tc>
      </w:tr>
    </w:tbl>
    <w:p w14:paraId="7EE768E5">
      <w:pPr>
        <w:pStyle w:val="3"/>
        <w:ind w:firstLine="0"/>
        <w:rPr>
          <w:color w:val="auto"/>
        </w:rPr>
      </w:pPr>
      <w:bookmarkStart w:id="29" w:name="_Toc2707"/>
      <w:bookmarkStart w:id="30" w:name="_Toc4297"/>
      <w:r>
        <w:rPr>
          <w:color w:val="auto"/>
        </w:rPr>
        <w:t>七、结论</w:t>
      </w:r>
      <w:bookmarkEnd w:id="29"/>
      <w:bookmarkEnd w:id="30"/>
    </w:p>
    <w:tbl>
      <w:tblPr>
        <w:tblStyle w:val="29"/>
        <w:tblW w:w="96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29"/>
      </w:tblGrid>
      <w:tr w14:paraId="2B15C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6" w:hRule="atLeast"/>
          <w:jc w:val="center"/>
        </w:trPr>
        <w:tc>
          <w:tcPr>
            <w:tcW w:w="9289" w:type="dxa"/>
          </w:tcPr>
          <w:p w14:paraId="424E01C9">
            <w:pPr>
              <w:adjustRightInd w:val="0"/>
              <w:snapToGrid w:val="0"/>
              <w:spacing w:line="360" w:lineRule="auto"/>
              <w:ind w:firstLine="480" w:firstLineChars="200"/>
              <w:rPr>
                <w:sz w:val="24"/>
                <w:szCs w:val="32"/>
              </w:rPr>
            </w:pPr>
            <w:r>
              <w:rPr>
                <w:sz w:val="24"/>
              </w:rPr>
              <w:t>建设项目符合国家产业政</w:t>
            </w:r>
            <w:r>
              <w:rPr>
                <w:sz w:val="24"/>
                <w:szCs w:val="32"/>
              </w:rPr>
              <w:t>策，选址符合相关要求。项目运营对区域环境有一定的影响，严格执行“三同时”制度，确保环保设施的正常运转，各污染物达标排放和合理处置的情况下，项目对环境带来的不利影响可降到最低限度，并达到环保有关规定的要求。从环保角度考虑，项目建设环境影响可行。</w:t>
            </w:r>
          </w:p>
          <w:p w14:paraId="6CFCF26D">
            <w:pPr>
              <w:adjustRightInd w:val="0"/>
              <w:snapToGrid w:val="0"/>
              <w:spacing w:line="360" w:lineRule="auto"/>
              <w:ind w:firstLine="480" w:firstLineChars="200"/>
              <w:rPr>
                <w:sz w:val="24"/>
                <w:szCs w:val="32"/>
              </w:rPr>
            </w:pPr>
            <w:r>
              <w:rPr>
                <w:sz w:val="24"/>
                <w:szCs w:val="32"/>
              </w:rPr>
              <w:t>注：上述评价结果是在建设单位提供的有关资料基础上得出的，建设单位对所提供资料真实性负责。一旦项目规模、工艺、用途等发生变化，建设单位应根据有关规定重新委托有资质单位进行环境影响评价并重新申报。</w:t>
            </w:r>
          </w:p>
          <w:p w14:paraId="203E110F">
            <w:pPr>
              <w:adjustRightInd w:val="0"/>
              <w:snapToGrid w:val="0"/>
              <w:spacing w:line="360" w:lineRule="auto"/>
              <w:ind w:firstLine="480" w:firstLineChars="200"/>
              <w:rPr>
                <w:sz w:val="24"/>
                <w:szCs w:val="32"/>
              </w:rPr>
            </w:pPr>
          </w:p>
          <w:p w14:paraId="3858ACC8">
            <w:pPr>
              <w:adjustRightInd w:val="0"/>
              <w:snapToGrid w:val="0"/>
              <w:spacing w:line="360" w:lineRule="auto"/>
              <w:ind w:firstLine="480" w:firstLineChars="200"/>
              <w:rPr>
                <w:sz w:val="24"/>
                <w:szCs w:val="32"/>
              </w:rPr>
            </w:pPr>
          </w:p>
          <w:p w14:paraId="06FA4998">
            <w:pPr>
              <w:adjustRightInd w:val="0"/>
              <w:snapToGrid w:val="0"/>
              <w:spacing w:line="360" w:lineRule="auto"/>
              <w:ind w:firstLine="480" w:firstLineChars="200"/>
              <w:rPr>
                <w:sz w:val="24"/>
                <w:szCs w:val="32"/>
              </w:rPr>
            </w:pPr>
          </w:p>
          <w:p w14:paraId="1097624A">
            <w:pPr>
              <w:adjustRightInd w:val="0"/>
              <w:snapToGrid w:val="0"/>
              <w:spacing w:line="360" w:lineRule="auto"/>
              <w:ind w:firstLine="480" w:firstLineChars="200"/>
              <w:rPr>
                <w:sz w:val="24"/>
                <w:szCs w:val="32"/>
              </w:rPr>
            </w:pPr>
          </w:p>
          <w:p w14:paraId="65946FE8">
            <w:pPr>
              <w:adjustRightInd w:val="0"/>
              <w:snapToGrid w:val="0"/>
              <w:spacing w:line="360" w:lineRule="auto"/>
              <w:ind w:firstLine="480" w:firstLineChars="200"/>
              <w:rPr>
                <w:sz w:val="24"/>
                <w:szCs w:val="32"/>
              </w:rPr>
            </w:pPr>
          </w:p>
          <w:p w14:paraId="02B0434D">
            <w:pPr>
              <w:adjustRightInd w:val="0"/>
              <w:snapToGrid w:val="0"/>
              <w:spacing w:line="360" w:lineRule="auto"/>
              <w:ind w:firstLine="480" w:firstLineChars="200"/>
              <w:rPr>
                <w:sz w:val="24"/>
                <w:szCs w:val="32"/>
              </w:rPr>
            </w:pPr>
          </w:p>
          <w:p w14:paraId="4B6C0DD6">
            <w:pPr>
              <w:adjustRightInd w:val="0"/>
              <w:snapToGrid w:val="0"/>
              <w:spacing w:line="360" w:lineRule="auto"/>
              <w:ind w:firstLine="480" w:firstLineChars="200"/>
              <w:rPr>
                <w:sz w:val="24"/>
                <w:szCs w:val="32"/>
              </w:rPr>
            </w:pPr>
          </w:p>
          <w:p w14:paraId="20BBADE6">
            <w:pPr>
              <w:adjustRightInd w:val="0"/>
              <w:snapToGrid w:val="0"/>
              <w:spacing w:line="360" w:lineRule="auto"/>
              <w:ind w:firstLine="480" w:firstLineChars="200"/>
              <w:rPr>
                <w:sz w:val="24"/>
                <w:szCs w:val="32"/>
              </w:rPr>
            </w:pPr>
          </w:p>
          <w:p w14:paraId="639919F2">
            <w:pPr>
              <w:adjustRightInd w:val="0"/>
              <w:snapToGrid w:val="0"/>
              <w:spacing w:line="360" w:lineRule="auto"/>
              <w:ind w:firstLine="480" w:firstLineChars="200"/>
              <w:rPr>
                <w:sz w:val="24"/>
                <w:szCs w:val="32"/>
              </w:rPr>
            </w:pPr>
          </w:p>
          <w:p w14:paraId="3E0217C6">
            <w:pPr>
              <w:adjustRightInd w:val="0"/>
              <w:snapToGrid w:val="0"/>
              <w:spacing w:line="360" w:lineRule="auto"/>
              <w:ind w:firstLine="480" w:firstLineChars="200"/>
              <w:rPr>
                <w:sz w:val="24"/>
                <w:szCs w:val="32"/>
              </w:rPr>
            </w:pPr>
          </w:p>
          <w:p w14:paraId="699AEC1E">
            <w:pPr>
              <w:adjustRightInd w:val="0"/>
              <w:snapToGrid w:val="0"/>
              <w:spacing w:line="360" w:lineRule="auto"/>
              <w:rPr>
                <w:sz w:val="24"/>
                <w:szCs w:val="32"/>
              </w:rPr>
            </w:pPr>
          </w:p>
          <w:p w14:paraId="781F83F2">
            <w:pPr>
              <w:adjustRightInd w:val="0"/>
              <w:snapToGrid w:val="0"/>
              <w:spacing w:line="360" w:lineRule="auto"/>
              <w:ind w:firstLine="480" w:firstLineChars="200"/>
              <w:rPr>
                <w:sz w:val="24"/>
                <w:szCs w:val="32"/>
              </w:rPr>
            </w:pPr>
          </w:p>
          <w:p w14:paraId="45A51645">
            <w:pPr>
              <w:adjustRightInd w:val="0"/>
              <w:snapToGrid w:val="0"/>
              <w:spacing w:line="360" w:lineRule="auto"/>
              <w:ind w:firstLine="480" w:firstLineChars="200"/>
              <w:rPr>
                <w:sz w:val="24"/>
                <w:szCs w:val="32"/>
              </w:rPr>
            </w:pPr>
          </w:p>
          <w:p w14:paraId="5D1DE6CD">
            <w:pPr>
              <w:adjustRightInd w:val="0"/>
              <w:snapToGrid w:val="0"/>
              <w:spacing w:line="360" w:lineRule="auto"/>
              <w:ind w:firstLine="480" w:firstLineChars="200"/>
              <w:rPr>
                <w:sz w:val="24"/>
                <w:szCs w:val="32"/>
              </w:rPr>
            </w:pPr>
          </w:p>
          <w:p w14:paraId="43878D1E">
            <w:pPr>
              <w:adjustRightInd w:val="0"/>
              <w:snapToGrid w:val="0"/>
              <w:spacing w:line="360" w:lineRule="auto"/>
              <w:ind w:firstLine="480" w:firstLineChars="200"/>
              <w:rPr>
                <w:sz w:val="24"/>
                <w:szCs w:val="32"/>
              </w:rPr>
            </w:pPr>
          </w:p>
          <w:p w14:paraId="4BA8ED2F">
            <w:pPr>
              <w:adjustRightInd w:val="0"/>
              <w:snapToGrid w:val="0"/>
              <w:spacing w:line="360" w:lineRule="auto"/>
              <w:ind w:firstLine="480" w:firstLineChars="200"/>
              <w:rPr>
                <w:sz w:val="24"/>
                <w:szCs w:val="32"/>
              </w:rPr>
            </w:pPr>
          </w:p>
          <w:p w14:paraId="75079B97">
            <w:pPr>
              <w:adjustRightInd w:val="0"/>
              <w:snapToGrid w:val="0"/>
              <w:spacing w:line="360" w:lineRule="auto"/>
              <w:ind w:firstLine="480" w:firstLineChars="200"/>
              <w:rPr>
                <w:sz w:val="24"/>
                <w:szCs w:val="32"/>
              </w:rPr>
            </w:pPr>
          </w:p>
          <w:p w14:paraId="2D19E9F7">
            <w:pPr>
              <w:adjustRightInd w:val="0"/>
              <w:snapToGrid w:val="0"/>
              <w:spacing w:line="360" w:lineRule="auto"/>
              <w:ind w:firstLine="480" w:firstLineChars="200"/>
              <w:rPr>
                <w:sz w:val="24"/>
                <w:szCs w:val="32"/>
              </w:rPr>
            </w:pPr>
          </w:p>
          <w:p w14:paraId="4AD445BE">
            <w:pPr>
              <w:adjustRightInd w:val="0"/>
              <w:snapToGrid w:val="0"/>
              <w:spacing w:line="360" w:lineRule="auto"/>
              <w:rPr>
                <w:szCs w:val="21"/>
              </w:rPr>
            </w:pPr>
          </w:p>
        </w:tc>
      </w:tr>
    </w:tbl>
    <w:tbl>
      <w:tblPr>
        <w:tblStyle w:val="30"/>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9"/>
      </w:tblGrid>
      <w:tr w14:paraId="6509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2DD15518">
            <w:pPr>
              <w:widowControl/>
              <w:spacing w:line="360" w:lineRule="auto"/>
              <w:jc w:val="left"/>
              <w:rPr>
                <w:sz w:val="24"/>
              </w:rPr>
            </w:pPr>
            <w:r>
              <w:rPr>
                <w:b/>
                <w:bCs/>
                <w:kern w:val="0"/>
                <w:sz w:val="24"/>
                <w:lang w:bidi="ar"/>
              </w:rPr>
              <w:t xml:space="preserve">附图： </w:t>
            </w:r>
          </w:p>
          <w:p w14:paraId="7EF191E8">
            <w:pPr>
              <w:widowControl/>
              <w:spacing w:line="360" w:lineRule="auto"/>
              <w:jc w:val="left"/>
              <w:rPr>
                <w:sz w:val="24"/>
              </w:rPr>
            </w:pPr>
            <w:r>
              <w:rPr>
                <w:kern w:val="0"/>
                <w:sz w:val="24"/>
                <w:lang w:bidi="ar"/>
              </w:rPr>
              <w:t xml:space="preserve">附图1 项目地理位置图 </w:t>
            </w:r>
          </w:p>
          <w:p w14:paraId="1DDFC1D2">
            <w:pPr>
              <w:widowControl/>
              <w:spacing w:line="360" w:lineRule="auto"/>
              <w:jc w:val="left"/>
              <w:rPr>
                <w:sz w:val="24"/>
              </w:rPr>
            </w:pPr>
            <w:r>
              <w:rPr>
                <w:kern w:val="0"/>
                <w:sz w:val="24"/>
                <w:lang w:bidi="ar"/>
              </w:rPr>
              <w:t>附图2 项目位置示意图</w:t>
            </w:r>
          </w:p>
          <w:p w14:paraId="2BEC3754">
            <w:pPr>
              <w:widowControl/>
              <w:spacing w:line="360" w:lineRule="auto"/>
              <w:jc w:val="left"/>
              <w:rPr>
                <w:kern w:val="0"/>
                <w:sz w:val="24"/>
                <w:lang w:bidi="ar"/>
              </w:rPr>
            </w:pPr>
            <w:r>
              <w:rPr>
                <w:kern w:val="0"/>
                <w:sz w:val="24"/>
                <w:lang w:bidi="ar"/>
              </w:rPr>
              <w:t>附图</w:t>
            </w:r>
            <w:r>
              <w:rPr>
                <w:rFonts w:hint="eastAsia"/>
                <w:kern w:val="0"/>
                <w:sz w:val="24"/>
                <w:lang w:val="en-US" w:eastAsia="zh-CN" w:bidi="ar"/>
              </w:rPr>
              <w:t>3</w:t>
            </w:r>
            <w:r>
              <w:rPr>
                <w:kern w:val="0"/>
                <w:sz w:val="24"/>
                <w:lang w:bidi="ar"/>
              </w:rPr>
              <w:t xml:space="preserve"> </w:t>
            </w:r>
            <w:r>
              <w:rPr>
                <w:rFonts w:hint="eastAsia"/>
                <w:kern w:val="0"/>
                <w:sz w:val="24"/>
                <w:lang w:bidi="ar"/>
              </w:rPr>
              <w:t>施工期平面图</w:t>
            </w:r>
          </w:p>
          <w:p w14:paraId="2F76AEAE">
            <w:pPr>
              <w:widowControl/>
              <w:spacing w:line="360" w:lineRule="auto"/>
              <w:jc w:val="left"/>
              <w:rPr>
                <w:sz w:val="24"/>
              </w:rPr>
            </w:pPr>
            <w:r>
              <w:rPr>
                <w:kern w:val="0"/>
                <w:sz w:val="24"/>
                <w:lang w:bidi="ar"/>
              </w:rPr>
              <w:t>附图</w:t>
            </w:r>
            <w:r>
              <w:rPr>
                <w:rFonts w:hint="eastAsia"/>
                <w:kern w:val="0"/>
                <w:sz w:val="24"/>
                <w:lang w:val="en-US" w:eastAsia="zh-CN" w:bidi="ar"/>
              </w:rPr>
              <w:t>4</w:t>
            </w:r>
            <w:r>
              <w:rPr>
                <w:kern w:val="0"/>
                <w:sz w:val="24"/>
                <w:lang w:bidi="ar"/>
              </w:rPr>
              <w:t>大气环境保护目标图</w:t>
            </w:r>
          </w:p>
          <w:p w14:paraId="35A45B5B">
            <w:pPr>
              <w:widowControl/>
              <w:spacing w:line="360" w:lineRule="auto"/>
              <w:jc w:val="left"/>
              <w:rPr>
                <w:sz w:val="24"/>
              </w:rPr>
            </w:pPr>
            <w:r>
              <w:rPr>
                <w:kern w:val="0"/>
                <w:sz w:val="24"/>
                <w:lang w:bidi="ar"/>
              </w:rPr>
              <w:t>附图</w:t>
            </w:r>
            <w:r>
              <w:rPr>
                <w:rFonts w:hint="eastAsia"/>
                <w:kern w:val="0"/>
                <w:sz w:val="24"/>
                <w:lang w:val="en-US" w:eastAsia="zh-CN" w:bidi="ar"/>
              </w:rPr>
              <w:t>5</w:t>
            </w:r>
            <w:r>
              <w:rPr>
                <w:kern w:val="0"/>
                <w:sz w:val="24"/>
                <w:lang w:bidi="ar"/>
              </w:rPr>
              <w:t xml:space="preserve"> 声环境保护目标及现状监测点位图 </w:t>
            </w:r>
          </w:p>
          <w:p w14:paraId="1B2EDABB">
            <w:pPr>
              <w:widowControl/>
              <w:spacing w:line="360" w:lineRule="auto"/>
              <w:jc w:val="left"/>
              <w:rPr>
                <w:kern w:val="0"/>
                <w:sz w:val="24"/>
                <w:lang w:bidi="ar"/>
              </w:rPr>
            </w:pPr>
            <w:r>
              <w:rPr>
                <w:kern w:val="0"/>
                <w:sz w:val="24"/>
                <w:lang w:bidi="ar"/>
              </w:rPr>
              <w:t>附图</w:t>
            </w:r>
            <w:r>
              <w:rPr>
                <w:rFonts w:hint="eastAsia"/>
                <w:kern w:val="0"/>
                <w:sz w:val="24"/>
                <w:lang w:val="en-US" w:eastAsia="zh-CN" w:bidi="ar"/>
              </w:rPr>
              <w:t>6</w:t>
            </w:r>
            <w:r>
              <w:rPr>
                <w:kern w:val="0"/>
                <w:sz w:val="24"/>
                <w:lang w:bidi="ar"/>
              </w:rPr>
              <w:t xml:space="preserve"> 声环境功能区划图</w:t>
            </w:r>
          </w:p>
          <w:p w14:paraId="22519B08">
            <w:pPr>
              <w:widowControl/>
              <w:spacing w:line="360" w:lineRule="auto"/>
              <w:jc w:val="left"/>
              <w:rPr>
                <w:kern w:val="0"/>
                <w:sz w:val="24"/>
                <w:lang w:bidi="ar"/>
              </w:rPr>
            </w:pPr>
            <w:r>
              <w:rPr>
                <w:kern w:val="0"/>
                <w:sz w:val="24"/>
                <w:lang w:bidi="ar"/>
              </w:rPr>
              <w:t>附图</w:t>
            </w:r>
            <w:r>
              <w:rPr>
                <w:rFonts w:hint="eastAsia"/>
                <w:kern w:val="0"/>
                <w:sz w:val="24"/>
                <w:lang w:val="en-US" w:eastAsia="zh-CN" w:bidi="ar"/>
              </w:rPr>
              <w:t>7</w:t>
            </w:r>
            <w:r>
              <w:rPr>
                <w:kern w:val="0"/>
                <w:sz w:val="24"/>
                <w:lang w:bidi="ar"/>
              </w:rPr>
              <w:t xml:space="preserve"> </w:t>
            </w:r>
            <w:r>
              <w:rPr>
                <w:rFonts w:hint="eastAsia"/>
                <w:kern w:val="0"/>
                <w:sz w:val="24"/>
                <w:lang w:bidi="ar"/>
              </w:rPr>
              <w:t>江苏省生态环境管控单元</w:t>
            </w:r>
            <w:r>
              <w:rPr>
                <w:kern w:val="0"/>
                <w:sz w:val="24"/>
                <w:lang w:bidi="ar"/>
              </w:rPr>
              <w:t>图</w:t>
            </w:r>
          </w:p>
          <w:p w14:paraId="715F41BE">
            <w:pPr>
              <w:widowControl/>
              <w:spacing w:line="360" w:lineRule="auto"/>
              <w:jc w:val="left"/>
              <w:rPr>
                <w:kern w:val="0"/>
                <w:sz w:val="24"/>
                <w:lang w:bidi="ar"/>
              </w:rPr>
            </w:pPr>
            <w:r>
              <w:rPr>
                <w:kern w:val="0"/>
                <w:sz w:val="24"/>
                <w:lang w:bidi="ar"/>
              </w:rPr>
              <w:t>附图</w:t>
            </w:r>
            <w:r>
              <w:rPr>
                <w:rFonts w:hint="eastAsia"/>
                <w:kern w:val="0"/>
                <w:sz w:val="24"/>
                <w:lang w:val="en-US" w:eastAsia="zh-CN" w:bidi="ar"/>
              </w:rPr>
              <w:t>8</w:t>
            </w:r>
            <w:r>
              <w:rPr>
                <w:kern w:val="0"/>
                <w:sz w:val="24"/>
                <w:lang w:bidi="ar"/>
              </w:rPr>
              <w:t xml:space="preserve"> 连云港市连云区生态空间管控区域分布图</w:t>
            </w:r>
          </w:p>
          <w:p w14:paraId="03DB5BEB">
            <w:pPr>
              <w:widowControl/>
              <w:spacing w:line="360" w:lineRule="auto"/>
              <w:jc w:val="left"/>
              <w:rPr>
                <w:b/>
                <w:bCs/>
                <w:kern w:val="0"/>
                <w:sz w:val="24"/>
                <w:lang w:bidi="ar"/>
              </w:rPr>
            </w:pPr>
            <w:r>
              <w:rPr>
                <w:kern w:val="0"/>
                <w:sz w:val="24"/>
                <w:lang w:bidi="ar"/>
              </w:rPr>
              <w:t>附图</w:t>
            </w:r>
            <w:r>
              <w:rPr>
                <w:rFonts w:hint="eastAsia"/>
                <w:kern w:val="0"/>
                <w:sz w:val="24"/>
                <w:lang w:val="en-US" w:eastAsia="zh-CN" w:bidi="ar"/>
              </w:rPr>
              <w:t>9</w:t>
            </w:r>
            <w:r>
              <w:rPr>
                <w:kern w:val="0"/>
                <w:sz w:val="24"/>
                <w:lang w:bidi="ar"/>
              </w:rPr>
              <w:t xml:space="preserve"> 连云港市环境管控单元图</w:t>
            </w:r>
          </w:p>
          <w:p w14:paraId="36FC8FC3">
            <w:pPr>
              <w:widowControl/>
              <w:spacing w:line="360" w:lineRule="auto"/>
              <w:jc w:val="left"/>
              <w:rPr>
                <w:sz w:val="24"/>
              </w:rPr>
            </w:pPr>
            <w:r>
              <w:rPr>
                <w:b/>
                <w:bCs/>
                <w:kern w:val="0"/>
                <w:sz w:val="24"/>
                <w:lang w:bidi="ar"/>
              </w:rPr>
              <w:t>附件：</w:t>
            </w:r>
          </w:p>
          <w:p w14:paraId="14F50736">
            <w:pPr>
              <w:widowControl/>
              <w:spacing w:line="360" w:lineRule="auto"/>
              <w:jc w:val="left"/>
              <w:rPr>
                <w:kern w:val="0"/>
                <w:sz w:val="24"/>
                <w:lang w:bidi="ar"/>
              </w:rPr>
            </w:pPr>
            <w:r>
              <w:rPr>
                <w:kern w:val="0"/>
                <w:sz w:val="24"/>
                <w:lang w:bidi="ar"/>
              </w:rPr>
              <w:t>附件1  环评委托书</w:t>
            </w:r>
          </w:p>
          <w:p w14:paraId="5B9788DE">
            <w:pPr>
              <w:widowControl/>
              <w:spacing w:line="360" w:lineRule="auto"/>
              <w:jc w:val="left"/>
              <w:rPr>
                <w:kern w:val="0"/>
                <w:sz w:val="24"/>
                <w:lang w:bidi="ar"/>
              </w:rPr>
            </w:pPr>
            <w:r>
              <w:rPr>
                <w:kern w:val="0"/>
                <w:sz w:val="24"/>
                <w:lang w:bidi="ar"/>
              </w:rPr>
              <w:t>附件</w:t>
            </w:r>
            <w:r>
              <w:rPr>
                <w:rFonts w:hint="eastAsia"/>
                <w:kern w:val="0"/>
                <w:sz w:val="24"/>
                <w:lang w:val="en-US" w:eastAsia="zh-CN" w:bidi="ar"/>
              </w:rPr>
              <w:t>2</w:t>
            </w:r>
            <w:r>
              <w:rPr>
                <w:kern w:val="0"/>
                <w:sz w:val="24"/>
                <w:lang w:bidi="ar"/>
              </w:rPr>
              <w:t xml:space="preserve"> </w:t>
            </w:r>
            <w:r>
              <w:rPr>
                <w:rFonts w:hint="eastAsia"/>
                <w:kern w:val="0"/>
                <w:sz w:val="24"/>
                <w:lang w:val="en-US" w:eastAsia="zh-CN" w:bidi="ar"/>
              </w:rPr>
              <w:t xml:space="preserve"> </w:t>
            </w:r>
            <w:r>
              <w:rPr>
                <w:kern w:val="0"/>
                <w:sz w:val="24"/>
                <w:lang w:bidi="ar"/>
              </w:rPr>
              <w:t>环评合同</w:t>
            </w:r>
          </w:p>
          <w:p w14:paraId="2A31E6E5">
            <w:pPr>
              <w:widowControl/>
              <w:spacing w:line="360" w:lineRule="auto"/>
              <w:jc w:val="left"/>
              <w:rPr>
                <w:kern w:val="0"/>
                <w:sz w:val="24"/>
                <w:lang w:bidi="ar"/>
              </w:rPr>
            </w:pPr>
            <w:r>
              <w:rPr>
                <w:kern w:val="0"/>
                <w:sz w:val="24"/>
                <w:lang w:bidi="ar"/>
              </w:rPr>
              <w:t>附件</w:t>
            </w:r>
            <w:r>
              <w:rPr>
                <w:rFonts w:hint="eastAsia"/>
                <w:kern w:val="0"/>
                <w:sz w:val="24"/>
                <w:lang w:val="en-US" w:eastAsia="zh-CN" w:bidi="ar"/>
              </w:rPr>
              <w:t>3</w:t>
            </w:r>
            <w:r>
              <w:rPr>
                <w:kern w:val="0"/>
                <w:sz w:val="24"/>
                <w:lang w:bidi="ar"/>
              </w:rPr>
              <w:t xml:space="preserve">  营业执照</w:t>
            </w:r>
          </w:p>
          <w:p w14:paraId="5C067F68">
            <w:pPr>
              <w:widowControl/>
              <w:spacing w:line="360" w:lineRule="auto"/>
              <w:jc w:val="left"/>
              <w:rPr>
                <w:kern w:val="0"/>
                <w:sz w:val="24"/>
                <w:lang w:bidi="ar"/>
              </w:rPr>
            </w:pPr>
            <w:r>
              <w:rPr>
                <w:kern w:val="0"/>
                <w:sz w:val="24"/>
                <w:lang w:bidi="ar"/>
              </w:rPr>
              <w:t>附件</w:t>
            </w:r>
            <w:r>
              <w:rPr>
                <w:rFonts w:hint="eastAsia"/>
                <w:kern w:val="0"/>
                <w:sz w:val="24"/>
                <w:lang w:val="en-US" w:eastAsia="zh-CN" w:bidi="ar"/>
              </w:rPr>
              <w:t>4</w:t>
            </w:r>
            <w:r>
              <w:rPr>
                <w:kern w:val="0"/>
                <w:sz w:val="24"/>
                <w:lang w:bidi="ar"/>
              </w:rPr>
              <w:t xml:space="preserve">  </w:t>
            </w:r>
            <w:r>
              <w:rPr>
                <w:rFonts w:hint="eastAsia"/>
                <w:kern w:val="0"/>
                <w:sz w:val="24"/>
                <w:lang w:bidi="ar"/>
              </w:rPr>
              <w:t>华润电力青口盐场240MW渔光互补项目</w:t>
            </w:r>
            <w:r>
              <w:rPr>
                <w:kern w:val="0"/>
                <w:sz w:val="24"/>
                <w:lang w:bidi="ar"/>
              </w:rPr>
              <w:t>备案证</w:t>
            </w:r>
          </w:p>
          <w:p w14:paraId="406BDF73">
            <w:pPr>
              <w:widowControl/>
              <w:spacing w:line="360" w:lineRule="auto"/>
              <w:jc w:val="left"/>
              <w:rPr>
                <w:kern w:val="0"/>
                <w:sz w:val="24"/>
                <w:lang w:bidi="ar"/>
              </w:rPr>
            </w:pPr>
            <w:r>
              <w:rPr>
                <w:rFonts w:hint="eastAsia"/>
                <w:kern w:val="0"/>
                <w:sz w:val="24"/>
                <w:lang w:eastAsia="zh-CN" w:bidi="ar"/>
              </w:rPr>
              <w:t>附件</w:t>
            </w:r>
            <w:r>
              <w:rPr>
                <w:rFonts w:hint="eastAsia"/>
                <w:kern w:val="0"/>
                <w:sz w:val="24"/>
                <w:lang w:val="en-US" w:eastAsia="zh-CN" w:bidi="ar"/>
              </w:rPr>
              <w:t>5</w:t>
            </w:r>
            <w:r>
              <w:rPr>
                <w:kern w:val="0"/>
                <w:sz w:val="24"/>
                <w:lang w:bidi="ar"/>
              </w:rPr>
              <w:t xml:space="preserve">  租赁协议</w:t>
            </w:r>
          </w:p>
          <w:p w14:paraId="186A6E2A">
            <w:pPr>
              <w:widowControl/>
              <w:spacing w:line="360" w:lineRule="auto"/>
              <w:jc w:val="left"/>
              <w:rPr>
                <w:kern w:val="0"/>
                <w:sz w:val="24"/>
                <w:lang w:bidi="ar"/>
              </w:rPr>
            </w:pPr>
            <w:r>
              <w:rPr>
                <w:kern w:val="0"/>
                <w:sz w:val="24"/>
                <w:lang w:bidi="ar"/>
              </w:rPr>
              <w:t>附件</w:t>
            </w:r>
            <w:r>
              <w:rPr>
                <w:rFonts w:hint="eastAsia"/>
                <w:kern w:val="0"/>
                <w:sz w:val="24"/>
                <w:lang w:val="en-US" w:eastAsia="zh-CN" w:bidi="ar"/>
              </w:rPr>
              <w:t>6</w:t>
            </w:r>
            <w:r>
              <w:rPr>
                <w:kern w:val="0"/>
                <w:sz w:val="24"/>
                <w:lang w:bidi="ar"/>
              </w:rPr>
              <w:t xml:space="preserve">  选址意见</w:t>
            </w:r>
          </w:p>
          <w:p w14:paraId="17D94509">
            <w:pPr>
              <w:widowControl/>
              <w:spacing w:line="360" w:lineRule="auto"/>
              <w:jc w:val="left"/>
              <w:rPr>
                <w:kern w:val="0"/>
                <w:sz w:val="24"/>
                <w:lang w:bidi="ar"/>
              </w:rPr>
            </w:pPr>
            <w:r>
              <w:rPr>
                <w:kern w:val="0"/>
                <w:sz w:val="24"/>
                <w:lang w:bidi="ar"/>
              </w:rPr>
              <w:t>附件</w:t>
            </w:r>
            <w:r>
              <w:rPr>
                <w:rFonts w:hint="eastAsia"/>
                <w:kern w:val="0"/>
                <w:sz w:val="24"/>
                <w:lang w:val="en-US" w:eastAsia="zh-CN" w:bidi="ar"/>
              </w:rPr>
              <w:t>7</w:t>
            </w:r>
            <w:r>
              <w:rPr>
                <w:kern w:val="0"/>
                <w:sz w:val="24"/>
                <w:lang w:bidi="ar"/>
              </w:rPr>
              <w:t xml:space="preserve"> </w:t>
            </w:r>
            <w:r>
              <w:rPr>
                <w:rFonts w:hint="eastAsia"/>
                <w:kern w:val="0"/>
                <w:sz w:val="24"/>
                <w:lang w:val="en-US" w:eastAsia="zh-CN" w:bidi="ar"/>
              </w:rPr>
              <w:t xml:space="preserve"> </w:t>
            </w:r>
            <w:r>
              <w:rPr>
                <w:kern w:val="0"/>
                <w:sz w:val="24"/>
                <w:lang w:bidi="ar"/>
              </w:rPr>
              <w:t>现状监测报告</w:t>
            </w:r>
          </w:p>
          <w:p w14:paraId="198D56E7">
            <w:pPr>
              <w:widowControl/>
              <w:spacing w:line="360" w:lineRule="auto"/>
              <w:jc w:val="left"/>
              <w:rPr>
                <w:kern w:val="0"/>
                <w:sz w:val="24"/>
                <w:lang w:bidi="ar"/>
              </w:rPr>
            </w:pPr>
            <w:r>
              <w:rPr>
                <w:kern w:val="0"/>
                <w:sz w:val="24"/>
                <w:lang w:bidi="ar"/>
              </w:rPr>
              <w:t>附件</w:t>
            </w:r>
            <w:r>
              <w:rPr>
                <w:rFonts w:hint="eastAsia"/>
                <w:kern w:val="0"/>
                <w:sz w:val="24"/>
                <w:lang w:val="en-US" w:eastAsia="zh-CN" w:bidi="ar"/>
              </w:rPr>
              <w:t>8</w:t>
            </w:r>
            <w:r>
              <w:rPr>
                <w:kern w:val="0"/>
                <w:sz w:val="24"/>
                <w:lang w:bidi="ar"/>
              </w:rPr>
              <w:t xml:space="preserve"> </w:t>
            </w:r>
            <w:r>
              <w:rPr>
                <w:rFonts w:hint="eastAsia"/>
                <w:kern w:val="0"/>
                <w:sz w:val="24"/>
                <w:lang w:bidi="ar"/>
              </w:rPr>
              <w:t>储能服务框架协议</w:t>
            </w:r>
          </w:p>
          <w:p w14:paraId="3F6BFD51">
            <w:pPr>
              <w:widowControl/>
              <w:spacing w:line="360" w:lineRule="auto"/>
              <w:jc w:val="left"/>
              <w:rPr>
                <w:kern w:val="0"/>
                <w:sz w:val="24"/>
                <w:lang w:bidi="ar"/>
              </w:rPr>
            </w:pPr>
            <w:r>
              <w:rPr>
                <w:kern w:val="0"/>
                <w:sz w:val="24"/>
                <w:lang w:bidi="ar"/>
              </w:rPr>
              <w:t>附件</w:t>
            </w:r>
            <w:r>
              <w:rPr>
                <w:rFonts w:hint="eastAsia"/>
                <w:kern w:val="0"/>
                <w:sz w:val="24"/>
                <w:lang w:val="en-US" w:eastAsia="zh-CN" w:bidi="ar"/>
              </w:rPr>
              <w:t xml:space="preserve">9 </w:t>
            </w:r>
            <w:r>
              <w:rPr>
                <w:kern w:val="0"/>
                <w:sz w:val="24"/>
                <w:lang w:bidi="ar"/>
              </w:rPr>
              <w:t>工程师现场照片</w:t>
            </w:r>
          </w:p>
          <w:p w14:paraId="798007FD">
            <w:pPr>
              <w:widowControl/>
              <w:spacing w:line="360" w:lineRule="auto"/>
              <w:jc w:val="left"/>
              <w:rPr>
                <w:rFonts w:hint="eastAsia"/>
                <w:kern w:val="0"/>
                <w:sz w:val="24"/>
                <w:lang w:bidi="ar"/>
              </w:rPr>
            </w:pPr>
            <w:r>
              <w:rPr>
                <w:rFonts w:hint="eastAsia"/>
                <w:kern w:val="0"/>
                <w:sz w:val="24"/>
                <w:lang w:bidi="ar"/>
              </w:rPr>
              <w:t>附件1</w:t>
            </w:r>
            <w:r>
              <w:rPr>
                <w:rFonts w:hint="eastAsia"/>
                <w:kern w:val="0"/>
                <w:sz w:val="24"/>
                <w:lang w:val="en-US" w:eastAsia="zh-CN" w:bidi="ar"/>
              </w:rPr>
              <w:t>0</w:t>
            </w:r>
            <w:r>
              <w:rPr>
                <w:rFonts w:hint="eastAsia"/>
                <w:kern w:val="0"/>
                <w:sz w:val="24"/>
                <w:lang w:bidi="ar"/>
              </w:rPr>
              <w:t xml:space="preserve"> 本项目地块现状图片</w:t>
            </w:r>
          </w:p>
          <w:p w14:paraId="6F195EA1">
            <w:pPr>
              <w:widowControl/>
              <w:spacing w:line="360" w:lineRule="auto"/>
              <w:jc w:val="left"/>
              <w:rPr>
                <w:rFonts w:hint="eastAsia"/>
                <w:kern w:val="0"/>
                <w:sz w:val="24"/>
                <w:lang w:bidi="ar"/>
              </w:rPr>
            </w:pPr>
          </w:p>
          <w:p w14:paraId="5957FACB">
            <w:pPr>
              <w:widowControl/>
              <w:spacing w:line="360" w:lineRule="auto"/>
              <w:jc w:val="left"/>
              <w:rPr>
                <w:rFonts w:hint="eastAsia"/>
                <w:kern w:val="0"/>
                <w:sz w:val="24"/>
                <w:lang w:bidi="ar"/>
              </w:rPr>
            </w:pPr>
          </w:p>
          <w:p w14:paraId="0C48719E">
            <w:pPr>
              <w:widowControl/>
              <w:spacing w:line="360" w:lineRule="auto"/>
              <w:jc w:val="left"/>
              <w:rPr>
                <w:rFonts w:hint="eastAsia"/>
                <w:kern w:val="0"/>
                <w:sz w:val="24"/>
                <w:lang w:bidi="ar"/>
              </w:rPr>
            </w:pPr>
          </w:p>
          <w:p w14:paraId="13E5C5C8">
            <w:pPr>
              <w:widowControl/>
              <w:spacing w:line="360" w:lineRule="auto"/>
              <w:jc w:val="left"/>
              <w:rPr>
                <w:rFonts w:hint="eastAsia"/>
                <w:kern w:val="0"/>
                <w:sz w:val="24"/>
                <w:lang w:bidi="ar"/>
              </w:rPr>
            </w:pPr>
          </w:p>
          <w:p w14:paraId="568B556B">
            <w:pPr>
              <w:widowControl/>
              <w:spacing w:line="360" w:lineRule="auto"/>
              <w:jc w:val="left"/>
              <w:rPr>
                <w:rFonts w:hint="eastAsia"/>
                <w:kern w:val="0"/>
                <w:sz w:val="24"/>
                <w:lang w:bidi="ar"/>
              </w:rPr>
            </w:pPr>
          </w:p>
          <w:p w14:paraId="0D690804">
            <w:pPr>
              <w:widowControl/>
              <w:spacing w:line="360" w:lineRule="auto"/>
              <w:jc w:val="left"/>
              <w:rPr>
                <w:rFonts w:hint="eastAsia"/>
                <w:kern w:val="0"/>
                <w:sz w:val="24"/>
                <w:lang w:bidi="ar"/>
              </w:rPr>
            </w:pPr>
          </w:p>
          <w:p w14:paraId="1C471BE3">
            <w:pPr>
              <w:widowControl/>
              <w:spacing w:line="360" w:lineRule="auto"/>
              <w:jc w:val="left"/>
              <w:rPr>
                <w:rFonts w:hint="eastAsia"/>
                <w:kern w:val="0"/>
                <w:sz w:val="24"/>
                <w:lang w:bidi="ar"/>
              </w:rPr>
            </w:pPr>
          </w:p>
          <w:p w14:paraId="200E528B">
            <w:pPr>
              <w:widowControl/>
              <w:spacing w:line="360" w:lineRule="auto"/>
              <w:jc w:val="left"/>
              <w:rPr>
                <w:rFonts w:hint="eastAsia"/>
                <w:kern w:val="0"/>
                <w:sz w:val="24"/>
                <w:lang w:bidi="ar"/>
              </w:rPr>
            </w:pPr>
          </w:p>
          <w:p w14:paraId="57E653D7">
            <w:pPr>
              <w:widowControl/>
              <w:spacing w:line="360" w:lineRule="auto"/>
              <w:jc w:val="left"/>
              <w:rPr>
                <w:rFonts w:hint="eastAsia" w:eastAsia="宋体"/>
                <w:kern w:val="0"/>
                <w:sz w:val="24"/>
                <w:lang w:val="en-US" w:eastAsia="zh-CN" w:bidi="ar"/>
              </w:rPr>
            </w:pPr>
          </w:p>
          <w:p w14:paraId="042ADACB">
            <w:pPr>
              <w:pStyle w:val="112"/>
              <w:ind w:firstLine="480"/>
              <w:jc w:val="center"/>
              <w:rPr>
                <w:snapToGrid w:val="0"/>
              </w:rPr>
            </w:pPr>
          </w:p>
        </w:tc>
      </w:tr>
    </w:tbl>
    <w:p w14:paraId="2E322EA3">
      <w:pPr>
        <w:pStyle w:val="112"/>
        <w:ind w:firstLine="0" w:firstLineChars="0"/>
        <w:jc w:val="center"/>
        <w:rPr>
          <w:snapToGrid w:val="0"/>
        </w:rPr>
      </w:pPr>
    </w:p>
    <w:sectPr>
      <w:pgSz w:w="11907" w:h="16840"/>
      <w:pgMar w:top="1418" w:right="1247" w:bottom="1418" w:left="124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18030">
    <w:altName w:val="微软雅黑"/>
    <w:panose1 w:val="00000000000000000000"/>
    <w:charset w:val="00"/>
    <w:family w:val="modern"/>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Light">
    <w:panose1 w:val="02010600030101010101"/>
    <w:charset w:val="86"/>
    <w:family w:val="roman"/>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10" w:usb3="00000000" w:csb0="00040001" w:csb1="00000000"/>
    <w:embedRegular r:id="rId1" w:fontKey="{923EBD5C-A9B9-47AC-A0C8-E57E233EBEC5}"/>
  </w:font>
  <w:font w:name="MS Gothic">
    <w:panose1 w:val="020B0609070205080204"/>
    <w:charset w:val="80"/>
    <w:family w:val="modern"/>
    <w:pitch w:val="default"/>
    <w:sig w:usb0="E00002FF" w:usb1="6AC7FDFB" w:usb2="08000012" w:usb3="00000000" w:csb0="4002009F" w:csb1="DFD70000"/>
    <w:embedRegular r:id="rId2" w:fontKey="{115C6622-6627-4345-991F-AB91D8849BEA}"/>
  </w:font>
  <w:font w:name="瀹嬩綋">
    <w:altName w:val="宋体"/>
    <w:panose1 w:val="00000000000000000000"/>
    <w:charset w:val="86"/>
    <w:family w:val="auto"/>
    <w:pitch w:val="default"/>
    <w:sig w:usb0="00000000" w:usb1="00000000" w:usb2="00000000" w:usb3="00000000" w:csb0="00040000" w:csb1="00000000"/>
    <w:embedRegular r:id="rId3" w:fontKey="{49D4129E-84C7-4AF6-AF6E-666B09464B64}"/>
  </w:font>
  <w:font w:name="Transitional 551 Std Medium">
    <w:panose1 w:val="02010600010101010101"/>
    <w:charset w:val="86"/>
    <w:family w:val="auto"/>
    <w:pitch w:val="default"/>
    <w:sig w:usb0="00000001" w:usb1="080E0000" w:usb2="00000000" w:usb3="00000000" w:csb0="00040000" w:csb1="00000000"/>
    <w:embedRegular r:id="rId4" w:fontKey="{207A8421-0B1D-46E3-A235-176E0877C8DB}"/>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2F88C">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903F">
    <w:pPr>
      <w:pStyle w:val="17"/>
      <w:framePr w:wrap="around" w:vAnchor="text" w:hAnchor="margin" w:xAlign="outside" w:y="1"/>
      <w:rPr>
        <w:rStyle w:val="34"/>
      </w:rPr>
    </w:pPr>
    <w:r>
      <w:fldChar w:fldCharType="begin"/>
    </w:r>
    <w:r>
      <w:rPr>
        <w:rStyle w:val="34"/>
      </w:rPr>
      <w:instrText xml:space="preserve">PAGE  </w:instrText>
    </w:r>
    <w:r>
      <w:fldChar w:fldCharType="separate"/>
    </w:r>
    <w:r>
      <w:rPr>
        <w:rStyle w:val="34"/>
      </w:rPr>
      <w:t>21</w:t>
    </w:r>
    <w:r>
      <w:fldChar w:fldCharType="end"/>
    </w:r>
  </w:p>
  <w:p w14:paraId="515AE686">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8017">
    <w:pPr>
      <w:pStyle w:val="17"/>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19735" cy="112395"/>
              <wp:effectExtent l="0" t="0" r="0" b="0"/>
              <wp:wrapNone/>
              <wp:docPr id="126" name="文本框 3"/>
              <wp:cNvGraphicFramePr/>
              <a:graphic xmlns:a="http://schemas.openxmlformats.org/drawingml/2006/main">
                <a:graphicData uri="http://schemas.microsoft.com/office/word/2010/wordprocessingShape">
                  <wps:wsp>
                    <wps:cNvSpPr txBox="1"/>
                    <wps:spPr>
                      <a:xfrm>
                        <a:off x="0" y="0"/>
                        <a:ext cx="419735" cy="112395"/>
                      </a:xfrm>
                      <a:prstGeom prst="rect">
                        <a:avLst/>
                      </a:prstGeom>
                      <a:noFill/>
                      <a:ln>
                        <a:noFill/>
                      </a:ln>
                    </wps:spPr>
                    <wps:txbx>
                      <w:txbxContent>
                        <w:p w14:paraId="6821EEF8">
                          <w:pPr>
                            <w:pStyle w:val="1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square" lIns="0" tIns="0" rIns="0" bIns="0"/>
                  </wps:wsp>
                </a:graphicData>
              </a:graphic>
            </wp:anchor>
          </w:drawing>
        </mc:Choice>
        <mc:Fallback>
          <w:pict>
            <v:shape id="文本框 3" o:spid="_x0000_s1026" o:spt="202" type="#_x0000_t202" style="position:absolute;left:0pt;margin-top:0pt;height:8.85pt;width:33.05pt;mso-position-horizontal:center;mso-position-horizontal-relative:margin;z-index:251660288;mso-width-relative:page;mso-height-relative:page;" filled="f" stroked="f" coordsize="21600,21600" o:gfxdata="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ROP40wAAAAMBAAAPAAAAAAAAAAEAIAAAACIAAABkcnMvZG93bnJldi54bWxQSwEC&#10;FAAUAAAACACHTuJAJa1L3sABAAB1AwAADgAAAAAAAAABACAAAAAiAQAAZHJzL2Uyb0RvYy54bWxQ&#10;SwUGAAAAAAYABgBZAQAAVAUAAAAA&#10;">
              <v:fill on="f" focussize="0,0"/>
              <v:stroke on="f"/>
              <v:imagedata o:title=""/>
              <o:lock v:ext="edit" aspectratio="f"/>
              <v:textbox inset="0mm,0mm,0mm,0mm">
                <w:txbxContent>
                  <w:p w14:paraId="6821EEF8">
                    <w:pPr>
                      <w:pStyle w:val="1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929F2"/>
    <w:multiLevelType w:val="singleLevel"/>
    <w:tmpl w:val="8AA929F2"/>
    <w:lvl w:ilvl="0" w:tentative="0">
      <w:start w:val="2"/>
      <w:numFmt w:val="decimal"/>
      <w:suff w:val="nothing"/>
      <w:lvlText w:val="%1）"/>
      <w:lvlJc w:val="left"/>
    </w:lvl>
  </w:abstractNum>
  <w:abstractNum w:abstractNumId="1">
    <w:nsid w:val="98899243"/>
    <w:multiLevelType w:val="singleLevel"/>
    <w:tmpl w:val="98899243"/>
    <w:lvl w:ilvl="0" w:tentative="0">
      <w:start w:val="2"/>
      <w:numFmt w:val="decimal"/>
      <w:suff w:val="nothing"/>
      <w:lvlText w:val="%1、"/>
      <w:lvlJc w:val="left"/>
    </w:lvl>
  </w:abstractNum>
  <w:abstractNum w:abstractNumId="2">
    <w:nsid w:val="9F842C55"/>
    <w:multiLevelType w:val="singleLevel"/>
    <w:tmpl w:val="9F842C55"/>
    <w:lvl w:ilvl="0" w:tentative="0">
      <w:start w:val="1"/>
      <w:numFmt w:val="decimal"/>
      <w:suff w:val="nothing"/>
      <w:lvlText w:val="%1、"/>
      <w:lvlJc w:val="left"/>
    </w:lvl>
  </w:abstractNum>
  <w:abstractNum w:abstractNumId="3">
    <w:nsid w:val="A2D13861"/>
    <w:multiLevelType w:val="singleLevel"/>
    <w:tmpl w:val="A2D13861"/>
    <w:lvl w:ilvl="0" w:tentative="0">
      <w:start w:val="4"/>
      <w:numFmt w:val="decimal"/>
      <w:suff w:val="nothing"/>
      <w:lvlText w:val="（%1）"/>
      <w:lvlJc w:val="left"/>
    </w:lvl>
  </w:abstractNum>
  <w:abstractNum w:abstractNumId="4">
    <w:nsid w:val="B9CCE8B1"/>
    <w:multiLevelType w:val="singleLevel"/>
    <w:tmpl w:val="B9CCE8B1"/>
    <w:lvl w:ilvl="0" w:tentative="0">
      <w:start w:val="1"/>
      <w:numFmt w:val="decimal"/>
      <w:suff w:val="nothing"/>
      <w:lvlText w:val="（%1）"/>
      <w:lvlJc w:val="left"/>
    </w:lvl>
  </w:abstractNum>
  <w:abstractNum w:abstractNumId="5">
    <w:nsid w:val="D5610D30"/>
    <w:multiLevelType w:val="singleLevel"/>
    <w:tmpl w:val="D5610D30"/>
    <w:lvl w:ilvl="0" w:tentative="0">
      <w:start w:val="3"/>
      <w:numFmt w:val="decimal"/>
      <w:suff w:val="nothing"/>
      <w:lvlText w:val="（%1）"/>
      <w:lvlJc w:val="left"/>
    </w:lvl>
  </w:abstractNum>
  <w:abstractNum w:abstractNumId="6">
    <w:nsid w:val="EBB87088"/>
    <w:multiLevelType w:val="singleLevel"/>
    <w:tmpl w:val="EBB87088"/>
    <w:lvl w:ilvl="0" w:tentative="0">
      <w:start w:val="4"/>
      <w:numFmt w:val="decimal"/>
      <w:suff w:val="nothing"/>
      <w:lvlText w:val="（%1）"/>
      <w:lvlJc w:val="left"/>
    </w:lvl>
  </w:abstractNum>
  <w:abstractNum w:abstractNumId="7">
    <w:nsid w:val="00C9DA00"/>
    <w:multiLevelType w:val="singleLevel"/>
    <w:tmpl w:val="00C9DA00"/>
    <w:lvl w:ilvl="0" w:tentative="0">
      <w:start w:val="1"/>
      <w:numFmt w:val="decimal"/>
      <w:suff w:val="nothing"/>
      <w:lvlText w:val="%1）"/>
      <w:lvlJc w:val="left"/>
    </w:lvl>
  </w:abstractNum>
  <w:abstractNum w:abstractNumId="8">
    <w:nsid w:val="01ED1C3E"/>
    <w:multiLevelType w:val="multilevel"/>
    <w:tmpl w:val="01ED1C3E"/>
    <w:lvl w:ilvl="0" w:tentative="0">
      <w:start w:val="1"/>
      <w:numFmt w:val="decimal"/>
      <w:isLgl/>
      <w:suff w:val="nothing"/>
      <w:lvlText w:val="%1  "/>
      <w:lvlJc w:val="left"/>
      <w:pPr>
        <w:ind w:left="0" w:firstLine="0"/>
      </w:pPr>
      <w:rPr>
        <w:rFonts w:hint="eastAsia"/>
      </w:rPr>
    </w:lvl>
    <w:lvl w:ilvl="1" w:tentative="0">
      <w:start w:val="1"/>
      <w:numFmt w:val="decimal"/>
      <w:isLgl/>
      <w:suff w:val="nothing"/>
      <w:lvlText w:val="%1.%2  "/>
      <w:lvlJc w:val="left"/>
      <w:pPr>
        <w:ind w:left="0" w:firstLine="0"/>
      </w:pPr>
      <w:rPr>
        <w:rFonts w:hint="eastAsia"/>
      </w:rPr>
    </w:lvl>
    <w:lvl w:ilvl="2" w:tentative="0">
      <w:start w:val="1"/>
      <w:numFmt w:val="decimal"/>
      <w:isLgl/>
      <w:suff w:val="nothing"/>
      <w:lvlText w:val="%1.%2.%3  "/>
      <w:lvlJc w:val="left"/>
      <w:pPr>
        <w:ind w:left="0" w:firstLine="0"/>
      </w:pPr>
      <w:rPr>
        <w:rFonts w:hint="eastAsia"/>
      </w:rPr>
    </w:lvl>
    <w:lvl w:ilvl="3" w:tentative="0">
      <w:start w:val="1"/>
      <w:numFmt w:val="decimal"/>
      <w:pStyle w:val="5"/>
      <w:isLgl/>
      <w:suff w:val="nothing"/>
      <w:lvlText w:val="%1.%2.%3.%4  "/>
      <w:lvlJc w:val="left"/>
      <w:pPr>
        <w:ind w:left="0" w:firstLine="0"/>
      </w:pPr>
      <w:rPr>
        <w:rFonts w:hint="eastAsia"/>
      </w:rPr>
    </w:lvl>
    <w:lvl w:ilvl="4" w:tentative="0">
      <w:start w:val="1"/>
      <w:numFmt w:val="decimal"/>
      <w:isLgl/>
      <w:suff w:val="nothing"/>
      <w:lvlText w:val="%1.%2.%3.%4.%5  "/>
      <w:lvlJc w:val="left"/>
      <w:pPr>
        <w:ind w:left="0" w:firstLine="0"/>
      </w:pPr>
      <w:rPr>
        <w:rFonts w:hint="eastAsia"/>
      </w:rPr>
    </w:lvl>
    <w:lvl w:ilvl="5" w:tentative="0">
      <w:start w:val="1"/>
      <w:numFmt w:val="decimal"/>
      <w:isLgl/>
      <w:suff w:val="nothing"/>
      <w:lvlText w:val="%1.%2.%3.%4.%5.%6  "/>
      <w:lvlJc w:val="left"/>
      <w:pPr>
        <w:ind w:left="0" w:firstLine="0"/>
      </w:pPr>
      <w:rPr>
        <w:rFonts w:hint="eastAsia"/>
      </w:rPr>
    </w:lvl>
    <w:lvl w:ilvl="6" w:tentative="0">
      <w:start w:val="1"/>
      <w:numFmt w:val="decimal"/>
      <w:isLgl/>
      <w:suff w:val="nothing"/>
      <w:lvlText w:val="%1.%2.%3.%4.%5.%6.%7  "/>
      <w:lvlJc w:val="left"/>
      <w:pPr>
        <w:ind w:left="0" w:firstLine="0"/>
      </w:pPr>
      <w:rPr>
        <w:rFonts w:hint="eastAsia"/>
      </w:rPr>
    </w:lvl>
    <w:lvl w:ilvl="7" w:tentative="0">
      <w:start w:val="1"/>
      <w:numFmt w:val="decimal"/>
      <w:isLgl/>
      <w:suff w:val="nothing"/>
      <w:lvlText w:val="%1.%2.%3.%4.%5.%6.%7.%8  "/>
      <w:lvlJc w:val="left"/>
      <w:pPr>
        <w:ind w:left="0" w:firstLine="0"/>
      </w:pPr>
      <w:rPr>
        <w:rFonts w:hint="eastAsia"/>
      </w:rPr>
    </w:lvl>
    <w:lvl w:ilvl="8" w:tentative="0">
      <w:start w:val="1"/>
      <w:numFmt w:val="decimal"/>
      <w:isLgl/>
      <w:suff w:val="nothing"/>
      <w:lvlText w:val="%1.%2.%3.%4.%5.%6.%7.%8.%9  "/>
      <w:lvlJc w:val="left"/>
      <w:pPr>
        <w:ind w:left="0" w:firstLine="0"/>
      </w:pPr>
      <w:rPr>
        <w:rFonts w:hint="eastAsia"/>
      </w:rPr>
    </w:lvl>
  </w:abstractNum>
  <w:abstractNum w:abstractNumId="9">
    <w:nsid w:val="263A38F2"/>
    <w:multiLevelType w:val="multilevel"/>
    <w:tmpl w:val="263A38F2"/>
    <w:lvl w:ilvl="0" w:tentative="0">
      <w:start w:val="1"/>
      <w:numFmt w:val="chineseCountingThousand"/>
      <w:pStyle w:val="68"/>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CAF64A4"/>
    <w:multiLevelType w:val="singleLevel"/>
    <w:tmpl w:val="4CAF64A4"/>
    <w:lvl w:ilvl="0" w:tentative="0">
      <w:start w:val="5"/>
      <w:numFmt w:val="decimal"/>
      <w:suff w:val="nothing"/>
      <w:lvlText w:val="%1、"/>
      <w:lvlJc w:val="left"/>
    </w:lvl>
  </w:abstractNum>
  <w:abstractNum w:abstractNumId="11">
    <w:nsid w:val="5061C9AB"/>
    <w:multiLevelType w:val="singleLevel"/>
    <w:tmpl w:val="5061C9AB"/>
    <w:lvl w:ilvl="0" w:tentative="0">
      <w:start w:val="3"/>
      <w:numFmt w:val="chineseCounting"/>
      <w:suff w:val="nothing"/>
      <w:lvlText w:val="%1、"/>
      <w:lvlJc w:val="left"/>
      <w:rPr>
        <w:rFonts w:hint="eastAsia"/>
      </w:rPr>
    </w:lvl>
  </w:abstractNum>
  <w:num w:numId="1">
    <w:abstractNumId w:val="8"/>
  </w:num>
  <w:num w:numId="2">
    <w:abstractNumId w:val="9"/>
  </w:num>
  <w:num w:numId="3">
    <w:abstractNumId w:val="6"/>
  </w:num>
  <w:num w:numId="4">
    <w:abstractNumId w:val="10"/>
  </w:num>
  <w:num w:numId="5">
    <w:abstractNumId w:val="2"/>
  </w:num>
  <w:num w:numId="6">
    <w:abstractNumId w:val="4"/>
  </w:num>
  <w:num w:numId="7">
    <w:abstractNumId w:val="7"/>
  </w:num>
  <w:num w:numId="8">
    <w:abstractNumId w:val="1"/>
  </w:num>
  <w:num w:numId="9">
    <w:abstractNumId w:val="11"/>
  </w:num>
  <w:num w:numId="10">
    <w:abstractNumId w:val="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xZWFmY2ZiMjJjY2ZiNWJjOGRjNWM0YjAxMmZhYTgifQ=="/>
  </w:docVars>
  <w:rsids>
    <w:rsidRoot w:val="00172A27"/>
    <w:rsid w:val="00001CED"/>
    <w:rsid w:val="00001E67"/>
    <w:rsid w:val="00003CD8"/>
    <w:rsid w:val="00004968"/>
    <w:rsid w:val="000054A6"/>
    <w:rsid w:val="000106D1"/>
    <w:rsid w:val="00010D96"/>
    <w:rsid w:val="0001170F"/>
    <w:rsid w:val="00014965"/>
    <w:rsid w:val="0001523A"/>
    <w:rsid w:val="00015CD4"/>
    <w:rsid w:val="00015D35"/>
    <w:rsid w:val="00016ECB"/>
    <w:rsid w:val="0001743D"/>
    <w:rsid w:val="000204DE"/>
    <w:rsid w:val="000226D6"/>
    <w:rsid w:val="00022E09"/>
    <w:rsid w:val="00024593"/>
    <w:rsid w:val="000246FB"/>
    <w:rsid w:val="000269F6"/>
    <w:rsid w:val="00027EA3"/>
    <w:rsid w:val="00031939"/>
    <w:rsid w:val="00032D25"/>
    <w:rsid w:val="00033A07"/>
    <w:rsid w:val="00033A96"/>
    <w:rsid w:val="000355AA"/>
    <w:rsid w:val="000368B7"/>
    <w:rsid w:val="00037F35"/>
    <w:rsid w:val="00040E1D"/>
    <w:rsid w:val="00041F2A"/>
    <w:rsid w:val="000444BE"/>
    <w:rsid w:val="00044780"/>
    <w:rsid w:val="00044F37"/>
    <w:rsid w:val="00045737"/>
    <w:rsid w:val="00046156"/>
    <w:rsid w:val="00046D36"/>
    <w:rsid w:val="00046D38"/>
    <w:rsid w:val="0005219D"/>
    <w:rsid w:val="0005568F"/>
    <w:rsid w:val="0006057E"/>
    <w:rsid w:val="00060CFC"/>
    <w:rsid w:val="0006153D"/>
    <w:rsid w:val="00061B1F"/>
    <w:rsid w:val="00061CA9"/>
    <w:rsid w:val="00062461"/>
    <w:rsid w:val="00063CCF"/>
    <w:rsid w:val="00064F85"/>
    <w:rsid w:val="000664DB"/>
    <w:rsid w:val="0007127D"/>
    <w:rsid w:val="00071AE5"/>
    <w:rsid w:val="000724C7"/>
    <w:rsid w:val="00074783"/>
    <w:rsid w:val="000801E0"/>
    <w:rsid w:val="00082666"/>
    <w:rsid w:val="00082A29"/>
    <w:rsid w:val="0008331D"/>
    <w:rsid w:val="00083406"/>
    <w:rsid w:val="00083C18"/>
    <w:rsid w:val="000851BF"/>
    <w:rsid w:val="00092899"/>
    <w:rsid w:val="00097B53"/>
    <w:rsid w:val="000A178E"/>
    <w:rsid w:val="000A4C3C"/>
    <w:rsid w:val="000A5037"/>
    <w:rsid w:val="000A557E"/>
    <w:rsid w:val="000A7C39"/>
    <w:rsid w:val="000B03A5"/>
    <w:rsid w:val="000B058F"/>
    <w:rsid w:val="000B13D9"/>
    <w:rsid w:val="000B5575"/>
    <w:rsid w:val="000B5E03"/>
    <w:rsid w:val="000B693F"/>
    <w:rsid w:val="000C09AC"/>
    <w:rsid w:val="000C0A63"/>
    <w:rsid w:val="000C3AA6"/>
    <w:rsid w:val="000C437E"/>
    <w:rsid w:val="000C6F31"/>
    <w:rsid w:val="000D03AD"/>
    <w:rsid w:val="000D28FD"/>
    <w:rsid w:val="000D4905"/>
    <w:rsid w:val="000E00AE"/>
    <w:rsid w:val="000E0406"/>
    <w:rsid w:val="000E30CF"/>
    <w:rsid w:val="000E316B"/>
    <w:rsid w:val="000E432D"/>
    <w:rsid w:val="000E5F16"/>
    <w:rsid w:val="000F2C02"/>
    <w:rsid w:val="000F4452"/>
    <w:rsid w:val="000F6DA1"/>
    <w:rsid w:val="000F701B"/>
    <w:rsid w:val="001056A0"/>
    <w:rsid w:val="001065ED"/>
    <w:rsid w:val="00111EF8"/>
    <w:rsid w:val="00115279"/>
    <w:rsid w:val="0011679C"/>
    <w:rsid w:val="00117459"/>
    <w:rsid w:val="0011749A"/>
    <w:rsid w:val="00123391"/>
    <w:rsid w:val="001239AA"/>
    <w:rsid w:val="001252C0"/>
    <w:rsid w:val="00127A68"/>
    <w:rsid w:val="001319AF"/>
    <w:rsid w:val="00131D85"/>
    <w:rsid w:val="00132D4E"/>
    <w:rsid w:val="00132FDD"/>
    <w:rsid w:val="00134503"/>
    <w:rsid w:val="00136842"/>
    <w:rsid w:val="00137A6A"/>
    <w:rsid w:val="00137D0F"/>
    <w:rsid w:val="00140B13"/>
    <w:rsid w:val="00141105"/>
    <w:rsid w:val="00141B68"/>
    <w:rsid w:val="0014251C"/>
    <w:rsid w:val="001466DA"/>
    <w:rsid w:val="00146B10"/>
    <w:rsid w:val="00146E45"/>
    <w:rsid w:val="0014706E"/>
    <w:rsid w:val="00147657"/>
    <w:rsid w:val="001503DE"/>
    <w:rsid w:val="00154DE1"/>
    <w:rsid w:val="00155B40"/>
    <w:rsid w:val="00157435"/>
    <w:rsid w:val="0015751B"/>
    <w:rsid w:val="001577FA"/>
    <w:rsid w:val="00161724"/>
    <w:rsid w:val="00161EC6"/>
    <w:rsid w:val="00162999"/>
    <w:rsid w:val="00163833"/>
    <w:rsid w:val="00163EEA"/>
    <w:rsid w:val="001660EE"/>
    <w:rsid w:val="00166A43"/>
    <w:rsid w:val="00167A07"/>
    <w:rsid w:val="0017046A"/>
    <w:rsid w:val="001704A3"/>
    <w:rsid w:val="0017104A"/>
    <w:rsid w:val="00172476"/>
    <w:rsid w:val="00172A27"/>
    <w:rsid w:val="00173866"/>
    <w:rsid w:val="00174144"/>
    <w:rsid w:val="001744B2"/>
    <w:rsid w:val="0017504D"/>
    <w:rsid w:val="001764D6"/>
    <w:rsid w:val="00177422"/>
    <w:rsid w:val="00177C0C"/>
    <w:rsid w:val="0018260A"/>
    <w:rsid w:val="00184F10"/>
    <w:rsid w:val="00185546"/>
    <w:rsid w:val="001878D1"/>
    <w:rsid w:val="0018795E"/>
    <w:rsid w:val="0019092C"/>
    <w:rsid w:val="0019146B"/>
    <w:rsid w:val="001931A5"/>
    <w:rsid w:val="001935B5"/>
    <w:rsid w:val="00194398"/>
    <w:rsid w:val="00194603"/>
    <w:rsid w:val="001A2B50"/>
    <w:rsid w:val="001A321F"/>
    <w:rsid w:val="001A71D6"/>
    <w:rsid w:val="001A7324"/>
    <w:rsid w:val="001A76F8"/>
    <w:rsid w:val="001A78BB"/>
    <w:rsid w:val="001A7D2A"/>
    <w:rsid w:val="001B0EC7"/>
    <w:rsid w:val="001B1E11"/>
    <w:rsid w:val="001B574C"/>
    <w:rsid w:val="001B5EDC"/>
    <w:rsid w:val="001B601E"/>
    <w:rsid w:val="001B75D6"/>
    <w:rsid w:val="001B7715"/>
    <w:rsid w:val="001C0AF9"/>
    <w:rsid w:val="001C155A"/>
    <w:rsid w:val="001C1A7E"/>
    <w:rsid w:val="001C34D8"/>
    <w:rsid w:val="001C48C0"/>
    <w:rsid w:val="001C605B"/>
    <w:rsid w:val="001D14FB"/>
    <w:rsid w:val="001D3325"/>
    <w:rsid w:val="001D5964"/>
    <w:rsid w:val="001D6726"/>
    <w:rsid w:val="001E06BD"/>
    <w:rsid w:val="001E2342"/>
    <w:rsid w:val="001E26D0"/>
    <w:rsid w:val="001E2DD3"/>
    <w:rsid w:val="001E33EB"/>
    <w:rsid w:val="001E51C1"/>
    <w:rsid w:val="001E5900"/>
    <w:rsid w:val="001E5A6D"/>
    <w:rsid w:val="001E61CE"/>
    <w:rsid w:val="001F1546"/>
    <w:rsid w:val="001F3347"/>
    <w:rsid w:val="001F3F56"/>
    <w:rsid w:val="001F4440"/>
    <w:rsid w:val="001F69E4"/>
    <w:rsid w:val="001F7919"/>
    <w:rsid w:val="00200686"/>
    <w:rsid w:val="0020236C"/>
    <w:rsid w:val="00202AA7"/>
    <w:rsid w:val="00203CCB"/>
    <w:rsid w:val="00206A65"/>
    <w:rsid w:val="00206B19"/>
    <w:rsid w:val="002070B5"/>
    <w:rsid w:val="0020775F"/>
    <w:rsid w:val="0021098D"/>
    <w:rsid w:val="00212D31"/>
    <w:rsid w:val="002130C7"/>
    <w:rsid w:val="00214CA3"/>
    <w:rsid w:val="0021530A"/>
    <w:rsid w:val="002156CD"/>
    <w:rsid w:val="00215FA1"/>
    <w:rsid w:val="002169D0"/>
    <w:rsid w:val="00221896"/>
    <w:rsid w:val="002218A8"/>
    <w:rsid w:val="00222937"/>
    <w:rsid w:val="00222DF9"/>
    <w:rsid w:val="0022306D"/>
    <w:rsid w:val="002255FB"/>
    <w:rsid w:val="002259B5"/>
    <w:rsid w:val="00226574"/>
    <w:rsid w:val="002278EC"/>
    <w:rsid w:val="002307E2"/>
    <w:rsid w:val="00231C3D"/>
    <w:rsid w:val="00231C9F"/>
    <w:rsid w:val="002328A5"/>
    <w:rsid w:val="00232A02"/>
    <w:rsid w:val="0023378F"/>
    <w:rsid w:val="00234EEE"/>
    <w:rsid w:val="002357C7"/>
    <w:rsid w:val="00235905"/>
    <w:rsid w:val="002367C4"/>
    <w:rsid w:val="00240210"/>
    <w:rsid w:val="00243A50"/>
    <w:rsid w:val="00244F86"/>
    <w:rsid w:val="00247D8D"/>
    <w:rsid w:val="00254C8E"/>
    <w:rsid w:val="0025679E"/>
    <w:rsid w:val="002571FA"/>
    <w:rsid w:val="00257A0F"/>
    <w:rsid w:val="00257CF9"/>
    <w:rsid w:val="002609CB"/>
    <w:rsid w:val="00260C68"/>
    <w:rsid w:val="00263DA9"/>
    <w:rsid w:val="002648B0"/>
    <w:rsid w:val="002650E8"/>
    <w:rsid w:val="002676C9"/>
    <w:rsid w:val="00270455"/>
    <w:rsid w:val="00270EE8"/>
    <w:rsid w:val="00275271"/>
    <w:rsid w:val="0027535E"/>
    <w:rsid w:val="00275AA6"/>
    <w:rsid w:val="00276F03"/>
    <w:rsid w:val="002807D5"/>
    <w:rsid w:val="00282CCD"/>
    <w:rsid w:val="00284F76"/>
    <w:rsid w:val="00285775"/>
    <w:rsid w:val="00285EF2"/>
    <w:rsid w:val="00286878"/>
    <w:rsid w:val="0029129D"/>
    <w:rsid w:val="0029249B"/>
    <w:rsid w:val="002933F2"/>
    <w:rsid w:val="00296516"/>
    <w:rsid w:val="0029695A"/>
    <w:rsid w:val="002A168C"/>
    <w:rsid w:val="002A29CA"/>
    <w:rsid w:val="002A2C48"/>
    <w:rsid w:val="002A3EED"/>
    <w:rsid w:val="002A4002"/>
    <w:rsid w:val="002A40BC"/>
    <w:rsid w:val="002A4A39"/>
    <w:rsid w:val="002A5A17"/>
    <w:rsid w:val="002A6425"/>
    <w:rsid w:val="002B3557"/>
    <w:rsid w:val="002B49E2"/>
    <w:rsid w:val="002B7B00"/>
    <w:rsid w:val="002B7B6B"/>
    <w:rsid w:val="002B7C44"/>
    <w:rsid w:val="002C1388"/>
    <w:rsid w:val="002C2170"/>
    <w:rsid w:val="002C3C6A"/>
    <w:rsid w:val="002C4C71"/>
    <w:rsid w:val="002C6BFB"/>
    <w:rsid w:val="002C7E80"/>
    <w:rsid w:val="002D0D12"/>
    <w:rsid w:val="002D3BCB"/>
    <w:rsid w:val="002D42DB"/>
    <w:rsid w:val="002D67C6"/>
    <w:rsid w:val="002E12B9"/>
    <w:rsid w:val="002E1DD2"/>
    <w:rsid w:val="002E1F3A"/>
    <w:rsid w:val="002E2473"/>
    <w:rsid w:val="002E298A"/>
    <w:rsid w:val="002E4CF4"/>
    <w:rsid w:val="002F02A4"/>
    <w:rsid w:val="002F272B"/>
    <w:rsid w:val="002F3D02"/>
    <w:rsid w:val="002F489E"/>
    <w:rsid w:val="002F7AD2"/>
    <w:rsid w:val="002F7C6D"/>
    <w:rsid w:val="003027E4"/>
    <w:rsid w:val="0030332C"/>
    <w:rsid w:val="00304A22"/>
    <w:rsid w:val="00306567"/>
    <w:rsid w:val="00307F0C"/>
    <w:rsid w:val="00310521"/>
    <w:rsid w:val="00312296"/>
    <w:rsid w:val="0031340E"/>
    <w:rsid w:val="00316464"/>
    <w:rsid w:val="00316C19"/>
    <w:rsid w:val="0032073A"/>
    <w:rsid w:val="00321D8E"/>
    <w:rsid w:val="0032493A"/>
    <w:rsid w:val="00326A59"/>
    <w:rsid w:val="003308CF"/>
    <w:rsid w:val="0033232E"/>
    <w:rsid w:val="00332FB6"/>
    <w:rsid w:val="00333A2A"/>
    <w:rsid w:val="00334996"/>
    <w:rsid w:val="003365EA"/>
    <w:rsid w:val="00336969"/>
    <w:rsid w:val="00336C52"/>
    <w:rsid w:val="00341B3E"/>
    <w:rsid w:val="00341B42"/>
    <w:rsid w:val="00342D74"/>
    <w:rsid w:val="00343047"/>
    <w:rsid w:val="00344BDA"/>
    <w:rsid w:val="00345154"/>
    <w:rsid w:val="0034560E"/>
    <w:rsid w:val="00346CAE"/>
    <w:rsid w:val="00350523"/>
    <w:rsid w:val="003514DB"/>
    <w:rsid w:val="0035238A"/>
    <w:rsid w:val="00352975"/>
    <w:rsid w:val="003549E0"/>
    <w:rsid w:val="0035669D"/>
    <w:rsid w:val="00356868"/>
    <w:rsid w:val="00363B1B"/>
    <w:rsid w:val="0036485B"/>
    <w:rsid w:val="00365A56"/>
    <w:rsid w:val="00366B80"/>
    <w:rsid w:val="00366C8C"/>
    <w:rsid w:val="00367D6D"/>
    <w:rsid w:val="00373B0D"/>
    <w:rsid w:val="00375CD5"/>
    <w:rsid w:val="00376988"/>
    <w:rsid w:val="00377D15"/>
    <w:rsid w:val="00380B92"/>
    <w:rsid w:val="003814EA"/>
    <w:rsid w:val="00381A72"/>
    <w:rsid w:val="00384B7F"/>
    <w:rsid w:val="00384FD3"/>
    <w:rsid w:val="00386B04"/>
    <w:rsid w:val="00386FF7"/>
    <w:rsid w:val="00387295"/>
    <w:rsid w:val="00390AF4"/>
    <w:rsid w:val="00391AFF"/>
    <w:rsid w:val="00393C55"/>
    <w:rsid w:val="0039606D"/>
    <w:rsid w:val="003A13C9"/>
    <w:rsid w:val="003A1556"/>
    <w:rsid w:val="003A182C"/>
    <w:rsid w:val="003A1948"/>
    <w:rsid w:val="003A39CC"/>
    <w:rsid w:val="003A40E5"/>
    <w:rsid w:val="003A4F78"/>
    <w:rsid w:val="003A5455"/>
    <w:rsid w:val="003A5D67"/>
    <w:rsid w:val="003A71CE"/>
    <w:rsid w:val="003A733A"/>
    <w:rsid w:val="003B152A"/>
    <w:rsid w:val="003B545B"/>
    <w:rsid w:val="003B67F9"/>
    <w:rsid w:val="003B7EB7"/>
    <w:rsid w:val="003C0FB3"/>
    <w:rsid w:val="003C1554"/>
    <w:rsid w:val="003C1891"/>
    <w:rsid w:val="003C5536"/>
    <w:rsid w:val="003C6D23"/>
    <w:rsid w:val="003C7C34"/>
    <w:rsid w:val="003D1473"/>
    <w:rsid w:val="003D1A10"/>
    <w:rsid w:val="003D3EE9"/>
    <w:rsid w:val="003E0299"/>
    <w:rsid w:val="003E0AE2"/>
    <w:rsid w:val="003E36D0"/>
    <w:rsid w:val="003E7681"/>
    <w:rsid w:val="003F0809"/>
    <w:rsid w:val="003F0CED"/>
    <w:rsid w:val="003F11A9"/>
    <w:rsid w:val="003F12A4"/>
    <w:rsid w:val="003F1BB2"/>
    <w:rsid w:val="003F2744"/>
    <w:rsid w:val="003F3FC0"/>
    <w:rsid w:val="003F44A3"/>
    <w:rsid w:val="003F4954"/>
    <w:rsid w:val="003F4A3B"/>
    <w:rsid w:val="003F5DA5"/>
    <w:rsid w:val="003F611C"/>
    <w:rsid w:val="003F7293"/>
    <w:rsid w:val="003F7558"/>
    <w:rsid w:val="003F755C"/>
    <w:rsid w:val="003F7882"/>
    <w:rsid w:val="00402791"/>
    <w:rsid w:val="00402D78"/>
    <w:rsid w:val="00402DB2"/>
    <w:rsid w:val="00404ED7"/>
    <w:rsid w:val="00405884"/>
    <w:rsid w:val="00406F01"/>
    <w:rsid w:val="00411B36"/>
    <w:rsid w:val="004121D7"/>
    <w:rsid w:val="00413FF1"/>
    <w:rsid w:val="00414191"/>
    <w:rsid w:val="00416D50"/>
    <w:rsid w:val="004173D9"/>
    <w:rsid w:val="0041770C"/>
    <w:rsid w:val="00417710"/>
    <w:rsid w:val="00417772"/>
    <w:rsid w:val="004205B0"/>
    <w:rsid w:val="00420E6A"/>
    <w:rsid w:val="00421F56"/>
    <w:rsid w:val="00422BAA"/>
    <w:rsid w:val="00422E89"/>
    <w:rsid w:val="004247ED"/>
    <w:rsid w:val="00430ABA"/>
    <w:rsid w:val="00432199"/>
    <w:rsid w:val="00432BBC"/>
    <w:rsid w:val="00433CA9"/>
    <w:rsid w:val="0043521D"/>
    <w:rsid w:val="0043564E"/>
    <w:rsid w:val="00442024"/>
    <w:rsid w:val="0044254C"/>
    <w:rsid w:val="00443151"/>
    <w:rsid w:val="00443F6A"/>
    <w:rsid w:val="00444304"/>
    <w:rsid w:val="0044564C"/>
    <w:rsid w:val="004463E2"/>
    <w:rsid w:val="00446794"/>
    <w:rsid w:val="00450A17"/>
    <w:rsid w:val="004515B6"/>
    <w:rsid w:val="004540A2"/>
    <w:rsid w:val="00455D72"/>
    <w:rsid w:val="0046174D"/>
    <w:rsid w:val="00462B83"/>
    <w:rsid w:val="00463AB3"/>
    <w:rsid w:val="00466321"/>
    <w:rsid w:val="0046637C"/>
    <w:rsid w:val="0046664E"/>
    <w:rsid w:val="004672AF"/>
    <w:rsid w:val="004727B0"/>
    <w:rsid w:val="0047386F"/>
    <w:rsid w:val="004754F1"/>
    <w:rsid w:val="004759D8"/>
    <w:rsid w:val="00477D7F"/>
    <w:rsid w:val="00480247"/>
    <w:rsid w:val="004804E1"/>
    <w:rsid w:val="0048081D"/>
    <w:rsid w:val="00480E75"/>
    <w:rsid w:val="0048117E"/>
    <w:rsid w:val="004855F6"/>
    <w:rsid w:val="00485CF1"/>
    <w:rsid w:val="00486712"/>
    <w:rsid w:val="00486F0C"/>
    <w:rsid w:val="004913C0"/>
    <w:rsid w:val="0049254C"/>
    <w:rsid w:val="00494670"/>
    <w:rsid w:val="00494ACA"/>
    <w:rsid w:val="00494E51"/>
    <w:rsid w:val="004A0EB4"/>
    <w:rsid w:val="004A2C55"/>
    <w:rsid w:val="004A3823"/>
    <w:rsid w:val="004A59BB"/>
    <w:rsid w:val="004A7D6E"/>
    <w:rsid w:val="004B0E6F"/>
    <w:rsid w:val="004B19E8"/>
    <w:rsid w:val="004B43A3"/>
    <w:rsid w:val="004B49ED"/>
    <w:rsid w:val="004B4C49"/>
    <w:rsid w:val="004B58A5"/>
    <w:rsid w:val="004B63D9"/>
    <w:rsid w:val="004B672A"/>
    <w:rsid w:val="004B67AB"/>
    <w:rsid w:val="004C0882"/>
    <w:rsid w:val="004C2CC9"/>
    <w:rsid w:val="004C343D"/>
    <w:rsid w:val="004C3AEB"/>
    <w:rsid w:val="004C55BE"/>
    <w:rsid w:val="004C6D45"/>
    <w:rsid w:val="004C7E64"/>
    <w:rsid w:val="004D12F6"/>
    <w:rsid w:val="004D2BC0"/>
    <w:rsid w:val="004D4C84"/>
    <w:rsid w:val="004D70EE"/>
    <w:rsid w:val="004D7CB6"/>
    <w:rsid w:val="004E02B4"/>
    <w:rsid w:val="004E0988"/>
    <w:rsid w:val="004E2C75"/>
    <w:rsid w:val="004E2E2D"/>
    <w:rsid w:val="004E5B30"/>
    <w:rsid w:val="004E5C0C"/>
    <w:rsid w:val="004E7564"/>
    <w:rsid w:val="004F0779"/>
    <w:rsid w:val="004F0B6B"/>
    <w:rsid w:val="004F1230"/>
    <w:rsid w:val="004F173F"/>
    <w:rsid w:val="004F177C"/>
    <w:rsid w:val="004F1D6C"/>
    <w:rsid w:val="004F2D1E"/>
    <w:rsid w:val="004F2DCE"/>
    <w:rsid w:val="004F3474"/>
    <w:rsid w:val="004F43D4"/>
    <w:rsid w:val="004F7FC8"/>
    <w:rsid w:val="00500EC3"/>
    <w:rsid w:val="00501A79"/>
    <w:rsid w:val="005021B7"/>
    <w:rsid w:val="005039CB"/>
    <w:rsid w:val="0050558F"/>
    <w:rsid w:val="005057E0"/>
    <w:rsid w:val="00505B6A"/>
    <w:rsid w:val="00505C76"/>
    <w:rsid w:val="00506286"/>
    <w:rsid w:val="0050774E"/>
    <w:rsid w:val="005101D2"/>
    <w:rsid w:val="00510813"/>
    <w:rsid w:val="00511DE0"/>
    <w:rsid w:val="0051362B"/>
    <w:rsid w:val="005136D4"/>
    <w:rsid w:val="0051553F"/>
    <w:rsid w:val="00515BAF"/>
    <w:rsid w:val="00516B7F"/>
    <w:rsid w:val="00517F02"/>
    <w:rsid w:val="00520F39"/>
    <w:rsid w:val="00521298"/>
    <w:rsid w:val="00521C41"/>
    <w:rsid w:val="00523F77"/>
    <w:rsid w:val="00524547"/>
    <w:rsid w:val="005258A2"/>
    <w:rsid w:val="0053026B"/>
    <w:rsid w:val="00530F7C"/>
    <w:rsid w:val="00534567"/>
    <w:rsid w:val="00534A61"/>
    <w:rsid w:val="00534DDC"/>
    <w:rsid w:val="00534F43"/>
    <w:rsid w:val="00535A84"/>
    <w:rsid w:val="00535D56"/>
    <w:rsid w:val="00536889"/>
    <w:rsid w:val="0053763A"/>
    <w:rsid w:val="00541E83"/>
    <w:rsid w:val="00542E07"/>
    <w:rsid w:val="00546AD0"/>
    <w:rsid w:val="00550D19"/>
    <w:rsid w:val="00551F0B"/>
    <w:rsid w:val="00552949"/>
    <w:rsid w:val="00552AF0"/>
    <w:rsid w:val="00554A7B"/>
    <w:rsid w:val="00555421"/>
    <w:rsid w:val="0055572C"/>
    <w:rsid w:val="00557832"/>
    <w:rsid w:val="0056064F"/>
    <w:rsid w:val="00561B84"/>
    <w:rsid w:val="00562DF0"/>
    <w:rsid w:val="00563406"/>
    <w:rsid w:val="00563E5E"/>
    <w:rsid w:val="005641FD"/>
    <w:rsid w:val="0056551C"/>
    <w:rsid w:val="00566009"/>
    <w:rsid w:val="005673EB"/>
    <w:rsid w:val="0057141B"/>
    <w:rsid w:val="00571D98"/>
    <w:rsid w:val="005720AE"/>
    <w:rsid w:val="005739C9"/>
    <w:rsid w:val="00574827"/>
    <w:rsid w:val="005750BA"/>
    <w:rsid w:val="0057677E"/>
    <w:rsid w:val="0058030D"/>
    <w:rsid w:val="00580EDE"/>
    <w:rsid w:val="00582045"/>
    <w:rsid w:val="00584472"/>
    <w:rsid w:val="00584516"/>
    <w:rsid w:val="00584884"/>
    <w:rsid w:val="00584B75"/>
    <w:rsid w:val="00586927"/>
    <w:rsid w:val="00590AE3"/>
    <w:rsid w:val="00591085"/>
    <w:rsid w:val="005918F1"/>
    <w:rsid w:val="00591B97"/>
    <w:rsid w:val="00592A1A"/>
    <w:rsid w:val="00593697"/>
    <w:rsid w:val="005937F9"/>
    <w:rsid w:val="005949A7"/>
    <w:rsid w:val="0059625D"/>
    <w:rsid w:val="005A06B7"/>
    <w:rsid w:val="005A0889"/>
    <w:rsid w:val="005A1759"/>
    <w:rsid w:val="005A211C"/>
    <w:rsid w:val="005A3B37"/>
    <w:rsid w:val="005A5D2A"/>
    <w:rsid w:val="005B031F"/>
    <w:rsid w:val="005B0568"/>
    <w:rsid w:val="005B1212"/>
    <w:rsid w:val="005B771A"/>
    <w:rsid w:val="005C0937"/>
    <w:rsid w:val="005C182F"/>
    <w:rsid w:val="005C191D"/>
    <w:rsid w:val="005C7604"/>
    <w:rsid w:val="005D0369"/>
    <w:rsid w:val="005D0FE6"/>
    <w:rsid w:val="005D19D0"/>
    <w:rsid w:val="005D3BE2"/>
    <w:rsid w:val="005D4320"/>
    <w:rsid w:val="005D53FE"/>
    <w:rsid w:val="005D68EE"/>
    <w:rsid w:val="005D7A0F"/>
    <w:rsid w:val="005E0438"/>
    <w:rsid w:val="005E0D7D"/>
    <w:rsid w:val="005E14AC"/>
    <w:rsid w:val="005E14C1"/>
    <w:rsid w:val="005E1791"/>
    <w:rsid w:val="005E2CE6"/>
    <w:rsid w:val="005E6324"/>
    <w:rsid w:val="005E6537"/>
    <w:rsid w:val="005E7E52"/>
    <w:rsid w:val="005F228B"/>
    <w:rsid w:val="005F29CD"/>
    <w:rsid w:val="005F3EC4"/>
    <w:rsid w:val="005F4DFB"/>
    <w:rsid w:val="005F5357"/>
    <w:rsid w:val="005F6764"/>
    <w:rsid w:val="005F6CC0"/>
    <w:rsid w:val="00603E5B"/>
    <w:rsid w:val="00604BC8"/>
    <w:rsid w:val="00610FF6"/>
    <w:rsid w:val="00615B4C"/>
    <w:rsid w:val="00615B5D"/>
    <w:rsid w:val="00616216"/>
    <w:rsid w:val="00617C35"/>
    <w:rsid w:val="00620066"/>
    <w:rsid w:val="00620FB0"/>
    <w:rsid w:val="0062146F"/>
    <w:rsid w:val="00626326"/>
    <w:rsid w:val="00627845"/>
    <w:rsid w:val="00627F37"/>
    <w:rsid w:val="00632005"/>
    <w:rsid w:val="0063265A"/>
    <w:rsid w:val="006343AF"/>
    <w:rsid w:val="0063493F"/>
    <w:rsid w:val="0063634A"/>
    <w:rsid w:val="00641306"/>
    <w:rsid w:val="0064250D"/>
    <w:rsid w:val="00644464"/>
    <w:rsid w:val="006460D4"/>
    <w:rsid w:val="00646BC3"/>
    <w:rsid w:val="00647CC6"/>
    <w:rsid w:val="006535EB"/>
    <w:rsid w:val="00653AC9"/>
    <w:rsid w:val="00653EFC"/>
    <w:rsid w:val="00657F38"/>
    <w:rsid w:val="006611AC"/>
    <w:rsid w:val="006623A2"/>
    <w:rsid w:val="00663016"/>
    <w:rsid w:val="0066663F"/>
    <w:rsid w:val="00670D0F"/>
    <w:rsid w:val="00674605"/>
    <w:rsid w:val="006748B8"/>
    <w:rsid w:val="00675927"/>
    <w:rsid w:val="006802F6"/>
    <w:rsid w:val="00681CF5"/>
    <w:rsid w:val="00681E64"/>
    <w:rsid w:val="0068244B"/>
    <w:rsid w:val="00683F8C"/>
    <w:rsid w:val="006841C8"/>
    <w:rsid w:val="006844F4"/>
    <w:rsid w:val="0068535B"/>
    <w:rsid w:val="006857AF"/>
    <w:rsid w:val="00685BDB"/>
    <w:rsid w:val="00685C8E"/>
    <w:rsid w:val="0068736E"/>
    <w:rsid w:val="0069040C"/>
    <w:rsid w:val="0069290A"/>
    <w:rsid w:val="00693C1B"/>
    <w:rsid w:val="00694F00"/>
    <w:rsid w:val="00695AB6"/>
    <w:rsid w:val="00697032"/>
    <w:rsid w:val="006975AC"/>
    <w:rsid w:val="006A06E4"/>
    <w:rsid w:val="006A15FB"/>
    <w:rsid w:val="006A2D56"/>
    <w:rsid w:val="006A4920"/>
    <w:rsid w:val="006A7105"/>
    <w:rsid w:val="006A72BF"/>
    <w:rsid w:val="006A755F"/>
    <w:rsid w:val="006B066C"/>
    <w:rsid w:val="006B074B"/>
    <w:rsid w:val="006B0851"/>
    <w:rsid w:val="006B087B"/>
    <w:rsid w:val="006B0D27"/>
    <w:rsid w:val="006B332A"/>
    <w:rsid w:val="006B33BD"/>
    <w:rsid w:val="006B36AF"/>
    <w:rsid w:val="006B3CEE"/>
    <w:rsid w:val="006B4E95"/>
    <w:rsid w:val="006B70BD"/>
    <w:rsid w:val="006C1D0C"/>
    <w:rsid w:val="006C3F07"/>
    <w:rsid w:val="006C3F75"/>
    <w:rsid w:val="006C4D85"/>
    <w:rsid w:val="006C61A1"/>
    <w:rsid w:val="006C6752"/>
    <w:rsid w:val="006D170E"/>
    <w:rsid w:val="006D1DF6"/>
    <w:rsid w:val="006D4642"/>
    <w:rsid w:val="006D5601"/>
    <w:rsid w:val="006D5F7F"/>
    <w:rsid w:val="006E06AF"/>
    <w:rsid w:val="006E2008"/>
    <w:rsid w:val="006E68A3"/>
    <w:rsid w:val="006E7D71"/>
    <w:rsid w:val="006F0761"/>
    <w:rsid w:val="006F1789"/>
    <w:rsid w:val="006F2464"/>
    <w:rsid w:val="006F29E0"/>
    <w:rsid w:val="006F2E07"/>
    <w:rsid w:val="006F7663"/>
    <w:rsid w:val="006F77E6"/>
    <w:rsid w:val="00704BE4"/>
    <w:rsid w:val="00706C5D"/>
    <w:rsid w:val="00707A40"/>
    <w:rsid w:val="007102B3"/>
    <w:rsid w:val="007118E6"/>
    <w:rsid w:val="00712C43"/>
    <w:rsid w:val="007133E6"/>
    <w:rsid w:val="007144B2"/>
    <w:rsid w:val="00714A0B"/>
    <w:rsid w:val="007156BD"/>
    <w:rsid w:val="007175D8"/>
    <w:rsid w:val="007225C9"/>
    <w:rsid w:val="007238BD"/>
    <w:rsid w:val="00725DBD"/>
    <w:rsid w:val="00731F49"/>
    <w:rsid w:val="0073218F"/>
    <w:rsid w:val="007326A5"/>
    <w:rsid w:val="00732A91"/>
    <w:rsid w:val="00735CD7"/>
    <w:rsid w:val="00736101"/>
    <w:rsid w:val="00737D4B"/>
    <w:rsid w:val="00737F2E"/>
    <w:rsid w:val="007431A3"/>
    <w:rsid w:val="00743D63"/>
    <w:rsid w:val="00745581"/>
    <w:rsid w:val="007467D8"/>
    <w:rsid w:val="00751586"/>
    <w:rsid w:val="00753DD1"/>
    <w:rsid w:val="00753F97"/>
    <w:rsid w:val="00754034"/>
    <w:rsid w:val="00754945"/>
    <w:rsid w:val="00754BF1"/>
    <w:rsid w:val="007553AC"/>
    <w:rsid w:val="00755A30"/>
    <w:rsid w:val="00755E1C"/>
    <w:rsid w:val="007560DE"/>
    <w:rsid w:val="00756556"/>
    <w:rsid w:val="007570AF"/>
    <w:rsid w:val="007577CD"/>
    <w:rsid w:val="00760E35"/>
    <w:rsid w:val="0076132B"/>
    <w:rsid w:val="007623AE"/>
    <w:rsid w:val="007629E7"/>
    <w:rsid w:val="00762FE0"/>
    <w:rsid w:val="00764BFC"/>
    <w:rsid w:val="00766E96"/>
    <w:rsid w:val="00767228"/>
    <w:rsid w:val="00770B19"/>
    <w:rsid w:val="00771962"/>
    <w:rsid w:val="00772E66"/>
    <w:rsid w:val="00774FA0"/>
    <w:rsid w:val="007754BF"/>
    <w:rsid w:val="00776465"/>
    <w:rsid w:val="00776620"/>
    <w:rsid w:val="00776BA3"/>
    <w:rsid w:val="00777B6D"/>
    <w:rsid w:val="00782751"/>
    <w:rsid w:val="00784855"/>
    <w:rsid w:val="00784F39"/>
    <w:rsid w:val="0078545C"/>
    <w:rsid w:val="007906C4"/>
    <w:rsid w:val="007915B0"/>
    <w:rsid w:val="007940EA"/>
    <w:rsid w:val="007967E8"/>
    <w:rsid w:val="007A627B"/>
    <w:rsid w:val="007A63F2"/>
    <w:rsid w:val="007A6D0F"/>
    <w:rsid w:val="007A6EBB"/>
    <w:rsid w:val="007A728D"/>
    <w:rsid w:val="007B68DE"/>
    <w:rsid w:val="007C1857"/>
    <w:rsid w:val="007C1ABC"/>
    <w:rsid w:val="007C33EA"/>
    <w:rsid w:val="007C45EB"/>
    <w:rsid w:val="007C514F"/>
    <w:rsid w:val="007C6E5F"/>
    <w:rsid w:val="007D0120"/>
    <w:rsid w:val="007D0F95"/>
    <w:rsid w:val="007D2CFF"/>
    <w:rsid w:val="007D570E"/>
    <w:rsid w:val="007D63C9"/>
    <w:rsid w:val="007D7ECB"/>
    <w:rsid w:val="007E0D3A"/>
    <w:rsid w:val="007E25A1"/>
    <w:rsid w:val="007E4BD2"/>
    <w:rsid w:val="007E5D12"/>
    <w:rsid w:val="007E7145"/>
    <w:rsid w:val="007F050C"/>
    <w:rsid w:val="007F0F11"/>
    <w:rsid w:val="007F3916"/>
    <w:rsid w:val="007F3E52"/>
    <w:rsid w:val="007F42AB"/>
    <w:rsid w:val="008004F3"/>
    <w:rsid w:val="00801179"/>
    <w:rsid w:val="00801BA3"/>
    <w:rsid w:val="00802479"/>
    <w:rsid w:val="008050E2"/>
    <w:rsid w:val="00805372"/>
    <w:rsid w:val="00805B7B"/>
    <w:rsid w:val="00810188"/>
    <w:rsid w:val="00810A54"/>
    <w:rsid w:val="00811E2E"/>
    <w:rsid w:val="0081293E"/>
    <w:rsid w:val="00812E5E"/>
    <w:rsid w:val="00813093"/>
    <w:rsid w:val="008136E1"/>
    <w:rsid w:val="00814FFB"/>
    <w:rsid w:val="00820568"/>
    <w:rsid w:val="00823DBF"/>
    <w:rsid w:val="00830310"/>
    <w:rsid w:val="00830B13"/>
    <w:rsid w:val="00830ECB"/>
    <w:rsid w:val="00831A80"/>
    <w:rsid w:val="00832A1D"/>
    <w:rsid w:val="008332C8"/>
    <w:rsid w:val="00833743"/>
    <w:rsid w:val="008340A4"/>
    <w:rsid w:val="00834229"/>
    <w:rsid w:val="008349F9"/>
    <w:rsid w:val="00836799"/>
    <w:rsid w:val="00836F1B"/>
    <w:rsid w:val="00837028"/>
    <w:rsid w:val="00837131"/>
    <w:rsid w:val="008373E4"/>
    <w:rsid w:val="0083767F"/>
    <w:rsid w:val="0084022D"/>
    <w:rsid w:val="00841075"/>
    <w:rsid w:val="00841E4E"/>
    <w:rsid w:val="0084341E"/>
    <w:rsid w:val="00845F57"/>
    <w:rsid w:val="008514B8"/>
    <w:rsid w:val="008521E0"/>
    <w:rsid w:val="0085255C"/>
    <w:rsid w:val="008525B0"/>
    <w:rsid w:val="0085551A"/>
    <w:rsid w:val="008624E8"/>
    <w:rsid w:val="00863135"/>
    <w:rsid w:val="0086432E"/>
    <w:rsid w:val="00867CBC"/>
    <w:rsid w:val="00876C30"/>
    <w:rsid w:val="00877017"/>
    <w:rsid w:val="008773C0"/>
    <w:rsid w:val="00880364"/>
    <w:rsid w:val="00880DF6"/>
    <w:rsid w:val="00884E3C"/>
    <w:rsid w:val="00886C4C"/>
    <w:rsid w:val="0088711C"/>
    <w:rsid w:val="00890708"/>
    <w:rsid w:val="00892ECF"/>
    <w:rsid w:val="00892F06"/>
    <w:rsid w:val="00894285"/>
    <w:rsid w:val="00896EB6"/>
    <w:rsid w:val="00897B37"/>
    <w:rsid w:val="008A04A6"/>
    <w:rsid w:val="008A2D7A"/>
    <w:rsid w:val="008A40AE"/>
    <w:rsid w:val="008A43A1"/>
    <w:rsid w:val="008A4E19"/>
    <w:rsid w:val="008A557D"/>
    <w:rsid w:val="008A67C5"/>
    <w:rsid w:val="008B22E1"/>
    <w:rsid w:val="008B3C78"/>
    <w:rsid w:val="008B4AE9"/>
    <w:rsid w:val="008B4FC0"/>
    <w:rsid w:val="008B62AB"/>
    <w:rsid w:val="008B7DC2"/>
    <w:rsid w:val="008C0DF5"/>
    <w:rsid w:val="008C30AD"/>
    <w:rsid w:val="008C3C33"/>
    <w:rsid w:val="008C4896"/>
    <w:rsid w:val="008C53EE"/>
    <w:rsid w:val="008C7B4E"/>
    <w:rsid w:val="008D068E"/>
    <w:rsid w:val="008D0F7A"/>
    <w:rsid w:val="008D1B7C"/>
    <w:rsid w:val="008D2CD4"/>
    <w:rsid w:val="008D544A"/>
    <w:rsid w:val="008D63BE"/>
    <w:rsid w:val="008D6E2C"/>
    <w:rsid w:val="008E0AC4"/>
    <w:rsid w:val="008E0CFF"/>
    <w:rsid w:val="008E371D"/>
    <w:rsid w:val="008E5D6B"/>
    <w:rsid w:val="008E689B"/>
    <w:rsid w:val="008E6B58"/>
    <w:rsid w:val="008E718C"/>
    <w:rsid w:val="008E736E"/>
    <w:rsid w:val="008E76F0"/>
    <w:rsid w:val="008F15FE"/>
    <w:rsid w:val="008F2A94"/>
    <w:rsid w:val="008F3F87"/>
    <w:rsid w:val="008F5187"/>
    <w:rsid w:val="008F56B0"/>
    <w:rsid w:val="008F709C"/>
    <w:rsid w:val="0090312B"/>
    <w:rsid w:val="009033BF"/>
    <w:rsid w:val="009045DD"/>
    <w:rsid w:val="00904695"/>
    <w:rsid w:val="00904961"/>
    <w:rsid w:val="00904E66"/>
    <w:rsid w:val="00905FD8"/>
    <w:rsid w:val="009107CD"/>
    <w:rsid w:val="00910D49"/>
    <w:rsid w:val="009114AF"/>
    <w:rsid w:val="009139AE"/>
    <w:rsid w:val="0091736D"/>
    <w:rsid w:val="0091798E"/>
    <w:rsid w:val="00920D97"/>
    <w:rsid w:val="00921E30"/>
    <w:rsid w:val="00923F0A"/>
    <w:rsid w:val="00924B0C"/>
    <w:rsid w:val="00925BCE"/>
    <w:rsid w:val="009269A2"/>
    <w:rsid w:val="009277A2"/>
    <w:rsid w:val="00927B38"/>
    <w:rsid w:val="00931001"/>
    <w:rsid w:val="00931863"/>
    <w:rsid w:val="009330F3"/>
    <w:rsid w:val="00933524"/>
    <w:rsid w:val="00933841"/>
    <w:rsid w:val="0093530D"/>
    <w:rsid w:val="00936C4E"/>
    <w:rsid w:val="00937CA2"/>
    <w:rsid w:val="00937FC2"/>
    <w:rsid w:val="0094278D"/>
    <w:rsid w:val="00943AB9"/>
    <w:rsid w:val="009440D9"/>
    <w:rsid w:val="0094464C"/>
    <w:rsid w:val="00951525"/>
    <w:rsid w:val="00952BCB"/>
    <w:rsid w:val="00952DB3"/>
    <w:rsid w:val="0095308A"/>
    <w:rsid w:val="009538D1"/>
    <w:rsid w:val="00955AEE"/>
    <w:rsid w:val="00956F14"/>
    <w:rsid w:val="009603E6"/>
    <w:rsid w:val="009620FD"/>
    <w:rsid w:val="00962235"/>
    <w:rsid w:val="0096247A"/>
    <w:rsid w:val="00962D50"/>
    <w:rsid w:val="00965F4B"/>
    <w:rsid w:val="00966E0C"/>
    <w:rsid w:val="00970F8A"/>
    <w:rsid w:val="00971FB5"/>
    <w:rsid w:val="00972D2A"/>
    <w:rsid w:val="00975CC5"/>
    <w:rsid w:val="00976328"/>
    <w:rsid w:val="00976B4E"/>
    <w:rsid w:val="00981046"/>
    <w:rsid w:val="0098232E"/>
    <w:rsid w:val="00982A72"/>
    <w:rsid w:val="00984458"/>
    <w:rsid w:val="00985283"/>
    <w:rsid w:val="0098545E"/>
    <w:rsid w:val="00987322"/>
    <w:rsid w:val="00987B94"/>
    <w:rsid w:val="00990411"/>
    <w:rsid w:val="00991ECD"/>
    <w:rsid w:val="00995ABF"/>
    <w:rsid w:val="00995FFB"/>
    <w:rsid w:val="00996F5C"/>
    <w:rsid w:val="009A0F3B"/>
    <w:rsid w:val="009A3B50"/>
    <w:rsid w:val="009A4E09"/>
    <w:rsid w:val="009A57FE"/>
    <w:rsid w:val="009A668E"/>
    <w:rsid w:val="009A6EF8"/>
    <w:rsid w:val="009A72C7"/>
    <w:rsid w:val="009A799F"/>
    <w:rsid w:val="009B0897"/>
    <w:rsid w:val="009B152C"/>
    <w:rsid w:val="009B38D8"/>
    <w:rsid w:val="009B5D19"/>
    <w:rsid w:val="009C07D9"/>
    <w:rsid w:val="009C204B"/>
    <w:rsid w:val="009C7671"/>
    <w:rsid w:val="009C7FC4"/>
    <w:rsid w:val="009D0852"/>
    <w:rsid w:val="009D1F94"/>
    <w:rsid w:val="009D1FBF"/>
    <w:rsid w:val="009D60A4"/>
    <w:rsid w:val="009D7A65"/>
    <w:rsid w:val="009D7DE6"/>
    <w:rsid w:val="009E09AC"/>
    <w:rsid w:val="009E399C"/>
    <w:rsid w:val="009E43C1"/>
    <w:rsid w:val="009E7E95"/>
    <w:rsid w:val="009E7F35"/>
    <w:rsid w:val="009F0DEA"/>
    <w:rsid w:val="009F116F"/>
    <w:rsid w:val="009F1BBF"/>
    <w:rsid w:val="009F329E"/>
    <w:rsid w:val="009F6746"/>
    <w:rsid w:val="009F6E7A"/>
    <w:rsid w:val="009F7ED3"/>
    <w:rsid w:val="00A0083F"/>
    <w:rsid w:val="00A016E5"/>
    <w:rsid w:val="00A02B6E"/>
    <w:rsid w:val="00A02E88"/>
    <w:rsid w:val="00A03607"/>
    <w:rsid w:val="00A047FF"/>
    <w:rsid w:val="00A04FEF"/>
    <w:rsid w:val="00A0614A"/>
    <w:rsid w:val="00A06202"/>
    <w:rsid w:val="00A119D5"/>
    <w:rsid w:val="00A11EDD"/>
    <w:rsid w:val="00A122CD"/>
    <w:rsid w:val="00A12A32"/>
    <w:rsid w:val="00A1321F"/>
    <w:rsid w:val="00A134E6"/>
    <w:rsid w:val="00A14248"/>
    <w:rsid w:val="00A144F2"/>
    <w:rsid w:val="00A14947"/>
    <w:rsid w:val="00A154DE"/>
    <w:rsid w:val="00A23DC5"/>
    <w:rsid w:val="00A25E58"/>
    <w:rsid w:val="00A30A4C"/>
    <w:rsid w:val="00A34028"/>
    <w:rsid w:val="00A35568"/>
    <w:rsid w:val="00A37056"/>
    <w:rsid w:val="00A40FD3"/>
    <w:rsid w:val="00A41CEE"/>
    <w:rsid w:val="00A421F3"/>
    <w:rsid w:val="00A42AE5"/>
    <w:rsid w:val="00A4358F"/>
    <w:rsid w:val="00A43D6A"/>
    <w:rsid w:val="00A44326"/>
    <w:rsid w:val="00A46F67"/>
    <w:rsid w:val="00A54AA1"/>
    <w:rsid w:val="00A568FF"/>
    <w:rsid w:val="00A603AA"/>
    <w:rsid w:val="00A60CFA"/>
    <w:rsid w:val="00A61496"/>
    <w:rsid w:val="00A61833"/>
    <w:rsid w:val="00A624C6"/>
    <w:rsid w:val="00A6277C"/>
    <w:rsid w:val="00A6339C"/>
    <w:rsid w:val="00A63CEC"/>
    <w:rsid w:val="00A655B9"/>
    <w:rsid w:val="00A660A4"/>
    <w:rsid w:val="00A67172"/>
    <w:rsid w:val="00A67A61"/>
    <w:rsid w:val="00A7031E"/>
    <w:rsid w:val="00A7228A"/>
    <w:rsid w:val="00A7285A"/>
    <w:rsid w:val="00A728B1"/>
    <w:rsid w:val="00A7399F"/>
    <w:rsid w:val="00A747E7"/>
    <w:rsid w:val="00A763DE"/>
    <w:rsid w:val="00A76625"/>
    <w:rsid w:val="00A803D6"/>
    <w:rsid w:val="00A81019"/>
    <w:rsid w:val="00A81282"/>
    <w:rsid w:val="00A8372A"/>
    <w:rsid w:val="00A8402F"/>
    <w:rsid w:val="00A8713F"/>
    <w:rsid w:val="00A90318"/>
    <w:rsid w:val="00A91167"/>
    <w:rsid w:val="00A9171C"/>
    <w:rsid w:val="00A92FFD"/>
    <w:rsid w:val="00A95101"/>
    <w:rsid w:val="00A95198"/>
    <w:rsid w:val="00A95975"/>
    <w:rsid w:val="00A95C46"/>
    <w:rsid w:val="00A95FE1"/>
    <w:rsid w:val="00A96607"/>
    <w:rsid w:val="00A96A28"/>
    <w:rsid w:val="00A9708D"/>
    <w:rsid w:val="00A97C2E"/>
    <w:rsid w:val="00AA0FCE"/>
    <w:rsid w:val="00AA228A"/>
    <w:rsid w:val="00AA2C17"/>
    <w:rsid w:val="00AA31FA"/>
    <w:rsid w:val="00AA4172"/>
    <w:rsid w:val="00AB0B0E"/>
    <w:rsid w:val="00AB1914"/>
    <w:rsid w:val="00AB1A17"/>
    <w:rsid w:val="00AB401C"/>
    <w:rsid w:val="00AB5330"/>
    <w:rsid w:val="00AB650C"/>
    <w:rsid w:val="00AB7747"/>
    <w:rsid w:val="00AC0F5D"/>
    <w:rsid w:val="00AC2532"/>
    <w:rsid w:val="00AC587F"/>
    <w:rsid w:val="00AC653B"/>
    <w:rsid w:val="00AD1507"/>
    <w:rsid w:val="00AD5A70"/>
    <w:rsid w:val="00AD5EE0"/>
    <w:rsid w:val="00AD738B"/>
    <w:rsid w:val="00AE0B5C"/>
    <w:rsid w:val="00AE1BF4"/>
    <w:rsid w:val="00AE5D97"/>
    <w:rsid w:val="00AE5FE4"/>
    <w:rsid w:val="00AE6794"/>
    <w:rsid w:val="00AF22E6"/>
    <w:rsid w:val="00AF636D"/>
    <w:rsid w:val="00B01110"/>
    <w:rsid w:val="00B02262"/>
    <w:rsid w:val="00B0312C"/>
    <w:rsid w:val="00B03CEC"/>
    <w:rsid w:val="00B0437D"/>
    <w:rsid w:val="00B0443A"/>
    <w:rsid w:val="00B04457"/>
    <w:rsid w:val="00B071D6"/>
    <w:rsid w:val="00B073F4"/>
    <w:rsid w:val="00B1209F"/>
    <w:rsid w:val="00B12AD0"/>
    <w:rsid w:val="00B1405A"/>
    <w:rsid w:val="00B14F69"/>
    <w:rsid w:val="00B21F97"/>
    <w:rsid w:val="00B22480"/>
    <w:rsid w:val="00B2390E"/>
    <w:rsid w:val="00B24F30"/>
    <w:rsid w:val="00B259C1"/>
    <w:rsid w:val="00B30868"/>
    <w:rsid w:val="00B31ABF"/>
    <w:rsid w:val="00B322B2"/>
    <w:rsid w:val="00B335AE"/>
    <w:rsid w:val="00B34097"/>
    <w:rsid w:val="00B34DD3"/>
    <w:rsid w:val="00B37CE1"/>
    <w:rsid w:val="00B4007A"/>
    <w:rsid w:val="00B40ACF"/>
    <w:rsid w:val="00B41474"/>
    <w:rsid w:val="00B46BAA"/>
    <w:rsid w:val="00B50B5F"/>
    <w:rsid w:val="00B51672"/>
    <w:rsid w:val="00B52F59"/>
    <w:rsid w:val="00B5310B"/>
    <w:rsid w:val="00B54128"/>
    <w:rsid w:val="00B55173"/>
    <w:rsid w:val="00B55826"/>
    <w:rsid w:val="00B60426"/>
    <w:rsid w:val="00B622DD"/>
    <w:rsid w:val="00B62BD0"/>
    <w:rsid w:val="00B63522"/>
    <w:rsid w:val="00B66562"/>
    <w:rsid w:val="00B67043"/>
    <w:rsid w:val="00B67593"/>
    <w:rsid w:val="00B712CE"/>
    <w:rsid w:val="00B72983"/>
    <w:rsid w:val="00B761C2"/>
    <w:rsid w:val="00B76F1D"/>
    <w:rsid w:val="00B77973"/>
    <w:rsid w:val="00B80E7B"/>
    <w:rsid w:val="00B82E60"/>
    <w:rsid w:val="00B83EC2"/>
    <w:rsid w:val="00B86136"/>
    <w:rsid w:val="00B8666A"/>
    <w:rsid w:val="00B86F74"/>
    <w:rsid w:val="00B90403"/>
    <w:rsid w:val="00B9109B"/>
    <w:rsid w:val="00B92A19"/>
    <w:rsid w:val="00B9544C"/>
    <w:rsid w:val="00B9567F"/>
    <w:rsid w:val="00B96A46"/>
    <w:rsid w:val="00BA0E40"/>
    <w:rsid w:val="00BA29E9"/>
    <w:rsid w:val="00BA6BFD"/>
    <w:rsid w:val="00BA6D1E"/>
    <w:rsid w:val="00BA7A08"/>
    <w:rsid w:val="00BA7FBE"/>
    <w:rsid w:val="00BB0059"/>
    <w:rsid w:val="00BB0199"/>
    <w:rsid w:val="00BB06FB"/>
    <w:rsid w:val="00BB0FF5"/>
    <w:rsid w:val="00BB1079"/>
    <w:rsid w:val="00BB2DDA"/>
    <w:rsid w:val="00BB3618"/>
    <w:rsid w:val="00BB3816"/>
    <w:rsid w:val="00BB3AEF"/>
    <w:rsid w:val="00BB4C13"/>
    <w:rsid w:val="00BB7777"/>
    <w:rsid w:val="00BB7A2E"/>
    <w:rsid w:val="00BC0631"/>
    <w:rsid w:val="00BC0890"/>
    <w:rsid w:val="00BC0C9E"/>
    <w:rsid w:val="00BC21C9"/>
    <w:rsid w:val="00BC32DC"/>
    <w:rsid w:val="00BC448F"/>
    <w:rsid w:val="00BC58E2"/>
    <w:rsid w:val="00BD1B51"/>
    <w:rsid w:val="00BD1E51"/>
    <w:rsid w:val="00BD47F6"/>
    <w:rsid w:val="00BD4FA9"/>
    <w:rsid w:val="00BD5541"/>
    <w:rsid w:val="00BE17FD"/>
    <w:rsid w:val="00BE312D"/>
    <w:rsid w:val="00BE365C"/>
    <w:rsid w:val="00BE3FCA"/>
    <w:rsid w:val="00BE57B7"/>
    <w:rsid w:val="00BF3256"/>
    <w:rsid w:val="00BF4569"/>
    <w:rsid w:val="00BF52C4"/>
    <w:rsid w:val="00BF6F76"/>
    <w:rsid w:val="00C04AAC"/>
    <w:rsid w:val="00C05109"/>
    <w:rsid w:val="00C05719"/>
    <w:rsid w:val="00C070AE"/>
    <w:rsid w:val="00C10578"/>
    <w:rsid w:val="00C17D62"/>
    <w:rsid w:val="00C21FDC"/>
    <w:rsid w:val="00C22A23"/>
    <w:rsid w:val="00C22BF4"/>
    <w:rsid w:val="00C231E1"/>
    <w:rsid w:val="00C23990"/>
    <w:rsid w:val="00C23C02"/>
    <w:rsid w:val="00C24EE7"/>
    <w:rsid w:val="00C2596A"/>
    <w:rsid w:val="00C271BE"/>
    <w:rsid w:val="00C27425"/>
    <w:rsid w:val="00C318A1"/>
    <w:rsid w:val="00C328FE"/>
    <w:rsid w:val="00C33A05"/>
    <w:rsid w:val="00C33C36"/>
    <w:rsid w:val="00C34CF8"/>
    <w:rsid w:val="00C34DAD"/>
    <w:rsid w:val="00C3774B"/>
    <w:rsid w:val="00C4167C"/>
    <w:rsid w:val="00C42500"/>
    <w:rsid w:val="00C42F98"/>
    <w:rsid w:val="00C4409D"/>
    <w:rsid w:val="00C455BE"/>
    <w:rsid w:val="00C46715"/>
    <w:rsid w:val="00C5019D"/>
    <w:rsid w:val="00C51E5F"/>
    <w:rsid w:val="00C52FD9"/>
    <w:rsid w:val="00C530C9"/>
    <w:rsid w:val="00C5400B"/>
    <w:rsid w:val="00C545EB"/>
    <w:rsid w:val="00C61CB3"/>
    <w:rsid w:val="00C61E4B"/>
    <w:rsid w:val="00C6245A"/>
    <w:rsid w:val="00C62A1A"/>
    <w:rsid w:val="00C62E3A"/>
    <w:rsid w:val="00C64503"/>
    <w:rsid w:val="00C64A1F"/>
    <w:rsid w:val="00C64BFF"/>
    <w:rsid w:val="00C65B50"/>
    <w:rsid w:val="00C65E18"/>
    <w:rsid w:val="00C65F8A"/>
    <w:rsid w:val="00C70DAA"/>
    <w:rsid w:val="00C7216A"/>
    <w:rsid w:val="00C74332"/>
    <w:rsid w:val="00C752E5"/>
    <w:rsid w:val="00C75372"/>
    <w:rsid w:val="00C755FA"/>
    <w:rsid w:val="00C75DA1"/>
    <w:rsid w:val="00C763C9"/>
    <w:rsid w:val="00C80057"/>
    <w:rsid w:val="00C82C79"/>
    <w:rsid w:val="00C83681"/>
    <w:rsid w:val="00C840C5"/>
    <w:rsid w:val="00C84753"/>
    <w:rsid w:val="00C84802"/>
    <w:rsid w:val="00C904BC"/>
    <w:rsid w:val="00C905F2"/>
    <w:rsid w:val="00C91611"/>
    <w:rsid w:val="00C97233"/>
    <w:rsid w:val="00CA0958"/>
    <w:rsid w:val="00CA1D31"/>
    <w:rsid w:val="00CA2F31"/>
    <w:rsid w:val="00CA3585"/>
    <w:rsid w:val="00CA3D5A"/>
    <w:rsid w:val="00CA44B2"/>
    <w:rsid w:val="00CA4C7C"/>
    <w:rsid w:val="00CA68B2"/>
    <w:rsid w:val="00CB0183"/>
    <w:rsid w:val="00CB1EA3"/>
    <w:rsid w:val="00CB3EF7"/>
    <w:rsid w:val="00CB552C"/>
    <w:rsid w:val="00CB69BF"/>
    <w:rsid w:val="00CB6A9E"/>
    <w:rsid w:val="00CB745F"/>
    <w:rsid w:val="00CC1100"/>
    <w:rsid w:val="00CC324B"/>
    <w:rsid w:val="00CC3C02"/>
    <w:rsid w:val="00CC553C"/>
    <w:rsid w:val="00CC6181"/>
    <w:rsid w:val="00CC7538"/>
    <w:rsid w:val="00CC75F4"/>
    <w:rsid w:val="00CC7A70"/>
    <w:rsid w:val="00CD1A6B"/>
    <w:rsid w:val="00CD2BCD"/>
    <w:rsid w:val="00CD36AA"/>
    <w:rsid w:val="00CD3791"/>
    <w:rsid w:val="00CD4720"/>
    <w:rsid w:val="00CD65B0"/>
    <w:rsid w:val="00CD7444"/>
    <w:rsid w:val="00CE02CD"/>
    <w:rsid w:val="00CE0B53"/>
    <w:rsid w:val="00CE10E9"/>
    <w:rsid w:val="00CE5DAD"/>
    <w:rsid w:val="00CF3117"/>
    <w:rsid w:val="00CF663C"/>
    <w:rsid w:val="00CF7547"/>
    <w:rsid w:val="00CF7EE8"/>
    <w:rsid w:val="00D0072E"/>
    <w:rsid w:val="00D0753C"/>
    <w:rsid w:val="00D118CE"/>
    <w:rsid w:val="00D128B0"/>
    <w:rsid w:val="00D13409"/>
    <w:rsid w:val="00D15727"/>
    <w:rsid w:val="00D16332"/>
    <w:rsid w:val="00D172B5"/>
    <w:rsid w:val="00D204E4"/>
    <w:rsid w:val="00D247EB"/>
    <w:rsid w:val="00D24972"/>
    <w:rsid w:val="00D2515E"/>
    <w:rsid w:val="00D26BF8"/>
    <w:rsid w:val="00D308ED"/>
    <w:rsid w:val="00D34D83"/>
    <w:rsid w:val="00D34DF8"/>
    <w:rsid w:val="00D361DF"/>
    <w:rsid w:val="00D3670F"/>
    <w:rsid w:val="00D36D01"/>
    <w:rsid w:val="00D407A7"/>
    <w:rsid w:val="00D40A67"/>
    <w:rsid w:val="00D43BBD"/>
    <w:rsid w:val="00D44D7A"/>
    <w:rsid w:val="00D453AE"/>
    <w:rsid w:val="00D50338"/>
    <w:rsid w:val="00D536C5"/>
    <w:rsid w:val="00D5495B"/>
    <w:rsid w:val="00D56178"/>
    <w:rsid w:val="00D56CF0"/>
    <w:rsid w:val="00D56F5C"/>
    <w:rsid w:val="00D574A2"/>
    <w:rsid w:val="00D6119A"/>
    <w:rsid w:val="00D61D38"/>
    <w:rsid w:val="00D63732"/>
    <w:rsid w:val="00D65366"/>
    <w:rsid w:val="00D65A83"/>
    <w:rsid w:val="00D704B1"/>
    <w:rsid w:val="00D70B63"/>
    <w:rsid w:val="00D71DDB"/>
    <w:rsid w:val="00D71E86"/>
    <w:rsid w:val="00D72B92"/>
    <w:rsid w:val="00D72ED4"/>
    <w:rsid w:val="00D73F61"/>
    <w:rsid w:val="00D754C0"/>
    <w:rsid w:val="00D776A2"/>
    <w:rsid w:val="00D801C4"/>
    <w:rsid w:val="00D823C5"/>
    <w:rsid w:val="00D85561"/>
    <w:rsid w:val="00D860DD"/>
    <w:rsid w:val="00D86189"/>
    <w:rsid w:val="00D90836"/>
    <w:rsid w:val="00D94954"/>
    <w:rsid w:val="00D95896"/>
    <w:rsid w:val="00D95CC6"/>
    <w:rsid w:val="00DA0CC2"/>
    <w:rsid w:val="00DA15FF"/>
    <w:rsid w:val="00DA2DA3"/>
    <w:rsid w:val="00DA335C"/>
    <w:rsid w:val="00DA4C5F"/>
    <w:rsid w:val="00DA6615"/>
    <w:rsid w:val="00DA6B5C"/>
    <w:rsid w:val="00DA76AE"/>
    <w:rsid w:val="00DB181E"/>
    <w:rsid w:val="00DB1C7A"/>
    <w:rsid w:val="00DB2983"/>
    <w:rsid w:val="00DB330D"/>
    <w:rsid w:val="00DB343D"/>
    <w:rsid w:val="00DB4093"/>
    <w:rsid w:val="00DB4293"/>
    <w:rsid w:val="00DB533E"/>
    <w:rsid w:val="00DB5579"/>
    <w:rsid w:val="00DB5CFE"/>
    <w:rsid w:val="00DB73D8"/>
    <w:rsid w:val="00DC47B9"/>
    <w:rsid w:val="00DC6DFF"/>
    <w:rsid w:val="00DC72A6"/>
    <w:rsid w:val="00DC78FD"/>
    <w:rsid w:val="00DD2113"/>
    <w:rsid w:val="00DD265E"/>
    <w:rsid w:val="00DD2D0B"/>
    <w:rsid w:val="00DD32E5"/>
    <w:rsid w:val="00DD5251"/>
    <w:rsid w:val="00DE1890"/>
    <w:rsid w:val="00DE1B29"/>
    <w:rsid w:val="00DE2030"/>
    <w:rsid w:val="00DE355E"/>
    <w:rsid w:val="00DE5910"/>
    <w:rsid w:val="00DF0CDF"/>
    <w:rsid w:val="00DF1930"/>
    <w:rsid w:val="00DF21C1"/>
    <w:rsid w:val="00DF24D5"/>
    <w:rsid w:val="00DF36EF"/>
    <w:rsid w:val="00DF4F46"/>
    <w:rsid w:val="00DF514A"/>
    <w:rsid w:val="00DF5DE8"/>
    <w:rsid w:val="00DF6C42"/>
    <w:rsid w:val="00E026AB"/>
    <w:rsid w:val="00E0358D"/>
    <w:rsid w:val="00E040E3"/>
    <w:rsid w:val="00E0575E"/>
    <w:rsid w:val="00E06327"/>
    <w:rsid w:val="00E10517"/>
    <w:rsid w:val="00E14B8B"/>
    <w:rsid w:val="00E157DB"/>
    <w:rsid w:val="00E2064B"/>
    <w:rsid w:val="00E2172A"/>
    <w:rsid w:val="00E24C56"/>
    <w:rsid w:val="00E25239"/>
    <w:rsid w:val="00E25761"/>
    <w:rsid w:val="00E265B1"/>
    <w:rsid w:val="00E266EA"/>
    <w:rsid w:val="00E26BA5"/>
    <w:rsid w:val="00E275B0"/>
    <w:rsid w:val="00E27614"/>
    <w:rsid w:val="00E27653"/>
    <w:rsid w:val="00E30B31"/>
    <w:rsid w:val="00E31543"/>
    <w:rsid w:val="00E32DE7"/>
    <w:rsid w:val="00E35898"/>
    <w:rsid w:val="00E3695A"/>
    <w:rsid w:val="00E412D0"/>
    <w:rsid w:val="00E439AF"/>
    <w:rsid w:val="00E442A6"/>
    <w:rsid w:val="00E4568A"/>
    <w:rsid w:val="00E45F0E"/>
    <w:rsid w:val="00E46B84"/>
    <w:rsid w:val="00E46D66"/>
    <w:rsid w:val="00E47CDB"/>
    <w:rsid w:val="00E47F25"/>
    <w:rsid w:val="00E51439"/>
    <w:rsid w:val="00E534F2"/>
    <w:rsid w:val="00E53E8F"/>
    <w:rsid w:val="00E55C27"/>
    <w:rsid w:val="00E566BC"/>
    <w:rsid w:val="00E57BE0"/>
    <w:rsid w:val="00E60982"/>
    <w:rsid w:val="00E60C8D"/>
    <w:rsid w:val="00E6162F"/>
    <w:rsid w:val="00E620B8"/>
    <w:rsid w:val="00E62530"/>
    <w:rsid w:val="00E6311B"/>
    <w:rsid w:val="00E63A56"/>
    <w:rsid w:val="00E655BC"/>
    <w:rsid w:val="00E65D97"/>
    <w:rsid w:val="00E66831"/>
    <w:rsid w:val="00E67EFD"/>
    <w:rsid w:val="00E702DC"/>
    <w:rsid w:val="00E71E06"/>
    <w:rsid w:val="00E71FFB"/>
    <w:rsid w:val="00E7301A"/>
    <w:rsid w:val="00E753B1"/>
    <w:rsid w:val="00E7579F"/>
    <w:rsid w:val="00E766D5"/>
    <w:rsid w:val="00E76D1D"/>
    <w:rsid w:val="00E806F8"/>
    <w:rsid w:val="00E807FE"/>
    <w:rsid w:val="00E81FF1"/>
    <w:rsid w:val="00E837F8"/>
    <w:rsid w:val="00E843D2"/>
    <w:rsid w:val="00E84756"/>
    <w:rsid w:val="00E86D9C"/>
    <w:rsid w:val="00E874DB"/>
    <w:rsid w:val="00E87752"/>
    <w:rsid w:val="00E8793B"/>
    <w:rsid w:val="00E90F81"/>
    <w:rsid w:val="00E9184E"/>
    <w:rsid w:val="00E91A6D"/>
    <w:rsid w:val="00E9242D"/>
    <w:rsid w:val="00E92537"/>
    <w:rsid w:val="00E935EA"/>
    <w:rsid w:val="00E943EE"/>
    <w:rsid w:val="00E95104"/>
    <w:rsid w:val="00EA660B"/>
    <w:rsid w:val="00EA6685"/>
    <w:rsid w:val="00EB041C"/>
    <w:rsid w:val="00EB1016"/>
    <w:rsid w:val="00EB104E"/>
    <w:rsid w:val="00EB182D"/>
    <w:rsid w:val="00EB315F"/>
    <w:rsid w:val="00EB3E51"/>
    <w:rsid w:val="00EB421C"/>
    <w:rsid w:val="00EB5C07"/>
    <w:rsid w:val="00EC1EFA"/>
    <w:rsid w:val="00EC2CC8"/>
    <w:rsid w:val="00EC328A"/>
    <w:rsid w:val="00EC389F"/>
    <w:rsid w:val="00EC4853"/>
    <w:rsid w:val="00EC5874"/>
    <w:rsid w:val="00ED192D"/>
    <w:rsid w:val="00ED30B4"/>
    <w:rsid w:val="00ED31F5"/>
    <w:rsid w:val="00ED375C"/>
    <w:rsid w:val="00ED7686"/>
    <w:rsid w:val="00EE03BB"/>
    <w:rsid w:val="00EE1089"/>
    <w:rsid w:val="00EE2777"/>
    <w:rsid w:val="00EE2D13"/>
    <w:rsid w:val="00EE4781"/>
    <w:rsid w:val="00EE481A"/>
    <w:rsid w:val="00EE4983"/>
    <w:rsid w:val="00EE54BB"/>
    <w:rsid w:val="00EE5947"/>
    <w:rsid w:val="00EE5CBA"/>
    <w:rsid w:val="00EE6850"/>
    <w:rsid w:val="00EF16FF"/>
    <w:rsid w:val="00EF1739"/>
    <w:rsid w:val="00EF1D6B"/>
    <w:rsid w:val="00EF2759"/>
    <w:rsid w:val="00EF45EB"/>
    <w:rsid w:val="00EF5099"/>
    <w:rsid w:val="00EF5931"/>
    <w:rsid w:val="00EF5E33"/>
    <w:rsid w:val="00EF74EC"/>
    <w:rsid w:val="00F00075"/>
    <w:rsid w:val="00F01A9B"/>
    <w:rsid w:val="00F023C4"/>
    <w:rsid w:val="00F0276D"/>
    <w:rsid w:val="00F03306"/>
    <w:rsid w:val="00F048DE"/>
    <w:rsid w:val="00F06932"/>
    <w:rsid w:val="00F0725E"/>
    <w:rsid w:val="00F07822"/>
    <w:rsid w:val="00F14024"/>
    <w:rsid w:val="00F15C95"/>
    <w:rsid w:val="00F15D9E"/>
    <w:rsid w:val="00F2053D"/>
    <w:rsid w:val="00F22985"/>
    <w:rsid w:val="00F239AF"/>
    <w:rsid w:val="00F23DDD"/>
    <w:rsid w:val="00F241AB"/>
    <w:rsid w:val="00F260DA"/>
    <w:rsid w:val="00F30BD1"/>
    <w:rsid w:val="00F3137A"/>
    <w:rsid w:val="00F31382"/>
    <w:rsid w:val="00F3202E"/>
    <w:rsid w:val="00F3436D"/>
    <w:rsid w:val="00F35829"/>
    <w:rsid w:val="00F37DBD"/>
    <w:rsid w:val="00F42868"/>
    <w:rsid w:val="00F443EB"/>
    <w:rsid w:val="00F465A7"/>
    <w:rsid w:val="00F47A28"/>
    <w:rsid w:val="00F50B7C"/>
    <w:rsid w:val="00F50BCC"/>
    <w:rsid w:val="00F5202D"/>
    <w:rsid w:val="00F52CF6"/>
    <w:rsid w:val="00F54496"/>
    <w:rsid w:val="00F54C3F"/>
    <w:rsid w:val="00F54D31"/>
    <w:rsid w:val="00F55D0C"/>
    <w:rsid w:val="00F61097"/>
    <w:rsid w:val="00F6400B"/>
    <w:rsid w:val="00F66AA9"/>
    <w:rsid w:val="00F677F1"/>
    <w:rsid w:val="00F67C01"/>
    <w:rsid w:val="00F701E1"/>
    <w:rsid w:val="00F70DBD"/>
    <w:rsid w:val="00F70F63"/>
    <w:rsid w:val="00F72379"/>
    <w:rsid w:val="00F727AA"/>
    <w:rsid w:val="00F74345"/>
    <w:rsid w:val="00F74441"/>
    <w:rsid w:val="00F77609"/>
    <w:rsid w:val="00F779FD"/>
    <w:rsid w:val="00F77F30"/>
    <w:rsid w:val="00F82335"/>
    <w:rsid w:val="00F82589"/>
    <w:rsid w:val="00F82B19"/>
    <w:rsid w:val="00F83933"/>
    <w:rsid w:val="00F862F3"/>
    <w:rsid w:val="00F90AA7"/>
    <w:rsid w:val="00F90F5F"/>
    <w:rsid w:val="00F9212D"/>
    <w:rsid w:val="00FA0759"/>
    <w:rsid w:val="00FA0948"/>
    <w:rsid w:val="00FA2808"/>
    <w:rsid w:val="00FA301A"/>
    <w:rsid w:val="00FA3EC1"/>
    <w:rsid w:val="00FA406A"/>
    <w:rsid w:val="00FA4F27"/>
    <w:rsid w:val="00FA5CB6"/>
    <w:rsid w:val="00FA72FB"/>
    <w:rsid w:val="00FB0154"/>
    <w:rsid w:val="00FB1384"/>
    <w:rsid w:val="00FB247D"/>
    <w:rsid w:val="00FB3931"/>
    <w:rsid w:val="00FB4D84"/>
    <w:rsid w:val="00FB4F11"/>
    <w:rsid w:val="00FB512E"/>
    <w:rsid w:val="00FB628B"/>
    <w:rsid w:val="00FB69F1"/>
    <w:rsid w:val="00FB6F38"/>
    <w:rsid w:val="00FC00C3"/>
    <w:rsid w:val="00FC622B"/>
    <w:rsid w:val="00FC66AC"/>
    <w:rsid w:val="00FD18F4"/>
    <w:rsid w:val="00FD32FE"/>
    <w:rsid w:val="00FD5254"/>
    <w:rsid w:val="00FD5F49"/>
    <w:rsid w:val="00FD74B4"/>
    <w:rsid w:val="00FE1AC2"/>
    <w:rsid w:val="00FF2FFF"/>
    <w:rsid w:val="00FF63D5"/>
    <w:rsid w:val="00FF6FCE"/>
    <w:rsid w:val="00FF7518"/>
    <w:rsid w:val="00FF7FD8"/>
    <w:rsid w:val="011A2EDD"/>
    <w:rsid w:val="01423F24"/>
    <w:rsid w:val="01426933"/>
    <w:rsid w:val="01647C33"/>
    <w:rsid w:val="0168325F"/>
    <w:rsid w:val="016D3E28"/>
    <w:rsid w:val="017D2EC0"/>
    <w:rsid w:val="01984FE5"/>
    <w:rsid w:val="01B31F43"/>
    <w:rsid w:val="01C54B55"/>
    <w:rsid w:val="020E513A"/>
    <w:rsid w:val="0213766F"/>
    <w:rsid w:val="02262607"/>
    <w:rsid w:val="023A109F"/>
    <w:rsid w:val="023C0A75"/>
    <w:rsid w:val="02C646E1"/>
    <w:rsid w:val="02CE3596"/>
    <w:rsid w:val="02F76F90"/>
    <w:rsid w:val="03027F1F"/>
    <w:rsid w:val="03215DBB"/>
    <w:rsid w:val="0328539C"/>
    <w:rsid w:val="034A781E"/>
    <w:rsid w:val="03541B8A"/>
    <w:rsid w:val="035421AF"/>
    <w:rsid w:val="03586DDB"/>
    <w:rsid w:val="03A2514E"/>
    <w:rsid w:val="03BD4BA8"/>
    <w:rsid w:val="03C13306"/>
    <w:rsid w:val="03DF35A2"/>
    <w:rsid w:val="03EC042A"/>
    <w:rsid w:val="03F10864"/>
    <w:rsid w:val="03FA5946"/>
    <w:rsid w:val="04046F3A"/>
    <w:rsid w:val="04367644"/>
    <w:rsid w:val="04461F7D"/>
    <w:rsid w:val="044C50BA"/>
    <w:rsid w:val="049F343C"/>
    <w:rsid w:val="04AB1EA0"/>
    <w:rsid w:val="04B24D36"/>
    <w:rsid w:val="04C66C1A"/>
    <w:rsid w:val="04D77D62"/>
    <w:rsid w:val="04EF43C5"/>
    <w:rsid w:val="04FB3160"/>
    <w:rsid w:val="0516459B"/>
    <w:rsid w:val="054F6C10"/>
    <w:rsid w:val="055741C6"/>
    <w:rsid w:val="05742AC8"/>
    <w:rsid w:val="05F45A09"/>
    <w:rsid w:val="06165D7B"/>
    <w:rsid w:val="06352F05"/>
    <w:rsid w:val="063E7D85"/>
    <w:rsid w:val="065C724C"/>
    <w:rsid w:val="06695AAF"/>
    <w:rsid w:val="069A7E4C"/>
    <w:rsid w:val="06CD10FE"/>
    <w:rsid w:val="06F07F7E"/>
    <w:rsid w:val="06FF2A0E"/>
    <w:rsid w:val="070875E0"/>
    <w:rsid w:val="071579E5"/>
    <w:rsid w:val="07283BBC"/>
    <w:rsid w:val="07293586"/>
    <w:rsid w:val="07295285"/>
    <w:rsid w:val="073A073D"/>
    <w:rsid w:val="074A3B33"/>
    <w:rsid w:val="074B091C"/>
    <w:rsid w:val="075A189C"/>
    <w:rsid w:val="07686B51"/>
    <w:rsid w:val="076F58C7"/>
    <w:rsid w:val="07770C56"/>
    <w:rsid w:val="07B80092"/>
    <w:rsid w:val="082E269B"/>
    <w:rsid w:val="084F6F27"/>
    <w:rsid w:val="086C1887"/>
    <w:rsid w:val="089839BA"/>
    <w:rsid w:val="08B64B4E"/>
    <w:rsid w:val="08BF4B31"/>
    <w:rsid w:val="08DA7138"/>
    <w:rsid w:val="08F31FA8"/>
    <w:rsid w:val="08F46E53"/>
    <w:rsid w:val="09047D11"/>
    <w:rsid w:val="092217DD"/>
    <w:rsid w:val="093A7294"/>
    <w:rsid w:val="09436A8B"/>
    <w:rsid w:val="094945BC"/>
    <w:rsid w:val="09714A3F"/>
    <w:rsid w:val="09815806"/>
    <w:rsid w:val="098812EC"/>
    <w:rsid w:val="09907166"/>
    <w:rsid w:val="09A432A2"/>
    <w:rsid w:val="09B434E5"/>
    <w:rsid w:val="09BF1E8A"/>
    <w:rsid w:val="09DC47EA"/>
    <w:rsid w:val="09EF451D"/>
    <w:rsid w:val="09FC6C3A"/>
    <w:rsid w:val="0A005C69"/>
    <w:rsid w:val="0A1A3D63"/>
    <w:rsid w:val="0A312D88"/>
    <w:rsid w:val="0A462F19"/>
    <w:rsid w:val="0A4A5BF8"/>
    <w:rsid w:val="0A780920"/>
    <w:rsid w:val="0AB87005"/>
    <w:rsid w:val="0AC413A1"/>
    <w:rsid w:val="0AEB73DB"/>
    <w:rsid w:val="0AEE0C79"/>
    <w:rsid w:val="0B016BFE"/>
    <w:rsid w:val="0B095AB3"/>
    <w:rsid w:val="0B0F5F63"/>
    <w:rsid w:val="0B147924"/>
    <w:rsid w:val="0B1B7594"/>
    <w:rsid w:val="0B266665"/>
    <w:rsid w:val="0B8E5FB8"/>
    <w:rsid w:val="0BA8707A"/>
    <w:rsid w:val="0BB35A1E"/>
    <w:rsid w:val="0BD27BF6"/>
    <w:rsid w:val="0BEA08AF"/>
    <w:rsid w:val="0C136F1A"/>
    <w:rsid w:val="0C193B0A"/>
    <w:rsid w:val="0C2A5CE1"/>
    <w:rsid w:val="0C405230"/>
    <w:rsid w:val="0C6801AB"/>
    <w:rsid w:val="0C863D4E"/>
    <w:rsid w:val="0C937D2A"/>
    <w:rsid w:val="0CCE280B"/>
    <w:rsid w:val="0CD02B0D"/>
    <w:rsid w:val="0D0E115E"/>
    <w:rsid w:val="0D197B03"/>
    <w:rsid w:val="0D44139E"/>
    <w:rsid w:val="0D4F1B70"/>
    <w:rsid w:val="0D5325AD"/>
    <w:rsid w:val="0D915F5A"/>
    <w:rsid w:val="0DC8047D"/>
    <w:rsid w:val="0DE325EB"/>
    <w:rsid w:val="0DEB0D88"/>
    <w:rsid w:val="0E110D06"/>
    <w:rsid w:val="0E1540A4"/>
    <w:rsid w:val="0E174856"/>
    <w:rsid w:val="0E19600D"/>
    <w:rsid w:val="0E2055ED"/>
    <w:rsid w:val="0E401CB6"/>
    <w:rsid w:val="0E683915"/>
    <w:rsid w:val="0EA63908"/>
    <w:rsid w:val="0EB56620"/>
    <w:rsid w:val="0EC046DA"/>
    <w:rsid w:val="0F13775A"/>
    <w:rsid w:val="0F3B0205"/>
    <w:rsid w:val="0F4E618A"/>
    <w:rsid w:val="0F9A112B"/>
    <w:rsid w:val="0FBA55CD"/>
    <w:rsid w:val="0FDA17CC"/>
    <w:rsid w:val="0FDD2C2E"/>
    <w:rsid w:val="10330CA8"/>
    <w:rsid w:val="106D2F64"/>
    <w:rsid w:val="108A2661"/>
    <w:rsid w:val="10B63710"/>
    <w:rsid w:val="10E147FA"/>
    <w:rsid w:val="11020FDA"/>
    <w:rsid w:val="1111746F"/>
    <w:rsid w:val="111C2F7A"/>
    <w:rsid w:val="113013DE"/>
    <w:rsid w:val="11561326"/>
    <w:rsid w:val="1182036D"/>
    <w:rsid w:val="11BB7D3E"/>
    <w:rsid w:val="11F052D6"/>
    <w:rsid w:val="11F76665"/>
    <w:rsid w:val="11FA7F03"/>
    <w:rsid w:val="121216F1"/>
    <w:rsid w:val="12130FC5"/>
    <w:rsid w:val="121865DB"/>
    <w:rsid w:val="121C60CC"/>
    <w:rsid w:val="122B06C2"/>
    <w:rsid w:val="122D1BFA"/>
    <w:rsid w:val="123F4D19"/>
    <w:rsid w:val="128B4FFF"/>
    <w:rsid w:val="12B072B1"/>
    <w:rsid w:val="13180F89"/>
    <w:rsid w:val="132D60B6"/>
    <w:rsid w:val="133438E9"/>
    <w:rsid w:val="134268AC"/>
    <w:rsid w:val="13482EF0"/>
    <w:rsid w:val="137D46FB"/>
    <w:rsid w:val="13951726"/>
    <w:rsid w:val="13A4281C"/>
    <w:rsid w:val="13C124B4"/>
    <w:rsid w:val="13C3525B"/>
    <w:rsid w:val="13C50286"/>
    <w:rsid w:val="13E6261C"/>
    <w:rsid w:val="14002D52"/>
    <w:rsid w:val="140137CB"/>
    <w:rsid w:val="14396509"/>
    <w:rsid w:val="143C0CA7"/>
    <w:rsid w:val="1447165C"/>
    <w:rsid w:val="145B443A"/>
    <w:rsid w:val="147D6BCA"/>
    <w:rsid w:val="148857B4"/>
    <w:rsid w:val="14925EB9"/>
    <w:rsid w:val="14AD3953"/>
    <w:rsid w:val="14B13FE7"/>
    <w:rsid w:val="14EC447B"/>
    <w:rsid w:val="14EF7AC7"/>
    <w:rsid w:val="15015A4D"/>
    <w:rsid w:val="153A5F77"/>
    <w:rsid w:val="154E7E78"/>
    <w:rsid w:val="155344FA"/>
    <w:rsid w:val="157106DC"/>
    <w:rsid w:val="158A10C8"/>
    <w:rsid w:val="15915022"/>
    <w:rsid w:val="15950E7A"/>
    <w:rsid w:val="159E329B"/>
    <w:rsid w:val="15A66043"/>
    <w:rsid w:val="15EA64E1"/>
    <w:rsid w:val="15F07F9B"/>
    <w:rsid w:val="16021A3F"/>
    <w:rsid w:val="163637C6"/>
    <w:rsid w:val="1651030E"/>
    <w:rsid w:val="16545020"/>
    <w:rsid w:val="16691AFB"/>
    <w:rsid w:val="16695657"/>
    <w:rsid w:val="16825DB7"/>
    <w:rsid w:val="16B604CD"/>
    <w:rsid w:val="16E64EFA"/>
    <w:rsid w:val="16E80AF2"/>
    <w:rsid w:val="17100944"/>
    <w:rsid w:val="17253C74"/>
    <w:rsid w:val="173C4B1A"/>
    <w:rsid w:val="173F1128"/>
    <w:rsid w:val="17735226"/>
    <w:rsid w:val="179130B8"/>
    <w:rsid w:val="17944956"/>
    <w:rsid w:val="17BB1023"/>
    <w:rsid w:val="17EB2DCD"/>
    <w:rsid w:val="17F42E8A"/>
    <w:rsid w:val="17FF44C5"/>
    <w:rsid w:val="18023FB5"/>
    <w:rsid w:val="18243F2C"/>
    <w:rsid w:val="18856728"/>
    <w:rsid w:val="18A16F02"/>
    <w:rsid w:val="18A40BC9"/>
    <w:rsid w:val="18AE1F8F"/>
    <w:rsid w:val="18D3325C"/>
    <w:rsid w:val="19115359"/>
    <w:rsid w:val="198E795A"/>
    <w:rsid w:val="19B24ABA"/>
    <w:rsid w:val="19E31A91"/>
    <w:rsid w:val="19F543F6"/>
    <w:rsid w:val="19F64488"/>
    <w:rsid w:val="1A0218F0"/>
    <w:rsid w:val="1A143B2C"/>
    <w:rsid w:val="1A1C66C0"/>
    <w:rsid w:val="1A3803EC"/>
    <w:rsid w:val="1A42393B"/>
    <w:rsid w:val="1A4E0043"/>
    <w:rsid w:val="1AFD0A64"/>
    <w:rsid w:val="1B046F80"/>
    <w:rsid w:val="1B062016"/>
    <w:rsid w:val="1B0F4474"/>
    <w:rsid w:val="1B3267B5"/>
    <w:rsid w:val="1B4B0907"/>
    <w:rsid w:val="1B4D19EC"/>
    <w:rsid w:val="1B5C7199"/>
    <w:rsid w:val="1BC25DC8"/>
    <w:rsid w:val="1C4C1CA3"/>
    <w:rsid w:val="1C5E7925"/>
    <w:rsid w:val="1C6C33CB"/>
    <w:rsid w:val="1C760ACE"/>
    <w:rsid w:val="1C766D20"/>
    <w:rsid w:val="1C887FC8"/>
    <w:rsid w:val="1C9911BF"/>
    <w:rsid w:val="1CCF0622"/>
    <w:rsid w:val="1CDC3027"/>
    <w:rsid w:val="1D204952"/>
    <w:rsid w:val="1D384850"/>
    <w:rsid w:val="1D3E74D0"/>
    <w:rsid w:val="1D5F6196"/>
    <w:rsid w:val="1D6132A5"/>
    <w:rsid w:val="1D7C2A4E"/>
    <w:rsid w:val="1D7E7C3A"/>
    <w:rsid w:val="1D8E56D5"/>
    <w:rsid w:val="1DA11B7B"/>
    <w:rsid w:val="1DBA49EB"/>
    <w:rsid w:val="1DC97760"/>
    <w:rsid w:val="1E016AF0"/>
    <w:rsid w:val="1E061495"/>
    <w:rsid w:val="1E110AAE"/>
    <w:rsid w:val="1E1D38F7"/>
    <w:rsid w:val="1E4C18AC"/>
    <w:rsid w:val="1E5F5CBE"/>
    <w:rsid w:val="1E71779F"/>
    <w:rsid w:val="1E7A43DA"/>
    <w:rsid w:val="1E984D2C"/>
    <w:rsid w:val="1EB277FE"/>
    <w:rsid w:val="1EB475C3"/>
    <w:rsid w:val="1EBA1146"/>
    <w:rsid w:val="1EBB0A1A"/>
    <w:rsid w:val="1ECC2C27"/>
    <w:rsid w:val="1ED8092F"/>
    <w:rsid w:val="1EDD4E34"/>
    <w:rsid w:val="1EE03EC6"/>
    <w:rsid w:val="1EE461C3"/>
    <w:rsid w:val="1EE75CB3"/>
    <w:rsid w:val="1EE91A2B"/>
    <w:rsid w:val="1EEB597E"/>
    <w:rsid w:val="1EF5217E"/>
    <w:rsid w:val="1EFD0F8E"/>
    <w:rsid w:val="1F083799"/>
    <w:rsid w:val="1F242A63"/>
    <w:rsid w:val="1F2D0DE4"/>
    <w:rsid w:val="1F2D7B6A"/>
    <w:rsid w:val="1F330EF8"/>
    <w:rsid w:val="1F4153C3"/>
    <w:rsid w:val="1F544598"/>
    <w:rsid w:val="1F58270D"/>
    <w:rsid w:val="1F770DE5"/>
    <w:rsid w:val="1F811C64"/>
    <w:rsid w:val="1FA31BDA"/>
    <w:rsid w:val="1FB57B5F"/>
    <w:rsid w:val="1FBE1BD2"/>
    <w:rsid w:val="1FD71884"/>
    <w:rsid w:val="1FE7539E"/>
    <w:rsid w:val="1FFE1506"/>
    <w:rsid w:val="20580C17"/>
    <w:rsid w:val="20692E24"/>
    <w:rsid w:val="20743577"/>
    <w:rsid w:val="20895274"/>
    <w:rsid w:val="208E1122"/>
    <w:rsid w:val="20963CB8"/>
    <w:rsid w:val="20967991"/>
    <w:rsid w:val="20A02648"/>
    <w:rsid w:val="20B0213D"/>
    <w:rsid w:val="20B07FB6"/>
    <w:rsid w:val="20C0056A"/>
    <w:rsid w:val="20E06E5E"/>
    <w:rsid w:val="210E39CB"/>
    <w:rsid w:val="2114265C"/>
    <w:rsid w:val="21332A32"/>
    <w:rsid w:val="213B74B1"/>
    <w:rsid w:val="21577120"/>
    <w:rsid w:val="215A2310"/>
    <w:rsid w:val="215C14FC"/>
    <w:rsid w:val="21731A80"/>
    <w:rsid w:val="217A2579"/>
    <w:rsid w:val="218826DC"/>
    <w:rsid w:val="21985EFA"/>
    <w:rsid w:val="219D5CF4"/>
    <w:rsid w:val="21D20555"/>
    <w:rsid w:val="21DE318A"/>
    <w:rsid w:val="21EF5B80"/>
    <w:rsid w:val="21F15A87"/>
    <w:rsid w:val="221A4255"/>
    <w:rsid w:val="22330D66"/>
    <w:rsid w:val="2233473F"/>
    <w:rsid w:val="22576990"/>
    <w:rsid w:val="22602004"/>
    <w:rsid w:val="229C4EAB"/>
    <w:rsid w:val="22B4357C"/>
    <w:rsid w:val="22E63D24"/>
    <w:rsid w:val="23007343"/>
    <w:rsid w:val="23014178"/>
    <w:rsid w:val="232F0843"/>
    <w:rsid w:val="23580B09"/>
    <w:rsid w:val="2359436B"/>
    <w:rsid w:val="23693467"/>
    <w:rsid w:val="237D6BE6"/>
    <w:rsid w:val="238A5F5C"/>
    <w:rsid w:val="23A854F7"/>
    <w:rsid w:val="23B0203B"/>
    <w:rsid w:val="23D000D7"/>
    <w:rsid w:val="240D3AC6"/>
    <w:rsid w:val="248B003B"/>
    <w:rsid w:val="24EB2D8B"/>
    <w:rsid w:val="24F42720"/>
    <w:rsid w:val="25050C41"/>
    <w:rsid w:val="252D53FE"/>
    <w:rsid w:val="25407ECB"/>
    <w:rsid w:val="25824E1D"/>
    <w:rsid w:val="25AC5561"/>
    <w:rsid w:val="25C805EC"/>
    <w:rsid w:val="25EC2D81"/>
    <w:rsid w:val="25F56F08"/>
    <w:rsid w:val="26081B3A"/>
    <w:rsid w:val="26223B77"/>
    <w:rsid w:val="26307F40"/>
    <w:rsid w:val="264528BD"/>
    <w:rsid w:val="265A4FBD"/>
    <w:rsid w:val="26604E2D"/>
    <w:rsid w:val="266B0F78"/>
    <w:rsid w:val="2677791D"/>
    <w:rsid w:val="269A360B"/>
    <w:rsid w:val="26FB22FC"/>
    <w:rsid w:val="27003DB6"/>
    <w:rsid w:val="27090058"/>
    <w:rsid w:val="271A19AB"/>
    <w:rsid w:val="272E1D91"/>
    <w:rsid w:val="273B34AE"/>
    <w:rsid w:val="275D4D64"/>
    <w:rsid w:val="277E4600"/>
    <w:rsid w:val="2786250D"/>
    <w:rsid w:val="278C42F2"/>
    <w:rsid w:val="278F0C96"/>
    <w:rsid w:val="27A24E6D"/>
    <w:rsid w:val="27AC1848"/>
    <w:rsid w:val="27C92CE4"/>
    <w:rsid w:val="27D15DD1"/>
    <w:rsid w:val="27DA60A6"/>
    <w:rsid w:val="27E7184E"/>
    <w:rsid w:val="281F201A"/>
    <w:rsid w:val="28277120"/>
    <w:rsid w:val="282B6C11"/>
    <w:rsid w:val="28305FD5"/>
    <w:rsid w:val="284D302B"/>
    <w:rsid w:val="286640ED"/>
    <w:rsid w:val="28996270"/>
    <w:rsid w:val="28A76295"/>
    <w:rsid w:val="28B60BD0"/>
    <w:rsid w:val="28CA0E3C"/>
    <w:rsid w:val="28D728F5"/>
    <w:rsid w:val="28EF4F44"/>
    <w:rsid w:val="29037B8D"/>
    <w:rsid w:val="2918762D"/>
    <w:rsid w:val="2920429C"/>
    <w:rsid w:val="29206EB8"/>
    <w:rsid w:val="29620D93"/>
    <w:rsid w:val="298068D7"/>
    <w:rsid w:val="29977B6E"/>
    <w:rsid w:val="29982421"/>
    <w:rsid w:val="29D4692F"/>
    <w:rsid w:val="29D55C79"/>
    <w:rsid w:val="29E325E0"/>
    <w:rsid w:val="29E84D31"/>
    <w:rsid w:val="29F01EC0"/>
    <w:rsid w:val="29F319B0"/>
    <w:rsid w:val="2A452503"/>
    <w:rsid w:val="2A585CB7"/>
    <w:rsid w:val="2A6D1762"/>
    <w:rsid w:val="2A895E70"/>
    <w:rsid w:val="2A9626BA"/>
    <w:rsid w:val="2A985605"/>
    <w:rsid w:val="2A9E191C"/>
    <w:rsid w:val="2AF43C32"/>
    <w:rsid w:val="2AFC7EAC"/>
    <w:rsid w:val="2B0E0C1D"/>
    <w:rsid w:val="2B165956"/>
    <w:rsid w:val="2B6F5066"/>
    <w:rsid w:val="2B9E7C80"/>
    <w:rsid w:val="2BA936A8"/>
    <w:rsid w:val="2BAC1E16"/>
    <w:rsid w:val="2BC2163A"/>
    <w:rsid w:val="2BE768C4"/>
    <w:rsid w:val="2BE94499"/>
    <w:rsid w:val="2C002162"/>
    <w:rsid w:val="2C2916B9"/>
    <w:rsid w:val="2C315A5A"/>
    <w:rsid w:val="2C332538"/>
    <w:rsid w:val="2C7F31B6"/>
    <w:rsid w:val="2C932FD6"/>
    <w:rsid w:val="2CF9108B"/>
    <w:rsid w:val="2D0D0FDB"/>
    <w:rsid w:val="2D1063D5"/>
    <w:rsid w:val="2D1265F1"/>
    <w:rsid w:val="2D2C76B3"/>
    <w:rsid w:val="2D37105B"/>
    <w:rsid w:val="2D377E06"/>
    <w:rsid w:val="2D5B685D"/>
    <w:rsid w:val="2D665D02"/>
    <w:rsid w:val="2D71156A"/>
    <w:rsid w:val="2D962D7E"/>
    <w:rsid w:val="2D9E56F5"/>
    <w:rsid w:val="2DA234EC"/>
    <w:rsid w:val="2DBB4A81"/>
    <w:rsid w:val="2DE806A9"/>
    <w:rsid w:val="2DFD4736"/>
    <w:rsid w:val="2E1229B3"/>
    <w:rsid w:val="2E41718E"/>
    <w:rsid w:val="2E5A0250"/>
    <w:rsid w:val="2E61338C"/>
    <w:rsid w:val="2E667F96"/>
    <w:rsid w:val="2E8226AB"/>
    <w:rsid w:val="2E8E6ACF"/>
    <w:rsid w:val="2E932CFE"/>
    <w:rsid w:val="2EE61AE3"/>
    <w:rsid w:val="2EF702B4"/>
    <w:rsid w:val="2F2635FE"/>
    <w:rsid w:val="2F464330"/>
    <w:rsid w:val="2F662C24"/>
    <w:rsid w:val="2F6C253D"/>
    <w:rsid w:val="2F7E1D1C"/>
    <w:rsid w:val="2F832C79"/>
    <w:rsid w:val="2F9652B7"/>
    <w:rsid w:val="2FAD2601"/>
    <w:rsid w:val="2FBB6D76"/>
    <w:rsid w:val="2FCD1DB8"/>
    <w:rsid w:val="2FDE27BA"/>
    <w:rsid w:val="2FE029D7"/>
    <w:rsid w:val="2FEF2D58"/>
    <w:rsid w:val="2FF50493"/>
    <w:rsid w:val="2FFD70E5"/>
    <w:rsid w:val="30142680"/>
    <w:rsid w:val="301C571D"/>
    <w:rsid w:val="30580BC9"/>
    <w:rsid w:val="305F7D9F"/>
    <w:rsid w:val="308A649E"/>
    <w:rsid w:val="30AA08EF"/>
    <w:rsid w:val="31126BC0"/>
    <w:rsid w:val="311E2ED7"/>
    <w:rsid w:val="315C449C"/>
    <w:rsid w:val="315C4898"/>
    <w:rsid w:val="31660CB9"/>
    <w:rsid w:val="31821B16"/>
    <w:rsid w:val="319D4954"/>
    <w:rsid w:val="31B82709"/>
    <w:rsid w:val="31CE1103"/>
    <w:rsid w:val="320A3D3B"/>
    <w:rsid w:val="322272D6"/>
    <w:rsid w:val="32400B34"/>
    <w:rsid w:val="327C2A2F"/>
    <w:rsid w:val="327F64D7"/>
    <w:rsid w:val="328E702F"/>
    <w:rsid w:val="329E6876"/>
    <w:rsid w:val="32D57EA5"/>
    <w:rsid w:val="32E44445"/>
    <w:rsid w:val="32F00525"/>
    <w:rsid w:val="32F72511"/>
    <w:rsid w:val="32F779F2"/>
    <w:rsid w:val="33024A12"/>
    <w:rsid w:val="332858A6"/>
    <w:rsid w:val="335A65FC"/>
    <w:rsid w:val="33A06705"/>
    <w:rsid w:val="33AE550F"/>
    <w:rsid w:val="33C01016"/>
    <w:rsid w:val="33CD2792"/>
    <w:rsid w:val="33D934D4"/>
    <w:rsid w:val="33FE2F6A"/>
    <w:rsid w:val="34A51AF9"/>
    <w:rsid w:val="34C93A39"/>
    <w:rsid w:val="351077FE"/>
    <w:rsid w:val="35494B7A"/>
    <w:rsid w:val="35B30245"/>
    <w:rsid w:val="36074A7F"/>
    <w:rsid w:val="360B1E2F"/>
    <w:rsid w:val="364376D7"/>
    <w:rsid w:val="36767BF1"/>
    <w:rsid w:val="368F0CB2"/>
    <w:rsid w:val="36923549"/>
    <w:rsid w:val="36B75FBF"/>
    <w:rsid w:val="36C473E6"/>
    <w:rsid w:val="36FB4891"/>
    <w:rsid w:val="371F5B92"/>
    <w:rsid w:val="3778498B"/>
    <w:rsid w:val="379245B6"/>
    <w:rsid w:val="379C3687"/>
    <w:rsid w:val="37A83DDA"/>
    <w:rsid w:val="37B3277F"/>
    <w:rsid w:val="37BE184F"/>
    <w:rsid w:val="37F731B1"/>
    <w:rsid w:val="37F94635"/>
    <w:rsid w:val="37FF7772"/>
    <w:rsid w:val="380B6117"/>
    <w:rsid w:val="381C4440"/>
    <w:rsid w:val="388840FD"/>
    <w:rsid w:val="388A1731"/>
    <w:rsid w:val="38B226C5"/>
    <w:rsid w:val="38B7004D"/>
    <w:rsid w:val="38D64977"/>
    <w:rsid w:val="38F12CD3"/>
    <w:rsid w:val="38F94775"/>
    <w:rsid w:val="390C65EA"/>
    <w:rsid w:val="391B15A6"/>
    <w:rsid w:val="392735A7"/>
    <w:rsid w:val="39292CF8"/>
    <w:rsid w:val="392971ED"/>
    <w:rsid w:val="3937116F"/>
    <w:rsid w:val="396F26D5"/>
    <w:rsid w:val="3971469F"/>
    <w:rsid w:val="397D3044"/>
    <w:rsid w:val="398443D3"/>
    <w:rsid w:val="398E0DAD"/>
    <w:rsid w:val="398E6FFF"/>
    <w:rsid w:val="39DA652D"/>
    <w:rsid w:val="3A1A4D37"/>
    <w:rsid w:val="3AA50AA5"/>
    <w:rsid w:val="3AD03C56"/>
    <w:rsid w:val="3AEA295B"/>
    <w:rsid w:val="3AEE41FA"/>
    <w:rsid w:val="3AFE0F0A"/>
    <w:rsid w:val="3B1672AC"/>
    <w:rsid w:val="3B1973B9"/>
    <w:rsid w:val="3B3763D1"/>
    <w:rsid w:val="3B47390A"/>
    <w:rsid w:val="3B622117"/>
    <w:rsid w:val="3B660234"/>
    <w:rsid w:val="3BD26B57"/>
    <w:rsid w:val="3BE57320"/>
    <w:rsid w:val="3BE75ADC"/>
    <w:rsid w:val="3BEC1335"/>
    <w:rsid w:val="3BFC4E0F"/>
    <w:rsid w:val="3C044C13"/>
    <w:rsid w:val="3C1D466B"/>
    <w:rsid w:val="3C2D67B7"/>
    <w:rsid w:val="3C6A521D"/>
    <w:rsid w:val="3C7E335B"/>
    <w:rsid w:val="3C814BF9"/>
    <w:rsid w:val="3C9031B9"/>
    <w:rsid w:val="3CA1413F"/>
    <w:rsid w:val="3CCA2A44"/>
    <w:rsid w:val="3CDA245A"/>
    <w:rsid w:val="3CEE0A37"/>
    <w:rsid w:val="3D2678E9"/>
    <w:rsid w:val="3D6330A6"/>
    <w:rsid w:val="3D9433AD"/>
    <w:rsid w:val="3DA54918"/>
    <w:rsid w:val="3DB06507"/>
    <w:rsid w:val="3DB73C74"/>
    <w:rsid w:val="3DB92068"/>
    <w:rsid w:val="3DBE3CBE"/>
    <w:rsid w:val="3DF1139C"/>
    <w:rsid w:val="3E2D328B"/>
    <w:rsid w:val="3E502AD5"/>
    <w:rsid w:val="3E5720B6"/>
    <w:rsid w:val="3E6D7B2B"/>
    <w:rsid w:val="3E815B29"/>
    <w:rsid w:val="3E9A2C90"/>
    <w:rsid w:val="3EAF3CA0"/>
    <w:rsid w:val="3ECF4C3A"/>
    <w:rsid w:val="3F0B4D80"/>
    <w:rsid w:val="3F10721A"/>
    <w:rsid w:val="3F1461F9"/>
    <w:rsid w:val="3F1E7077"/>
    <w:rsid w:val="3F660E74"/>
    <w:rsid w:val="3F9D4347"/>
    <w:rsid w:val="3F9E5AC2"/>
    <w:rsid w:val="3FAB02CF"/>
    <w:rsid w:val="3FFF0C57"/>
    <w:rsid w:val="400841F3"/>
    <w:rsid w:val="40167D4F"/>
    <w:rsid w:val="401C35B7"/>
    <w:rsid w:val="40250E1A"/>
    <w:rsid w:val="40603B42"/>
    <w:rsid w:val="407A6407"/>
    <w:rsid w:val="40FE4A6B"/>
    <w:rsid w:val="4101455B"/>
    <w:rsid w:val="41141C0E"/>
    <w:rsid w:val="41216845"/>
    <w:rsid w:val="41380DD0"/>
    <w:rsid w:val="41557260"/>
    <w:rsid w:val="416F39A6"/>
    <w:rsid w:val="41AC44C7"/>
    <w:rsid w:val="41EA0655"/>
    <w:rsid w:val="4214206C"/>
    <w:rsid w:val="421D53C4"/>
    <w:rsid w:val="422C0D6E"/>
    <w:rsid w:val="423A3BCC"/>
    <w:rsid w:val="423B3A9C"/>
    <w:rsid w:val="42537038"/>
    <w:rsid w:val="42EA3629"/>
    <w:rsid w:val="432C3C67"/>
    <w:rsid w:val="433A4ADA"/>
    <w:rsid w:val="433A6FE6"/>
    <w:rsid w:val="433F29C9"/>
    <w:rsid w:val="4350713C"/>
    <w:rsid w:val="436653E0"/>
    <w:rsid w:val="43686B13"/>
    <w:rsid w:val="43A0005B"/>
    <w:rsid w:val="43A35D9D"/>
    <w:rsid w:val="43A7763B"/>
    <w:rsid w:val="44012BB3"/>
    <w:rsid w:val="44206155"/>
    <w:rsid w:val="445175A7"/>
    <w:rsid w:val="446167C9"/>
    <w:rsid w:val="44A771C7"/>
    <w:rsid w:val="44B63493"/>
    <w:rsid w:val="44C361AF"/>
    <w:rsid w:val="44CD14E0"/>
    <w:rsid w:val="44DF60B2"/>
    <w:rsid w:val="44E3578C"/>
    <w:rsid w:val="44E73A68"/>
    <w:rsid w:val="44EB3558"/>
    <w:rsid w:val="45101210"/>
    <w:rsid w:val="453451D6"/>
    <w:rsid w:val="456450B8"/>
    <w:rsid w:val="456D21BF"/>
    <w:rsid w:val="457E7663"/>
    <w:rsid w:val="458946E9"/>
    <w:rsid w:val="45B01292"/>
    <w:rsid w:val="45BB7C4B"/>
    <w:rsid w:val="45FB17C3"/>
    <w:rsid w:val="468E063F"/>
    <w:rsid w:val="469A3487"/>
    <w:rsid w:val="469D2F78"/>
    <w:rsid w:val="46AC6D17"/>
    <w:rsid w:val="46B745AC"/>
    <w:rsid w:val="46C44060"/>
    <w:rsid w:val="46C92BBE"/>
    <w:rsid w:val="46D955A7"/>
    <w:rsid w:val="46DE2034"/>
    <w:rsid w:val="47013FF5"/>
    <w:rsid w:val="47133957"/>
    <w:rsid w:val="47220C0D"/>
    <w:rsid w:val="475E6263"/>
    <w:rsid w:val="4779329E"/>
    <w:rsid w:val="4792415F"/>
    <w:rsid w:val="47A07E0C"/>
    <w:rsid w:val="47BB36B5"/>
    <w:rsid w:val="47C3362C"/>
    <w:rsid w:val="47D567FA"/>
    <w:rsid w:val="47E726FC"/>
    <w:rsid w:val="47F37F2E"/>
    <w:rsid w:val="47FE7A46"/>
    <w:rsid w:val="481A73A5"/>
    <w:rsid w:val="482F08C2"/>
    <w:rsid w:val="484336AB"/>
    <w:rsid w:val="48480CC1"/>
    <w:rsid w:val="4870272E"/>
    <w:rsid w:val="48A44149"/>
    <w:rsid w:val="48C26CC5"/>
    <w:rsid w:val="48DF33D4"/>
    <w:rsid w:val="49046F41"/>
    <w:rsid w:val="49057CCB"/>
    <w:rsid w:val="490C1CEF"/>
    <w:rsid w:val="490D3CE5"/>
    <w:rsid w:val="49125EA8"/>
    <w:rsid w:val="491C524B"/>
    <w:rsid w:val="49296D45"/>
    <w:rsid w:val="4933371F"/>
    <w:rsid w:val="494B2817"/>
    <w:rsid w:val="49517AAE"/>
    <w:rsid w:val="496E6505"/>
    <w:rsid w:val="49804BB7"/>
    <w:rsid w:val="49AE40A6"/>
    <w:rsid w:val="49B02FC2"/>
    <w:rsid w:val="49D722FD"/>
    <w:rsid w:val="49DC7715"/>
    <w:rsid w:val="49F654BE"/>
    <w:rsid w:val="4A023139"/>
    <w:rsid w:val="4A037171"/>
    <w:rsid w:val="4A2C656F"/>
    <w:rsid w:val="4A365A83"/>
    <w:rsid w:val="4A404B5F"/>
    <w:rsid w:val="4A4F27DB"/>
    <w:rsid w:val="4A5B2F2E"/>
    <w:rsid w:val="4A7162AD"/>
    <w:rsid w:val="4A730A99"/>
    <w:rsid w:val="4A7B576F"/>
    <w:rsid w:val="4A846FEF"/>
    <w:rsid w:val="4A9F106C"/>
    <w:rsid w:val="4AD21B80"/>
    <w:rsid w:val="4AF227E7"/>
    <w:rsid w:val="4B0A7F0C"/>
    <w:rsid w:val="4B264B86"/>
    <w:rsid w:val="4B2F2A7D"/>
    <w:rsid w:val="4B58746D"/>
    <w:rsid w:val="4B6127C6"/>
    <w:rsid w:val="4B685F7F"/>
    <w:rsid w:val="4B711F7C"/>
    <w:rsid w:val="4B840952"/>
    <w:rsid w:val="4B870CDF"/>
    <w:rsid w:val="4B8B339F"/>
    <w:rsid w:val="4B8D35BB"/>
    <w:rsid w:val="4BA9153A"/>
    <w:rsid w:val="4BB943B0"/>
    <w:rsid w:val="4BD016F9"/>
    <w:rsid w:val="4C04042C"/>
    <w:rsid w:val="4C4A0649"/>
    <w:rsid w:val="4C520360"/>
    <w:rsid w:val="4C6562E6"/>
    <w:rsid w:val="4C7958ED"/>
    <w:rsid w:val="4C9E5354"/>
    <w:rsid w:val="4CA02D60"/>
    <w:rsid w:val="4CA23FDA"/>
    <w:rsid w:val="4CB9218D"/>
    <w:rsid w:val="4CBD7ED0"/>
    <w:rsid w:val="4CC56D84"/>
    <w:rsid w:val="4CC86E8C"/>
    <w:rsid w:val="4CE470D3"/>
    <w:rsid w:val="4CE74F4D"/>
    <w:rsid w:val="4D2C295F"/>
    <w:rsid w:val="4D445EFB"/>
    <w:rsid w:val="4D493511"/>
    <w:rsid w:val="4D4C3002"/>
    <w:rsid w:val="4D6843C3"/>
    <w:rsid w:val="4D7804DD"/>
    <w:rsid w:val="4D7B064A"/>
    <w:rsid w:val="4D8D00AA"/>
    <w:rsid w:val="4DBA2CE8"/>
    <w:rsid w:val="4DBF76B0"/>
    <w:rsid w:val="4DD0778F"/>
    <w:rsid w:val="4DDF1499"/>
    <w:rsid w:val="4DE65204"/>
    <w:rsid w:val="4DEA1F48"/>
    <w:rsid w:val="4DEC4FB0"/>
    <w:rsid w:val="4E075D8A"/>
    <w:rsid w:val="4E1121A5"/>
    <w:rsid w:val="4E165666"/>
    <w:rsid w:val="4E9A730F"/>
    <w:rsid w:val="4EC45545"/>
    <w:rsid w:val="4ED96B17"/>
    <w:rsid w:val="4EFE20DA"/>
    <w:rsid w:val="4F082F58"/>
    <w:rsid w:val="4F0A6CD0"/>
    <w:rsid w:val="4F6B5360"/>
    <w:rsid w:val="4F7A0475"/>
    <w:rsid w:val="4F8B1BBF"/>
    <w:rsid w:val="4F985E83"/>
    <w:rsid w:val="4FA964E9"/>
    <w:rsid w:val="4FC62A8C"/>
    <w:rsid w:val="4FCD0EBF"/>
    <w:rsid w:val="4FD572DE"/>
    <w:rsid w:val="4FE20F0D"/>
    <w:rsid w:val="500F02A9"/>
    <w:rsid w:val="50211F68"/>
    <w:rsid w:val="50412BC6"/>
    <w:rsid w:val="504C41C9"/>
    <w:rsid w:val="50504C4B"/>
    <w:rsid w:val="5058046B"/>
    <w:rsid w:val="50830AE8"/>
    <w:rsid w:val="50936F97"/>
    <w:rsid w:val="509C6E7C"/>
    <w:rsid w:val="50AA076B"/>
    <w:rsid w:val="50AB0B68"/>
    <w:rsid w:val="50B52C6C"/>
    <w:rsid w:val="50BB4726"/>
    <w:rsid w:val="50FA2CEF"/>
    <w:rsid w:val="510F6820"/>
    <w:rsid w:val="512407D5"/>
    <w:rsid w:val="51340035"/>
    <w:rsid w:val="51503D82"/>
    <w:rsid w:val="5154257E"/>
    <w:rsid w:val="5162104E"/>
    <w:rsid w:val="518C7D66"/>
    <w:rsid w:val="519311FF"/>
    <w:rsid w:val="519D5BDA"/>
    <w:rsid w:val="51B33440"/>
    <w:rsid w:val="51BC69A8"/>
    <w:rsid w:val="51E23F34"/>
    <w:rsid w:val="51F31C9E"/>
    <w:rsid w:val="52043EAB"/>
    <w:rsid w:val="52065E75"/>
    <w:rsid w:val="521F6F37"/>
    <w:rsid w:val="522D1654"/>
    <w:rsid w:val="52401445"/>
    <w:rsid w:val="528154FB"/>
    <w:rsid w:val="528559C7"/>
    <w:rsid w:val="52983CFE"/>
    <w:rsid w:val="529C0587"/>
    <w:rsid w:val="52E16EB4"/>
    <w:rsid w:val="52E31902"/>
    <w:rsid w:val="5345477B"/>
    <w:rsid w:val="5349426B"/>
    <w:rsid w:val="53760DD8"/>
    <w:rsid w:val="538A6864"/>
    <w:rsid w:val="53A039CC"/>
    <w:rsid w:val="53A1505A"/>
    <w:rsid w:val="53B4545D"/>
    <w:rsid w:val="53D13102"/>
    <w:rsid w:val="53ED4788"/>
    <w:rsid w:val="53FF2B7C"/>
    <w:rsid w:val="54063E08"/>
    <w:rsid w:val="54273E81"/>
    <w:rsid w:val="5428175B"/>
    <w:rsid w:val="543437E8"/>
    <w:rsid w:val="5445662B"/>
    <w:rsid w:val="544D650E"/>
    <w:rsid w:val="545243EB"/>
    <w:rsid w:val="54532EC8"/>
    <w:rsid w:val="54574766"/>
    <w:rsid w:val="546450D5"/>
    <w:rsid w:val="548804A7"/>
    <w:rsid w:val="549A4A45"/>
    <w:rsid w:val="54B947DB"/>
    <w:rsid w:val="54EA6252"/>
    <w:rsid w:val="54F71DBD"/>
    <w:rsid w:val="552D0716"/>
    <w:rsid w:val="5555739E"/>
    <w:rsid w:val="555D3BAE"/>
    <w:rsid w:val="5560589C"/>
    <w:rsid w:val="55825A02"/>
    <w:rsid w:val="558F0A5E"/>
    <w:rsid w:val="559B174B"/>
    <w:rsid w:val="559E0172"/>
    <w:rsid w:val="55BB5482"/>
    <w:rsid w:val="55CE0CF4"/>
    <w:rsid w:val="55D10548"/>
    <w:rsid w:val="55EB3332"/>
    <w:rsid w:val="56150435"/>
    <w:rsid w:val="56317382"/>
    <w:rsid w:val="56350AD7"/>
    <w:rsid w:val="564E1012"/>
    <w:rsid w:val="56595C72"/>
    <w:rsid w:val="5664316A"/>
    <w:rsid w:val="56966677"/>
    <w:rsid w:val="56B22127"/>
    <w:rsid w:val="56B22A9C"/>
    <w:rsid w:val="57342B3C"/>
    <w:rsid w:val="5738129F"/>
    <w:rsid w:val="57551680"/>
    <w:rsid w:val="57647DAB"/>
    <w:rsid w:val="57730079"/>
    <w:rsid w:val="577D0987"/>
    <w:rsid w:val="578A67C7"/>
    <w:rsid w:val="57B72A76"/>
    <w:rsid w:val="57CD70EC"/>
    <w:rsid w:val="57E00F16"/>
    <w:rsid w:val="57F81466"/>
    <w:rsid w:val="584C0A7F"/>
    <w:rsid w:val="589C27FC"/>
    <w:rsid w:val="58BC103B"/>
    <w:rsid w:val="58CB74D0"/>
    <w:rsid w:val="58CD3249"/>
    <w:rsid w:val="590E1CD0"/>
    <w:rsid w:val="59151B75"/>
    <w:rsid w:val="591C7D2C"/>
    <w:rsid w:val="59957788"/>
    <w:rsid w:val="59B354A3"/>
    <w:rsid w:val="59D14FBA"/>
    <w:rsid w:val="59D40607"/>
    <w:rsid w:val="59D86349"/>
    <w:rsid w:val="59E844D4"/>
    <w:rsid w:val="5A063515"/>
    <w:rsid w:val="5A146C55"/>
    <w:rsid w:val="5A296BA4"/>
    <w:rsid w:val="5A3C747D"/>
    <w:rsid w:val="5A415D88"/>
    <w:rsid w:val="5A4532B2"/>
    <w:rsid w:val="5A67147B"/>
    <w:rsid w:val="5A783D67"/>
    <w:rsid w:val="5A955FE8"/>
    <w:rsid w:val="5AB06754"/>
    <w:rsid w:val="5AB126F6"/>
    <w:rsid w:val="5AB521E6"/>
    <w:rsid w:val="5ABE2233"/>
    <w:rsid w:val="5AD14D2E"/>
    <w:rsid w:val="5AD84127"/>
    <w:rsid w:val="5B0531C5"/>
    <w:rsid w:val="5B276D18"/>
    <w:rsid w:val="5B280461"/>
    <w:rsid w:val="5B6E782E"/>
    <w:rsid w:val="5B70610D"/>
    <w:rsid w:val="5B735F85"/>
    <w:rsid w:val="5BA2287A"/>
    <w:rsid w:val="5BAA7871"/>
    <w:rsid w:val="5BB5713E"/>
    <w:rsid w:val="5BDF5D95"/>
    <w:rsid w:val="5BE10428"/>
    <w:rsid w:val="5BE2700B"/>
    <w:rsid w:val="5BF159B7"/>
    <w:rsid w:val="5BF60DD4"/>
    <w:rsid w:val="5BFB639D"/>
    <w:rsid w:val="5BFE196B"/>
    <w:rsid w:val="5C02145B"/>
    <w:rsid w:val="5C983B6D"/>
    <w:rsid w:val="5C9A78E6"/>
    <w:rsid w:val="5CA249EC"/>
    <w:rsid w:val="5CD1707F"/>
    <w:rsid w:val="5CE96663"/>
    <w:rsid w:val="5CF4729D"/>
    <w:rsid w:val="5D5E11BD"/>
    <w:rsid w:val="5D656145"/>
    <w:rsid w:val="5D6E4FAA"/>
    <w:rsid w:val="5D7E7207"/>
    <w:rsid w:val="5D8B1C82"/>
    <w:rsid w:val="5D91202B"/>
    <w:rsid w:val="5D9D5D96"/>
    <w:rsid w:val="5DA44D9E"/>
    <w:rsid w:val="5DF1611C"/>
    <w:rsid w:val="5DF87A0F"/>
    <w:rsid w:val="5DF9688E"/>
    <w:rsid w:val="5E6F4256"/>
    <w:rsid w:val="5E7A5C21"/>
    <w:rsid w:val="5E895E64"/>
    <w:rsid w:val="5E9B16F3"/>
    <w:rsid w:val="5EA7096F"/>
    <w:rsid w:val="5EB92D8D"/>
    <w:rsid w:val="5EBA22BC"/>
    <w:rsid w:val="5ECB647C"/>
    <w:rsid w:val="5F0C25F1"/>
    <w:rsid w:val="5F19755F"/>
    <w:rsid w:val="5F1A2B43"/>
    <w:rsid w:val="5F296CFF"/>
    <w:rsid w:val="5F3A7093"/>
    <w:rsid w:val="5F4D077E"/>
    <w:rsid w:val="5F767B79"/>
    <w:rsid w:val="5F8A7AED"/>
    <w:rsid w:val="5FB837BB"/>
    <w:rsid w:val="5FF11FF5"/>
    <w:rsid w:val="5FFE63DD"/>
    <w:rsid w:val="600545D2"/>
    <w:rsid w:val="60241C95"/>
    <w:rsid w:val="60251036"/>
    <w:rsid w:val="602C4CF9"/>
    <w:rsid w:val="602F6597"/>
    <w:rsid w:val="603D1CDB"/>
    <w:rsid w:val="604D1DE8"/>
    <w:rsid w:val="604E100D"/>
    <w:rsid w:val="60542E48"/>
    <w:rsid w:val="60B21CCE"/>
    <w:rsid w:val="60B26941"/>
    <w:rsid w:val="60D96503"/>
    <w:rsid w:val="60DF45C1"/>
    <w:rsid w:val="610E0230"/>
    <w:rsid w:val="614E6EF1"/>
    <w:rsid w:val="619A0388"/>
    <w:rsid w:val="61A15272"/>
    <w:rsid w:val="61A82AA5"/>
    <w:rsid w:val="61DB027B"/>
    <w:rsid w:val="6205272F"/>
    <w:rsid w:val="621237CD"/>
    <w:rsid w:val="622158D4"/>
    <w:rsid w:val="62364782"/>
    <w:rsid w:val="62377985"/>
    <w:rsid w:val="624C7DB9"/>
    <w:rsid w:val="624D71A8"/>
    <w:rsid w:val="627B2FD4"/>
    <w:rsid w:val="627E3805"/>
    <w:rsid w:val="628A5135"/>
    <w:rsid w:val="62F31AFE"/>
    <w:rsid w:val="62FF66F4"/>
    <w:rsid w:val="630017A6"/>
    <w:rsid w:val="632768D6"/>
    <w:rsid w:val="63381C06"/>
    <w:rsid w:val="634E31D8"/>
    <w:rsid w:val="63750765"/>
    <w:rsid w:val="63853FE6"/>
    <w:rsid w:val="63C94F54"/>
    <w:rsid w:val="63D40BE9"/>
    <w:rsid w:val="63D77799"/>
    <w:rsid w:val="63E0211F"/>
    <w:rsid w:val="646507D9"/>
    <w:rsid w:val="648A06C4"/>
    <w:rsid w:val="649D6A26"/>
    <w:rsid w:val="64EA5182"/>
    <w:rsid w:val="64EE1473"/>
    <w:rsid w:val="65145C7D"/>
    <w:rsid w:val="65373578"/>
    <w:rsid w:val="655D5954"/>
    <w:rsid w:val="656B0071"/>
    <w:rsid w:val="656E7B61"/>
    <w:rsid w:val="6577793C"/>
    <w:rsid w:val="65882F94"/>
    <w:rsid w:val="658E1FB1"/>
    <w:rsid w:val="65AC068A"/>
    <w:rsid w:val="65B40FA4"/>
    <w:rsid w:val="66091638"/>
    <w:rsid w:val="662F72F1"/>
    <w:rsid w:val="66CB225E"/>
    <w:rsid w:val="66CF2882"/>
    <w:rsid w:val="66E04A8F"/>
    <w:rsid w:val="66F9345B"/>
    <w:rsid w:val="66FC7595"/>
    <w:rsid w:val="671B5AC7"/>
    <w:rsid w:val="673F2C7A"/>
    <w:rsid w:val="67487549"/>
    <w:rsid w:val="675B2367"/>
    <w:rsid w:val="67957627"/>
    <w:rsid w:val="67A930D3"/>
    <w:rsid w:val="67C779FD"/>
    <w:rsid w:val="68195331"/>
    <w:rsid w:val="681F6961"/>
    <w:rsid w:val="68444BA9"/>
    <w:rsid w:val="68610A2F"/>
    <w:rsid w:val="68805514"/>
    <w:rsid w:val="6888718C"/>
    <w:rsid w:val="68890DEB"/>
    <w:rsid w:val="689951C2"/>
    <w:rsid w:val="68A33FC6"/>
    <w:rsid w:val="68B44431"/>
    <w:rsid w:val="68B63CF9"/>
    <w:rsid w:val="68D93544"/>
    <w:rsid w:val="69197DE4"/>
    <w:rsid w:val="69324EAF"/>
    <w:rsid w:val="694E2071"/>
    <w:rsid w:val="695D3AE1"/>
    <w:rsid w:val="697A3B33"/>
    <w:rsid w:val="699E2456"/>
    <w:rsid w:val="69A43B52"/>
    <w:rsid w:val="69C51D1A"/>
    <w:rsid w:val="69EA2868"/>
    <w:rsid w:val="69EE74C3"/>
    <w:rsid w:val="69F67693"/>
    <w:rsid w:val="6A110E0D"/>
    <w:rsid w:val="6A1F767C"/>
    <w:rsid w:val="6A250FCA"/>
    <w:rsid w:val="6A4D243B"/>
    <w:rsid w:val="6A584A5B"/>
    <w:rsid w:val="6A5E1D79"/>
    <w:rsid w:val="6A6329BB"/>
    <w:rsid w:val="6A815C41"/>
    <w:rsid w:val="6A876FCF"/>
    <w:rsid w:val="6A9C6C31"/>
    <w:rsid w:val="6AA543FD"/>
    <w:rsid w:val="6AD22940"/>
    <w:rsid w:val="6AE73500"/>
    <w:rsid w:val="6AE85CC0"/>
    <w:rsid w:val="6AF32753"/>
    <w:rsid w:val="6AFF0859"/>
    <w:rsid w:val="6B322639"/>
    <w:rsid w:val="6B413622"/>
    <w:rsid w:val="6B4849B1"/>
    <w:rsid w:val="6B4A0729"/>
    <w:rsid w:val="6B797260"/>
    <w:rsid w:val="6B7B2FE6"/>
    <w:rsid w:val="6BFD3976"/>
    <w:rsid w:val="6C1F1BB5"/>
    <w:rsid w:val="6C6121CE"/>
    <w:rsid w:val="6C636C38"/>
    <w:rsid w:val="6C8A5A80"/>
    <w:rsid w:val="6CAB169B"/>
    <w:rsid w:val="6CC60283"/>
    <w:rsid w:val="6CCB5899"/>
    <w:rsid w:val="6CD56718"/>
    <w:rsid w:val="6CE66B6E"/>
    <w:rsid w:val="6D105AC9"/>
    <w:rsid w:val="6D1C4347"/>
    <w:rsid w:val="6D237483"/>
    <w:rsid w:val="6D5533B5"/>
    <w:rsid w:val="6D6535F8"/>
    <w:rsid w:val="6D8C5028"/>
    <w:rsid w:val="6DB34098"/>
    <w:rsid w:val="6DB545B6"/>
    <w:rsid w:val="6DBE71AC"/>
    <w:rsid w:val="6E0F12B3"/>
    <w:rsid w:val="6E2A1E71"/>
    <w:rsid w:val="6E3A4A84"/>
    <w:rsid w:val="6E4375A0"/>
    <w:rsid w:val="6E514CED"/>
    <w:rsid w:val="6E79491A"/>
    <w:rsid w:val="6EA6211A"/>
    <w:rsid w:val="6EB563D5"/>
    <w:rsid w:val="6EBD1212"/>
    <w:rsid w:val="6EBE0178"/>
    <w:rsid w:val="6EDF2883"/>
    <w:rsid w:val="6F03756C"/>
    <w:rsid w:val="6F225983"/>
    <w:rsid w:val="6F503588"/>
    <w:rsid w:val="6F7B35A7"/>
    <w:rsid w:val="6F9020FA"/>
    <w:rsid w:val="6F96218E"/>
    <w:rsid w:val="6FB92445"/>
    <w:rsid w:val="6FC56606"/>
    <w:rsid w:val="6FCD7FCE"/>
    <w:rsid w:val="6FF62C2D"/>
    <w:rsid w:val="6FFC5590"/>
    <w:rsid w:val="700D7F77"/>
    <w:rsid w:val="70117A67"/>
    <w:rsid w:val="70141305"/>
    <w:rsid w:val="701B2694"/>
    <w:rsid w:val="70301DA3"/>
    <w:rsid w:val="70383246"/>
    <w:rsid w:val="706D1DD0"/>
    <w:rsid w:val="70856B87"/>
    <w:rsid w:val="708C7130"/>
    <w:rsid w:val="70AF500F"/>
    <w:rsid w:val="70C1148D"/>
    <w:rsid w:val="70D527EE"/>
    <w:rsid w:val="70DA60AB"/>
    <w:rsid w:val="70E334AE"/>
    <w:rsid w:val="70E91FB7"/>
    <w:rsid w:val="70F96E79"/>
    <w:rsid w:val="71086CD0"/>
    <w:rsid w:val="71141580"/>
    <w:rsid w:val="71324139"/>
    <w:rsid w:val="714874B8"/>
    <w:rsid w:val="715B5300"/>
    <w:rsid w:val="715F4BD7"/>
    <w:rsid w:val="71685DAD"/>
    <w:rsid w:val="717007BD"/>
    <w:rsid w:val="717464FF"/>
    <w:rsid w:val="71804EA4"/>
    <w:rsid w:val="718D5813"/>
    <w:rsid w:val="71900429"/>
    <w:rsid w:val="71B608C6"/>
    <w:rsid w:val="71D026D9"/>
    <w:rsid w:val="71D27F8A"/>
    <w:rsid w:val="71F744C6"/>
    <w:rsid w:val="71F960CF"/>
    <w:rsid w:val="72021D5D"/>
    <w:rsid w:val="72110B1B"/>
    <w:rsid w:val="72133417"/>
    <w:rsid w:val="721A22D5"/>
    <w:rsid w:val="721B2E1F"/>
    <w:rsid w:val="72225F5B"/>
    <w:rsid w:val="72275320"/>
    <w:rsid w:val="72323CC5"/>
    <w:rsid w:val="724A7260"/>
    <w:rsid w:val="724E6D50"/>
    <w:rsid w:val="727320AC"/>
    <w:rsid w:val="72745A03"/>
    <w:rsid w:val="72795F02"/>
    <w:rsid w:val="727D22A9"/>
    <w:rsid w:val="72883213"/>
    <w:rsid w:val="7299512B"/>
    <w:rsid w:val="72AE77EF"/>
    <w:rsid w:val="72B1108D"/>
    <w:rsid w:val="72E7797E"/>
    <w:rsid w:val="72FF44EF"/>
    <w:rsid w:val="73123431"/>
    <w:rsid w:val="731F5D5E"/>
    <w:rsid w:val="732B52E4"/>
    <w:rsid w:val="73492B25"/>
    <w:rsid w:val="736B6BED"/>
    <w:rsid w:val="73923704"/>
    <w:rsid w:val="73927111"/>
    <w:rsid w:val="73C44DF0"/>
    <w:rsid w:val="73D57854"/>
    <w:rsid w:val="73E02925"/>
    <w:rsid w:val="73EA36E9"/>
    <w:rsid w:val="73F85D10"/>
    <w:rsid w:val="74030F78"/>
    <w:rsid w:val="741E793C"/>
    <w:rsid w:val="742820B0"/>
    <w:rsid w:val="742E519E"/>
    <w:rsid w:val="74343D24"/>
    <w:rsid w:val="748A428C"/>
    <w:rsid w:val="748C3B60"/>
    <w:rsid w:val="749B2695"/>
    <w:rsid w:val="749E3893"/>
    <w:rsid w:val="74B87FBF"/>
    <w:rsid w:val="74B9247B"/>
    <w:rsid w:val="74DA612B"/>
    <w:rsid w:val="74F33BDF"/>
    <w:rsid w:val="74FF207A"/>
    <w:rsid w:val="752B3379"/>
    <w:rsid w:val="752E2594"/>
    <w:rsid w:val="753D0F89"/>
    <w:rsid w:val="75510906"/>
    <w:rsid w:val="758D75E2"/>
    <w:rsid w:val="75AF5D58"/>
    <w:rsid w:val="75BB607F"/>
    <w:rsid w:val="75D51537"/>
    <w:rsid w:val="760F2C9B"/>
    <w:rsid w:val="761107C1"/>
    <w:rsid w:val="76380353"/>
    <w:rsid w:val="76391AC6"/>
    <w:rsid w:val="76852F5D"/>
    <w:rsid w:val="76A553AD"/>
    <w:rsid w:val="76EC6353"/>
    <w:rsid w:val="77044371"/>
    <w:rsid w:val="771813D9"/>
    <w:rsid w:val="775070C7"/>
    <w:rsid w:val="7751591C"/>
    <w:rsid w:val="77762421"/>
    <w:rsid w:val="777C0999"/>
    <w:rsid w:val="779527D4"/>
    <w:rsid w:val="779F3BAA"/>
    <w:rsid w:val="77A65FD2"/>
    <w:rsid w:val="77B7211F"/>
    <w:rsid w:val="77CE491C"/>
    <w:rsid w:val="78006D3F"/>
    <w:rsid w:val="780F09F4"/>
    <w:rsid w:val="78120820"/>
    <w:rsid w:val="782112DB"/>
    <w:rsid w:val="78211CF7"/>
    <w:rsid w:val="783A02DD"/>
    <w:rsid w:val="785042AA"/>
    <w:rsid w:val="788D7EA7"/>
    <w:rsid w:val="78936CE2"/>
    <w:rsid w:val="789C4F47"/>
    <w:rsid w:val="78A90480"/>
    <w:rsid w:val="78C22246"/>
    <w:rsid w:val="78C4313E"/>
    <w:rsid w:val="78D9133E"/>
    <w:rsid w:val="78DA7183"/>
    <w:rsid w:val="78FB3062"/>
    <w:rsid w:val="79257075"/>
    <w:rsid w:val="792C5782"/>
    <w:rsid w:val="79382508"/>
    <w:rsid w:val="793D7B1F"/>
    <w:rsid w:val="797E31CB"/>
    <w:rsid w:val="79811327"/>
    <w:rsid w:val="798C63B0"/>
    <w:rsid w:val="79B3393D"/>
    <w:rsid w:val="79DE6CE8"/>
    <w:rsid w:val="79E918E4"/>
    <w:rsid w:val="79E955B1"/>
    <w:rsid w:val="7A097A01"/>
    <w:rsid w:val="7A11154B"/>
    <w:rsid w:val="7A24522C"/>
    <w:rsid w:val="7A2C1148"/>
    <w:rsid w:val="7A364017"/>
    <w:rsid w:val="7A6D61E2"/>
    <w:rsid w:val="7A8265E1"/>
    <w:rsid w:val="7A943D7D"/>
    <w:rsid w:val="7A951295"/>
    <w:rsid w:val="7ABB6F4D"/>
    <w:rsid w:val="7AC073DA"/>
    <w:rsid w:val="7AC34054"/>
    <w:rsid w:val="7AC8166A"/>
    <w:rsid w:val="7ACB7AF4"/>
    <w:rsid w:val="7AD24297"/>
    <w:rsid w:val="7AD53507"/>
    <w:rsid w:val="7ADB139D"/>
    <w:rsid w:val="7AE2272C"/>
    <w:rsid w:val="7AF44D2F"/>
    <w:rsid w:val="7B046B46"/>
    <w:rsid w:val="7B372C93"/>
    <w:rsid w:val="7B486307"/>
    <w:rsid w:val="7B686D42"/>
    <w:rsid w:val="7B6D4E13"/>
    <w:rsid w:val="7B711D02"/>
    <w:rsid w:val="7B7517F2"/>
    <w:rsid w:val="7B841746"/>
    <w:rsid w:val="7B914152"/>
    <w:rsid w:val="7BC167E5"/>
    <w:rsid w:val="7BD302C6"/>
    <w:rsid w:val="7BEF4596"/>
    <w:rsid w:val="7BF94817"/>
    <w:rsid w:val="7C0A6CAF"/>
    <w:rsid w:val="7C492337"/>
    <w:rsid w:val="7C574819"/>
    <w:rsid w:val="7C741AA9"/>
    <w:rsid w:val="7CAA7279"/>
    <w:rsid w:val="7CAF5D90"/>
    <w:rsid w:val="7CC76D23"/>
    <w:rsid w:val="7CCB7BCD"/>
    <w:rsid w:val="7CE87DA1"/>
    <w:rsid w:val="7D0239FF"/>
    <w:rsid w:val="7D07647A"/>
    <w:rsid w:val="7D4038DC"/>
    <w:rsid w:val="7D5E40CD"/>
    <w:rsid w:val="7D691CFC"/>
    <w:rsid w:val="7D693BED"/>
    <w:rsid w:val="7D85620F"/>
    <w:rsid w:val="7DA55C93"/>
    <w:rsid w:val="7DB63705"/>
    <w:rsid w:val="7DB859C6"/>
    <w:rsid w:val="7DBA1D35"/>
    <w:rsid w:val="7DE84BDD"/>
    <w:rsid w:val="7DF733F0"/>
    <w:rsid w:val="7E33504C"/>
    <w:rsid w:val="7E3E2FBA"/>
    <w:rsid w:val="7E4F632A"/>
    <w:rsid w:val="7E5C45A3"/>
    <w:rsid w:val="7E807AE8"/>
    <w:rsid w:val="7E844E6B"/>
    <w:rsid w:val="7E8D599A"/>
    <w:rsid w:val="7EE22502"/>
    <w:rsid w:val="7EE73326"/>
    <w:rsid w:val="7F475253"/>
    <w:rsid w:val="7F572FBC"/>
    <w:rsid w:val="7F590AE3"/>
    <w:rsid w:val="7F606315"/>
    <w:rsid w:val="7F6B69CA"/>
    <w:rsid w:val="7F8708ED"/>
    <w:rsid w:val="7F89586C"/>
    <w:rsid w:val="7F967F89"/>
    <w:rsid w:val="7FB140D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iPriority="99" w:semiHidden="0" w:name="index heading"/>
    <w:lsdException w:qFormat="1" w:uiPriority="0" w:name="caption" w:locked="1"/>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qFormat="1"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autoRedefine/>
    <w:qFormat/>
    <w:uiPriority w:val="99"/>
    <w:pPr>
      <w:keepNext/>
      <w:overflowPunct w:val="0"/>
      <w:snapToGrid w:val="0"/>
      <w:spacing w:before="120" w:after="160" w:line="259" w:lineRule="auto"/>
      <w:ind w:left="432" w:hanging="432"/>
      <w:jc w:val="center"/>
      <w:outlineLvl w:val="0"/>
    </w:pPr>
    <w:rPr>
      <w:bCs/>
      <w:color w:val="000000"/>
      <w:kern w:val="44"/>
      <w:sz w:val="30"/>
      <w:szCs w:val="30"/>
    </w:rPr>
  </w:style>
  <w:style w:type="paragraph" w:styleId="4">
    <w:name w:val="heading 2"/>
    <w:basedOn w:val="1"/>
    <w:next w:val="1"/>
    <w:link w:val="43"/>
    <w:autoRedefine/>
    <w:qFormat/>
    <w:locked/>
    <w:uiPriority w:val="0"/>
    <w:pPr>
      <w:keepNext/>
      <w:keepLines/>
      <w:spacing w:before="260" w:after="260" w:line="413" w:lineRule="auto"/>
      <w:outlineLvl w:val="1"/>
    </w:pPr>
    <w:rPr>
      <w:rFonts w:ascii="Arial" w:hAnsi="Arial" w:eastAsia="黑体"/>
      <w:b/>
      <w:bCs/>
      <w:sz w:val="32"/>
      <w:szCs w:val="32"/>
      <w:lang w:val="de-DE"/>
    </w:rPr>
  </w:style>
  <w:style w:type="paragraph" w:styleId="2">
    <w:name w:val="heading 3"/>
    <w:basedOn w:val="1"/>
    <w:next w:val="1"/>
    <w:link w:val="44"/>
    <w:autoRedefine/>
    <w:qFormat/>
    <w:locked/>
    <w:uiPriority w:val="9"/>
    <w:pPr>
      <w:keepNext/>
      <w:keepLines/>
      <w:outlineLvl w:val="2"/>
    </w:pPr>
    <w:rPr>
      <w:b/>
      <w:kern w:val="0"/>
      <w:sz w:val="20"/>
    </w:rPr>
  </w:style>
  <w:style w:type="paragraph" w:styleId="5">
    <w:name w:val="heading 4"/>
    <w:basedOn w:val="1"/>
    <w:next w:val="1"/>
    <w:link w:val="45"/>
    <w:autoRedefine/>
    <w:qFormat/>
    <w:locked/>
    <w:uiPriority w:val="0"/>
    <w:pPr>
      <w:numPr>
        <w:ilvl w:val="3"/>
        <w:numId w:val="1"/>
      </w:numPr>
      <w:outlineLvl w:val="3"/>
    </w:pPr>
    <w:rPr>
      <w:kern w:val="0"/>
      <w:sz w:val="28"/>
      <w:szCs w:val="20"/>
    </w:rPr>
  </w:style>
  <w:style w:type="character" w:default="1" w:styleId="32">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link w:val="46"/>
    <w:autoRedefine/>
    <w:unhideWhenUsed/>
    <w:qFormat/>
    <w:uiPriority w:val="0"/>
    <w:pPr>
      <w:jc w:val="center"/>
    </w:pPr>
    <w:rPr>
      <w:b/>
      <w:kern w:val="0"/>
      <w:sz w:val="20"/>
      <w:szCs w:val="20"/>
    </w:rPr>
  </w:style>
  <w:style w:type="paragraph" w:styleId="7">
    <w:name w:val="Normal Indent"/>
    <w:basedOn w:val="1"/>
    <w:autoRedefine/>
    <w:qFormat/>
    <w:uiPriority w:val="0"/>
    <w:pPr>
      <w:ind w:firstLine="420" w:firstLineChars="200"/>
    </w:pPr>
  </w:style>
  <w:style w:type="paragraph" w:styleId="8">
    <w:name w:val="Document Map"/>
    <w:basedOn w:val="1"/>
    <w:link w:val="47"/>
    <w:autoRedefine/>
    <w:qFormat/>
    <w:uiPriority w:val="0"/>
    <w:rPr>
      <w:rFonts w:ascii="宋体"/>
      <w:sz w:val="18"/>
      <w:szCs w:val="18"/>
    </w:rPr>
  </w:style>
  <w:style w:type="paragraph" w:styleId="9">
    <w:name w:val="annotation text"/>
    <w:basedOn w:val="1"/>
    <w:link w:val="48"/>
    <w:autoRedefine/>
    <w:semiHidden/>
    <w:qFormat/>
    <w:uiPriority w:val="0"/>
    <w:pPr>
      <w:jc w:val="left"/>
    </w:pPr>
    <w:rPr>
      <w:kern w:val="0"/>
      <w:sz w:val="24"/>
      <w:szCs w:val="20"/>
    </w:rPr>
  </w:style>
  <w:style w:type="paragraph" w:styleId="10">
    <w:name w:val="Body Text"/>
    <w:basedOn w:val="1"/>
    <w:next w:val="1"/>
    <w:link w:val="39"/>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link w:val="40"/>
    <w:autoRedefine/>
    <w:semiHidden/>
    <w:qFormat/>
    <w:uiPriority w:val="0"/>
    <w:pPr>
      <w:spacing w:after="120"/>
      <w:ind w:left="420" w:leftChars="200"/>
    </w:pPr>
    <w:rPr>
      <w:kern w:val="0"/>
      <w:sz w:val="24"/>
    </w:rPr>
  </w:style>
  <w:style w:type="paragraph" w:styleId="12">
    <w:name w:val="toc 3"/>
    <w:basedOn w:val="1"/>
    <w:next w:val="1"/>
    <w:autoRedefine/>
    <w:qFormat/>
    <w:locked/>
    <w:uiPriority w:val="39"/>
    <w:pPr>
      <w:ind w:left="840" w:leftChars="400"/>
    </w:pPr>
  </w:style>
  <w:style w:type="paragraph" w:styleId="13">
    <w:name w:val="Plain Text"/>
    <w:basedOn w:val="1"/>
    <w:next w:val="1"/>
    <w:autoRedefine/>
    <w:qFormat/>
    <w:uiPriority w:val="0"/>
    <w:rPr>
      <w:rFonts w:ascii="宋体" w:hAnsi="Courier New" w:cs="Courier New"/>
      <w:szCs w:val="21"/>
    </w:rPr>
  </w:style>
  <w:style w:type="paragraph" w:styleId="14">
    <w:name w:val="Date"/>
    <w:basedOn w:val="1"/>
    <w:next w:val="1"/>
    <w:link w:val="49"/>
    <w:autoRedefine/>
    <w:qFormat/>
    <w:uiPriority w:val="0"/>
    <w:pPr>
      <w:ind w:left="100" w:leftChars="2500"/>
    </w:pPr>
    <w:rPr>
      <w:kern w:val="0"/>
      <w:sz w:val="24"/>
      <w:szCs w:val="20"/>
    </w:rPr>
  </w:style>
  <w:style w:type="paragraph" w:styleId="15">
    <w:name w:val="Body Text Indent 2"/>
    <w:basedOn w:val="1"/>
    <w:link w:val="50"/>
    <w:autoRedefine/>
    <w:qFormat/>
    <w:uiPriority w:val="0"/>
    <w:pPr>
      <w:spacing w:after="120" w:line="480" w:lineRule="auto"/>
      <w:ind w:left="420" w:leftChars="200"/>
    </w:pPr>
  </w:style>
  <w:style w:type="paragraph" w:styleId="16">
    <w:name w:val="Balloon Text"/>
    <w:basedOn w:val="1"/>
    <w:link w:val="51"/>
    <w:autoRedefine/>
    <w:semiHidden/>
    <w:qFormat/>
    <w:uiPriority w:val="0"/>
    <w:rPr>
      <w:kern w:val="0"/>
      <w:sz w:val="18"/>
      <w:szCs w:val="18"/>
    </w:rPr>
  </w:style>
  <w:style w:type="paragraph" w:styleId="17">
    <w:name w:val="footer"/>
    <w:basedOn w:val="1"/>
    <w:link w:val="52"/>
    <w:autoRedefine/>
    <w:qFormat/>
    <w:uiPriority w:val="99"/>
    <w:pPr>
      <w:tabs>
        <w:tab w:val="center" w:pos="4153"/>
        <w:tab w:val="right" w:pos="8306"/>
      </w:tabs>
      <w:snapToGrid w:val="0"/>
      <w:jc w:val="left"/>
    </w:pPr>
    <w:rPr>
      <w:kern w:val="0"/>
      <w:sz w:val="18"/>
      <w:szCs w:val="18"/>
    </w:rPr>
  </w:style>
  <w:style w:type="paragraph" w:styleId="18">
    <w:name w:val="header"/>
    <w:basedOn w:val="1"/>
    <w:next w:val="19"/>
    <w:link w:val="53"/>
    <w:autoRedefine/>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19">
    <w:name w:val="样式5"/>
    <w:basedOn w:val="7"/>
    <w:autoRedefine/>
    <w:qFormat/>
    <w:uiPriority w:val="0"/>
    <w:pPr>
      <w:snapToGrid w:val="0"/>
      <w:spacing w:line="360" w:lineRule="auto"/>
      <w:ind w:firstLine="510"/>
    </w:pPr>
    <w:rPr>
      <w:sz w:val="24"/>
    </w:rPr>
  </w:style>
  <w:style w:type="paragraph" w:styleId="20">
    <w:name w:val="toc 1"/>
    <w:basedOn w:val="1"/>
    <w:next w:val="1"/>
    <w:autoRedefine/>
    <w:qFormat/>
    <w:locked/>
    <w:uiPriority w:val="39"/>
  </w:style>
  <w:style w:type="paragraph" w:styleId="21">
    <w:name w:val="index heading"/>
    <w:basedOn w:val="1"/>
    <w:next w:val="1"/>
    <w:autoRedefine/>
    <w:unhideWhenUsed/>
    <w:qFormat/>
    <w:uiPriority w:val="99"/>
    <w:pPr>
      <w:pBdr>
        <w:top w:val="double" w:color="auto" w:sz="6" w:space="0"/>
        <w:left w:val="double" w:color="auto" w:sz="6" w:space="0"/>
        <w:bottom w:val="double" w:color="auto" w:sz="6" w:space="0"/>
        <w:right w:val="double" w:color="auto" w:sz="6" w:space="0"/>
      </w:pBdr>
      <w:spacing w:before="240" w:after="120"/>
      <w:jc w:val="center"/>
    </w:pPr>
    <w:rPr>
      <w:rFonts w:ascii="Arial" w:hAnsi="Arial" w:cs="Arial"/>
      <w:b/>
      <w:bCs/>
      <w:spacing w:val="-8"/>
      <w:sz w:val="22"/>
      <w:szCs w:val="22"/>
    </w:rPr>
  </w:style>
  <w:style w:type="paragraph" w:styleId="22">
    <w:name w:val="List"/>
    <w:basedOn w:val="1"/>
    <w:next w:val="1"/>
    <w:autoRedefine/>
    <w:unhideWhenUsed/>
    <w:qFormat/>
    <w:uiPriority w:val="99"/>
    <w:pPr>
      <w:adjustRightInd w:val="0"/>
      <w:spacing w:line="360" w:lineRule="auto"/>
      <w:ind w:firstLine="576" w:firstLineChars="200"/>
      <w:jc w:val="center"/>
    </w:pPr>
    <w:rPr>
      <w:rFonts w:ascii="仿宋_GB2312" w:eastAsia="仿宋_GB2312"/>
      <w:spacing w:val="4"/>
      <w:kern w:val="18"/>
      <w:sz w:val="28"/>
      <w:szCs w:val="21"/>
    </w:rPr>
  </w:style>
  <w:style w:type="paragraph" w:styleId="23">
    <w:name w:val="table of figures"/>
    <w:basedOn w:val="1"/>
    <w:next w:val="1"/>
    <w:autoRedefine/>
    <w:qFormat/>
    <w:uiPriority w:val="99"/>
    <w:pPr>
      <w:ind w:left="200" w:leftChars="200" w:hanging="200" w:hangingChars="200"/>
    </w:pPr>
    <w:rPr>
      <w:rFonts w:ascii="新宋体-18030" w:hAnsi="新宋体-18030"/>
    </w:rPr>
  </w:style>
  <w:style w:type="paragraph" w:styleId="24">
    <w:name w:val="toc 9"/>
    <w:basedOn w:val="1"/>
    <w:next w:val="1"/>
    <w:autoRedefine/>
    <w:qFormat/>
    <w:locked/>
    <w:uiPriority w:val="0"/>
    <w:pPr>
      <w:widowControl/>
      <w:wordWrap w:val="0"/>
      <w:ind w:left="2975"/>
    </w:pPr>
    <w:rPr>
      <w:szCs w:val="22"/>
    </w:rPr>
  </w:style>
  <w:style w:type="paragraph" w:styleId="25">
    <w:name w:val="Normal (Web)"/>
    <w:basedOn w:val="1"/>
    <w:link w:val="54"/>
    <w:autoRedefine/>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9"/>
    <w:next w:val="9"/>
    <w:link w:val="55"/>
    <w:autoRedefine/>
    <w:semiHidden/>
    <w:qFormat/>
    <w:uiPriority w:val="0"/>
    <w:rPr>
      <w:b/>
      <w:bCs/>
      <w:kern w:val="2"/>
      <w:sz w:val="20"/>
      <w:szCs w:val="24"/>
    </w:rPr>
  </w:style>
  <w:style w:type="paragraph" w:styleId="27">
    <w:name w:val="Body Text First Indent"/>
    <w:basedOn w:val="10"/>
    <w:autoRedefine/>
    <w:qFormat/>
    <w:uiPriority w:val="0"/>
    <w:pPr>
      <w:ind w:firstLine="420" w:firstLineChars="100"/>
    </w:pPr>
  </w:style>
  <w:style w:type="paragraph" w:styleId="28">
    <w:name w:val="Body Text First Indent 2"/>
    <w:basedOn w:val="11"/>
    <w:link w:val="41"/>
    <w:autoRedefine/>
    <w:qFormat/>
    <w:uiPriority w:val="99"/>
    <w:pPr>
      <w:ind w:firstLine="420"/>
    </w:pPr>
  </w:style>
  <w:style w:type="table" w:styleId="30">
    <w:name w:val="Table Grid"/>
    <w:basedOn w:val="2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1">
    <w:name w:val="Table Theme"/>
    <w:basedOn w:val="29"/>
    <w:autoRedefine/>
    <w:unhideWhenUsed/>
    <w:qFormat/>
    <w:uiPriority w:val="0"/>
    <w:pPr>
      <w:widowControl w:val="0"/>
      <w:spacing w:line="360" w:lineRule="auto"/>
      <w:ind w:firstLine="1044"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autoRedefine/>
    <w:qFormat/>
    <w:locked/>
    <w:uiPriority w:val="0"/>
    <w:rPr>
      <w:b/>
    </w:rPr>
  </w:style>
  <w:style w:type="character" w:styleId="34">
    <w:name w:val="page number"/>
    <w:autoRedefine/>
    <w:qFormat/>
    <w:uiPriority w:val="0"/>
  </w:style>
  <w:style w:type="character" w:styleId="35">
    <w:name w:val="FollowedHyperlink"/>
    <w:autoRedefine/>
    <w:unhideWhenUsed/>
    <w:qFormat/>
    <w:uiPriority w:val="99"/>
    <w:rPr>
      <w:color w:val="954F72"/>
      <w:u w:val="single"/>
    </w:rPr>
  </w:style>
  <w:style w:type="character" w:styleId="36">
    <w:name w:val="Hyperlink"/>
    <w:autoRedefine/>
    <w:unhideWhenUsed/>
    <w:qFormat/>
    <w:uiPriority w:val="99"/>
    <w:rPr>
      <w:color w:val="136EC2"/>
      <w:sz w:val="24"/>
      <w:u w:val="single"/>
    </w:rPr>
  </w:style>
  <w:style w:type="character" w:styleId="37">
    <w:name w:val="annotation reference"/>
    <w:autoRedefine/>
    <w:semiHidden/>
    <w:qFormat/>
    <w:uiPriority w:val="0"/>
    <w:rPr>
      <w:sz w:val="21"/>
    </w:rPr>
  </w:style>
  <w:style w:type="paragraph" w:customStyle="1" w:styleId="38">
    <w:name w:val="文本"/>
    <w:basedOn w:val="1"/>
    <w:autoRedefine/>
    <w:qFormat/>
    <w:uiPriority w:val="0"/>
    <w:pPr>
      <w:spacing w:line="360" w:lineRule="auto"/>
      <w:ind w:firstLine="480" w:firstLineChars="200"/>
    </w:pPr>
    <w:rPr>
      <w:sz w:val="24"/>
    </w:rPr>
  </w:style>
  <w:style w:type="character" w:customStyle="1" w:styleId="39">
    <w:name w:val="正文文本 Char"/>
    <w:link w:val="10"/>
    <w:autoRedefine/>
    <w:qFormat/>
    <w:locked/>
    <w:uiPriority w:val="0"/>
    <w:rPr>
      <w:sz w:val="18"/>
    </w:rPr>
  </w:style>
  <w:style w:type="character" w:customStyle="1" w:styleId="40">
    <w:name w:val="正文文本缩进 Char"/>
    <w:link w:val="11"/>
    <w:autoRedefine/>
    <w:semiHidden/>
    <w:qFormat/>
    <w:locked/>
    <w:uiPriority w:val="0"/>
    <w:rPr>
      <w:rFonts w:ascii="Times New Roman" w:hAnsi="Times New Roman" w:eastAsia="宋体" w:cs="Times New Roman"/>
      <w:sz w:val="24"/>
      <w:szCs w:val="24"/>
    </w:rPr>
  </w:style>
  <w:style w:type="character" w:customStyle="1" w:styleId="41">
    <w:name w:val="正文首行缩进 2 Char"/>
    <w:link w:val="28"/>
    <w:autoRedefine/>
    <w:qFormat/>
    <w:uiPriority w:val="99"/>
    <w:rPr>
      <w:sz w:val="24"/>
      <w:szCs w:val="24"/>
    </w:rPr>
  </w:style>
  <w:style w:type="character" w:customStyle="1" w:styleId="42">
    <w:name w:val="标题 1 Char"/>
    <w:link w:val="3"/>
    <w:autoRedefine/>
    <w:qFormat/>
    <w:uiPriority w:val="99"/>
    <w:rPr>
      <w:rFonts w:eastAsia="宋体"/>
      <w:bCs/>
      <w:color w:val="000000"/>
      <w:kern w:val="44"/>
      <w:sz w:val="30"/>
      <w:szCs w:val="30"/>
    </w:rPr>
  </w:style>
  <w:style w:type="character" w:customStyle="1" w:styleId="43">
    <w:name w:val="标题 2 Char"/>
    <w:link w:val="4"/>
    <w:autoRedefine/>
    <w:qFormat/>
    <w:uiPriority w:val="0"/>
    <w:rPr>
      <w:rFonts w:ascii="Arial" w:hAnsi="Arial" w:eastAsia="黑体"/>
      <w:b/>
      <w:bCs/>
      <w:kern w:val="2"/>
      <w:sz w:val="32"/>
      <w:szCs w:val="32"/>
      <w:lang w:val="de-DE"/>
    </w:rPr>
  </w:style>
  <w:style w:type="character" w:customStyle="1" w:styleId="44">
    <w:name w:val="标题 3 Char1"/>
    <w:link w:val="2"/>
    <w:autoRedefine/>
    <w:qFormat/>
    <w:uiPriority w:val="9"/>
    <w:rPr>
      <w:b/>
      <w:szCs w:val="24"/>
    </w:rPr>
  </w:style>
  <w:style w:type="character" w:customStyle="1" w:styleId="45">
    <w:name w:val="标题 4 Char"/>
    <w:link w:val="5"/>
    <w:autoRedefine/>
    <w:qFormat/>
    <w:uiPriority w:val="0"/>
    <w:rPr>
      <w:sz w:val="28"/>
    </w:rPr>
  </w:style>
  <w:style w:type="character" w:customStyle="1" w:styleId="46">
    <w:name w:val="注释标题 Char"/>
    <w:link w:val="6"/>
    <w:autoRedefine/>
    <w:qFormat/>
    <w:uiPriority w:val="0"/>
    <w:rPr>
      <w:b/>
    </w:rPr>
  </w:style>
  <w:style w:type="character" w:customStyle="1" w:styleId="47">
    <w:name w:val="文档结构图 Char"/>
    <w:link w:val="8"/>
    <w:autoRedefine/>
    <w:qFormat/>
    <w:uiPriority w:val="0"/>
    <w:rPr>
      <w:rFonts w:ascii="宋体"/>
      <w:kern w:val="2"/>
      <w:sz w:val="18"/>
      <w:szCs w:val="18"/>
    </w:rPr>
  </w:style>
  <w:style w:type="character" w:customStyle="1" w:styleId="48">
    <w:name w:val="批注文字 Char1"/>
    <w:link w:val="9"/>
    <w:autoRedefine/>
    <w:qFormat/>
    <w:locked/>
    <w:uiPriority w:val="0"/>
    <w:rPr>
      <w:rFonts w:ascii="Times New Roman" w:hAnsi="Times New Roman" w:eastAsia="宋体"/>
      <w:sz w:val="24"/>
    </w:rPr>
  </w:style>
  <w:style w:type="character" w:customStyle="1" w:styleId="49">
    <w:name w:val="日期 Char1"/>
    <w:link w:val="14"/>
    <w:autoRedefine/>
    <w:qFormat/>
    <w:locked/>
    <w:uiPriority w:val="0"/>
    <w:rPr>
      <w:rFonts w:ascii="Times New Roman" w:hAnsi="Times New Roman" w:eastAsia="宋体"/>
      <w:sz w:val="24"/>
    </w:rPr>
  </w:style>
  <w:style w:type="character" w:customStyle="1" w:styleId="50">
    <w:name w:val="正文文本缩进 2 Char"/>
    <w:link w:val="15"/>
    <w:autoRedefine/>
    <w:qFormat/>
    <w:uiPriority w:val="0"/>
    <w:rPr>
      <w:kern w:val="2"/>
      <w:sz w:val="21"/>
      <w:szCs w:val="24"/>
    </w:rPr>
  </w:style>
  <w:style w:type="character" w:customStyle="1" w:styleId="51">
    <w:name w:val="批注框文本 Char"/>
    <w:link w:val="16"/>
    <w:autoRedefine/>
    <w:semiHidden/>
    <w:qFormat/>
    <w:locked/>
    <w:uiPriority w:val="0"/>
    <w:rPr>
      <w:rFonts w:ascii="Times New Roman" w:hAnsi="Times New Roman" w:eastAsia="宋体" w:cs="Times New Roman"/>
      <w:sz w:val="18"/>
      <w:szCs w:val="18"/>
    </w:rPr>
  </w:style>
  <w:style w:type="character" w:customStyle="1" w:styleId="52">
    <w:name w:val="页脚 Char"/>
    <w:link w:val="17"/>
    <w:autoRedefine/>
    <w:qFormat/>
    <w:locked/>
    <w:uiPriority w:val="99"/>
    <w:rPr>
      <w:rFonts w:cs="Times New Roman"/>
      <w:sz w:val="18"/>
      <w:szCs w:val="18"/>
    </w:rPr>
  </w:style>
  <w:style w:type="character" w:customStyle="1" w:styleId="53">
    <w:name w:val="页眉 Char"/>
    <w:link w:val="18"/>
    <w:autoRedefine/>
    <w:qFormat/>
    <w:locked/>
    <w:uiPriority w:val="0"/>
    <w:rPr>
      <w:rFonts w:cs="Times New Roman"/>
      <w:sz w:val="18"/>
      <w:szCs w:val="18"/>
    </w:rPr>
  </w:style>
  <w:style w:type="character" w:customStyle="1" w:styleId="54">
    <w:name w:val="普通(网站) Char1"/>
    <w:link w:val="25"/>
    <w:autoRedefine/>
    <w:qFormat/>
    <w:locked/>
    <w:uiPriority w:val="0"/>
    <w:rPr>
      <w:rFonts w:ascii="宋体" w:hAnsi="宋体" w:eastAsia="宋体"/>
      <w:sz w:val="24"/>
    </w:rPr>
  </w:style>
  <w:style w:type="character" w:customStyle="1" w:styleId="55">
    <w:name w:val="批注主题 Char"/>
    <w:link w:val="26"/>
    <w:autoRedefine/>
    <w:semiHidden/>
    <w:qFormat/>
    <w:locked/>
    <w:uiPriority w:val="0"/>
    <w:rPr>
      <w:rFonts w:cs="Times New Roman"/>
      <w:b/>
      <w:bCs/>
      <w:kern w:val="2"/>
      <w:szCs w:val="24"/>
    </w:rPr>
  </w:style>
  <w:style w:type="character" w:customStyle="1" w:styleId="56">
    <w:name w:val="样式一"/>
    <w:autoRedefine/>
    <w:qFormat/>
    <w:uiPriority w:val="0"/>
    <w:rPr>
      <w:rFonts w:ascii="Times New Roman" w:hAnsi="Times New Roman" w:eastAsia="宋体" w:cs="Times New Roman"/>
      <w:b/>
      <w:sz w:val="32"/>
    </w:rPr>
  </w:style>
  <w:style w:type="character" w:customStyle="1" w:styleId="57">
    <w:name w:val="日期 字符"/>
    <w:autoRedefine/>
    <w:semiHidden/>
    <w:qFormat/>
    <w:uiPriority w:val="0"/>
    <w:rPr>
      <w:rFonts w:ascii="Times New Roman" w:hAnsi="Times New Roman" w:eastAsia="宋体" w:cs="Times New Roman"/>
      <w:sz w:val="24"/>
      <w:szCs w:val="24"/>
    </w:rPr>
  </w:style>
  <w:style w:type="character" w:customStyle="1" w:styleId="58">
    <w:name w:val="批注文字 字符1"/>
    <w:autoRedefine/>
    <w:semiHidden/>
    <w:qFormat/>
    <w:uiPriority w:val="0"/>
    <w:rPr>
      <w:rFonts w:ascii="Times New Roman" w:hAnsi="Times New Roman" w:eastAsia="宋体" w:cs="Times New Roman"/>
      <w:sz w:val="24"/>
      <w:szCs w:val="24"/>
    </w:rPr>
  </w:style>
  <w:style w:type="character" w:customStyle="1" w:styleId="59">
    <w:name w:val="普通(网站) Char"/>
    <w:autoRedefine/>
    <w:qFormat/>
    <w:locked/>
    <w:uiPriority w:val="0"/>
    <w:rPr>
      <w:rFonts w:ascii="宋体" w:hAnsi="宋体" w:eastAsia="宋体"/>
      <w:sz w:val="24"/>
    </w:rPr>
  </w:style>
  <w:style w:type="character" w:customStyle="1" w:styleId="60">
    <w:name w:val="表格 Char"/>
    <w:link w:val="61"/>
    <w:autoRedefine/>
    <w:qFormat/>
    <w:locked/>
    <w:uiPriority w:val="0"/>
    <w:rPr>
      <w:rFonts w:ascii="宋体"/>
      <w:sz w:val="21"/>
    </w:rPr>
  </w:style>
  <w:style w:type="paragraph" w:customStyle="1" w:styleId="61">
    <w:name w:val="表格"/>
    <w:basedOn w:val="1"/>
    <w:link w:val="60"/>
    <w:autoRedefine/>
    <w:qFormat/>
    <w:uiPriority w:val="0"/>
    <w:pPr>
      <w:adjustRightInd w:val="0"/>
      <w:snapToGrid w:val="0"/>
      <w:spacing w:beforeLines="10" w:afterLines="10" w:line="259" w:lineRule="auto"/>
      <w:jc w:val="center"/>
    </w:pPr>
    <w:rPr>
      <w:rFonts w:ascii="宋体"/>
      <w:kern w:val="0"/>
      <w:szCs w:val="20"/>
    </w:rPr>
  </w:style>
  <w:style w:type="character" w:customStyle="1" w:styleId="62">
    <w:name w:val="正文文本 字符1"/>
    <w:autoRedefine/>
    <w:semiHidden/>
    <w:qFormat/>
    <w:uiPriority w:val="0"/>
    <w:rPr>
      <w:rFonts w:ascii="Times New Roman" w:hAnsi="Times New Roman" w:eastAsia="宋体" w:cs="Times New Roman"/>
      <w:sz w:val="24"/>
      <w:szCs w:val="24"/>
    </w:rPr>
  </w:style>
  <w:style w:type="paragraph" w:customStyle="1" w:styleId="63">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五号表格"/>
    <w:basedOn w:val="1"/>
    <w:autoRedefine/>
    <w:qFormat/>
    <w:uiPriority w:val="0"/>
    <w:pPr>
      <w:adjustRightInd w:val="0"/>
      <w:snapToGrid w:val="0"/>
      <w:spacing w:line="386" w:lineRule="exact"/>
      <w:jc w:val="center"/>
    </w:pPr>
    <w:rPr>
      <w:kern w:val="0"/>
      <w:szCs w:val="20"/>
    </w:rPr>
  </w:style>
  <w:style w:type="paragraph" w:customStyle="1" w:styleId="65">
    <w:name w:val="表格内正文"/>
    <w:basedOn w:val="1"/>
    <w:autoRedefine/>
    <w:qFormat/>
    <w:uiPriority w:val="0"/>
    <w:pPr>
      <w:spacing w:line="360" w:lineRule="auto"/>
      <w:ind w:firstLine="493"/>
    </w:pPr>
    <w:rPr>
      <w:rFonts w:ascii="宋体" w:hAnsi="宋体"/>
      <w:spacing w:val="4"/>
      <w:kern w:val="18"/>
      <w:sz w:val="24"/>
    </w:rPr>
  </w:style>
  <w:style w:type="paragraph" w:customStyle="1" w:styleId="66">
    <w:name w:val="表头"/>
    <w:basedOn w:val="1"/>
    <w:autoRedefine/>
    <w:qFormat/>
    <w:uiPriority w:val="0"/>
    <w:pPr>
      <w:widowControl/>
      <w:spacing w:line="320" w:lineRule="atLeast"/>
      <w:jc w:val="center"/>
    </w:pPr>
    <w:rPr>
      <w:rFonts w:eastAsia="黑体"/>
      <w:spacing w:val="-10"/>
      <w:kern w:val="0"/>
      <w:sz w:val="24"/>
      <w:szCs w:val="11"/>
      <w:lang w:eastAsia="en-US" w:bidi="en-US"/>
    </w:rPr>
  </w:style>
  <w:style w:type="paragraph" w:customStyle="1" w:styleId="6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8">
    <w:name w:val="一、"/>
    <w:basedOn w:val="1"/>
    <w:autoRedefine/>
    <w:qFormat/>
    <w:uiPriority w:val="0"/>
    <w:pPr>
      <w:numPr>
        <w:ilvl w:val="0"/>
        <w:numId w:val="2"/>
      </w:numPr>
      <w:spacing w:line="360" w:lineRule="auto"/>
    </w:pPr>
    <w:rPr>
      <w:rFonts w:ascii="Calibri" w:hAnsi="Calibri"/>
      <w:b/>
      <w:color w:val="000000"/>
      <w:sz w:val="28"/>
      <w:szCs w:val="28"/>
    </w:rPr>
  </w:style>
  <w:style w:type="paragraph" w:styleId="69">
    <w:name w:val="List Paragraph"/>
    <w:basedOn w:val="1"/>
    <w:autoRedefine/>
    <w:qFormat/>
    <w:uiPriority w:val="99"/>
    <w:pPr>
      <w:spacing w:line="360" w:lineRule="auto"/>
      <w:ind w:firstLine="420" w:firstLineChars="200"/>
    </w:pPr>
    <w:rPr>
      <w:sz w:val="24"/>
    </w:rPr>
  </w:style>
  <w:style w:type="paragraph" w:customStyle="1" w:styleId="70">
    <w:name w:val="正文2"/>
    <w:basedOn w:val="1"/>
    <w:autoRedefine/>
    <w:qFormat/>
    <w:uiPriority w:val="0"/>
    <w:pPr>
      <w:adjustRightInd w:val="0"/>
      <w:snapToGrid w:val="0"/>
      <w:spacing w:line="440" w:lineRule="atLeast"/>
      <w:ind w:firstLine="567"/>
    </w:pPr>
    <w:rPr>
      <w:rFonts w:ascii="Calibri" w:hAnsi="Calibri"/>
      <w:sz w:val="24"/>
      <w:szCs w:val="20"/>
    </w:rPr>
  </w:style>
  <w:style w:type="paragraph" w:customStyle="1" w:styleId="71">
    <w:name w:val="表格1"/>
    <w:basedOn w:val="1"/>
    <w:autoRedefine/>
    <w:qFormat/>
    <w:uiPriority w:val="0"/>
    <w:pPr>
      <w:jc w:val="center"/>
    </w:pPr>
  </w:style>
  <w:style w:type="paragraph" w:customStyle="1" w:styleId="72">
    <w:name w:val="图表(邵)"/>
    <w:basedOn w:val="1"/>
    <w:autoRedefine/>
    <w:qFormat/>
    <w:uiPriority w:val="0"/>
    <w:pPr>
      <w:adjustRightInd w:val="0"/>
      <w:spacing w:line="360" w:lineRule="auto"/>
      <w:jc w:val="center"/>
    </w:pPr>
    <w:rPr>
      <w:b/>
      <w:kern w:val="0"/>
      <w:sz w:val="24"/>
      <w:lang w:bidi="en-US"/>
    </w:rPr>
  </w:style>
  <w:style w:type="paragraph" w:customStyle="1" w:styleId="73">
    <w:name w:val="纯文本1"/>
    <w:basedOn w:val="1"/>
    <w:autoRedefine/>
    <w:qFormat/>
    <w:uiPriority w:val="0"/>
    <w:pPr>
      <w:adjustRightInd w:val="0"/>
    </w:pPr>
    <w:rPr>
      <w:rFonts w:hAnsi="Courier New"/>
      <w:szCs w:val="20"/>
    </w:rPr>
  </w:style>
  <w:style w:type="paragraph" w:customStyle="1" w:styleId="74">
    <w:name w:val="批注文字1"/>
    <w:autoRedefine/>
    <w:qFormat/>
    <w:uiPriority w:val="0"/>
    <w:pPr>
      <w:widowControl w:val="0"/>
    </w:pPr>
    <w:rPr>
      <w:rFonts w:ascii="Calibri" w:hAnsi="Calibri" w:eastAsia="Calibri" w:cs="Times New Roman"/>
      <w:color w:val="000000"/>
      <w:kern w:val="2"/>
      <w:sz w:val="21"/>
      <w:szCs w:val="24"/>
      <w:lang w:val="en-US" w:eastAsia="zh-CN" w:bidi="ar-SA"/>
    </w:rPr>
  </w:style>
  <w:style w:type="paragraph" w:customStyle="1" w:styleId="75">
    <w:name w:val="A表内"/>
    <w:basedOn w:val="1"/>
    <w:autoRedefine/>
    <w:qFormat/>
    <w:uiPriority w:val="0"/>
    <w:pPr>
      <w:spacing w:line="0" w:lineRule="atLeast"/>
      <w:jc w:val="center"/>
    </w:pPr>
    <w:rPr>
      <w:rFonts w:cs="宋体"/>
      <w:szCs w:val="20"/>
    </w:rPr>
  </w:style>
  <w:style w:type="paragraph" w:customStyle="1" w:styleId="76">
    <w:name w:val="Table Paragraph"/>
    <w:basedOn w:val="1"/>
    <w:autoRedefine/>
    <w:qFormat/>
    <w:uiPriority w:val="0"/>
    <w:pPr>
      <w:autoSpaceDE w:val="0"/>
      <w:autoSpaceDN w:val="0"/>
      <w:adjustRightInd w:val="0"/>
      <w:jc w:val="left"/>
    </w:pPr>
    <w:rPr>
      <w:kern w:val="0"/>
      <w:sz w:val="24"/>
    </w:rPr>
  </w:style>
  <w:style w:type="paragraph" w:customStyle="1" w:styleId="77">
    <w:name w:val="Default"/>
    <w:basedOn w:val="78"/>
    <w:autoRedefine/>
    <w:qFormat/>
    <w:uiPriority w:val="0"/>
    <w:pPr>
      <w:autoSpaceDE w:val="0"/>
      <w:autoSpaceDN w:val="0"/>
      <w:adjustRightInd w:val="0"/>
    </w:pPr>
    <w:rPr>
      <w:rFonts w:ascii="宋体" w:cs="宋体"/>
      <w:sz w:val="24"/>
    </w:rPr>
  </w:style>
  <w:style w:type="paragraph" w:customStyle="1" w:styleId="7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79">
    <w:name w:val="aa正文"/>
    <w:basedOn w:val="1"/>
    <w:autoRedefine/>
    <w:qFormat/>
    <w:uiPriority w:val="29"/>
    <w:pPr>
      <w:adjustRightInd w:val="0"/>
      <w:snapToGrid w:val="0"/>
      <w:spacing w:line="360" w:lineRule="auto"/>
      <w:ind w:firstLine="200" w:firstLineChars="200"/>
    </w:pPr>
    <w:rPr>
      <w:sz w:val="24"/>
    </w:rPr>
  </w:style>
  <w:style w:type="table" w:customStyle="1" w:styleId="80">
    <w:name w:val="Table Normal"/>
    <w:autoRedefine/>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81">
    <w:name w:val="_Style 73"/>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82">
    <w:name w:val="B正文"/>
    <w:basedOn w:val="1"/>
    <w:autoRedefine/>
    <w:qFormat/>
    <w:uiPriority w:val="0"/>
    <w:pPr>
      <w:spacing w:line="360" w:lineRule="auto"/>
      <w:ind w:firstLine="200" w:firstLineChars="200"/>
    </w:pPr>
    <w:rPr>
      <w:kern w:val="0"/>
      <w:sz w:val="24"/>
    </w:rPr>
  </w:style>
  <w:style w:type="paragraph" w:customStyle="1" w:styleId="83">
    <w:name w:val="B表内"/>
    <w:basedOn w:val="1"/>
    <w:autoRedefine/>
    <w:qFormat/>
    <w:uiPriority w:val="0"/>
    <w:pPr>
      <w:wordWrap w:val="0"/>
      <w:jc w:val="center"/>
      <w:textAlignment w:val="center"/>
    </w:pPr>
    <w:rPr>
      <w:rFonts w:cs="宋体"/>
      <w:kern w:val="0"/>
    </w:rPr>
  </w:style>
  <w:style w:type="paragraph" w:customStyle="1" w:styleId="84">
    <w:name w:val="D正文"/>
    <w:basedOn w:val="85"/>
    <w:autoRedefine/>
    <w:qFormat/>
    <w:uiPriority w:val="0"/>
    <w:pPr>
      <w:spacing w:line="384" w:lineRule="auto"/>
      <w:ind w:firstLine="200" w:firstLineChars="200"/>
    </w:pPr>
    <w:rPr>
      <w:sz w:val="24"/>
    </w:rPr>
  </w:style>
  <w:style w:type="paragraph" w:customStyle="1" w:styleId="85">
    <w:name w:val="正文对的"/>
    <w:basedOn w:val="13"/>
    <w:autoRedefine/>
    <w:qFormat/>
    <w:uiPriority w:val="0"/>
    <w:pPr>
      <w:widowControl/>
      <w:spacing w:line="360" w:lineRule="auto"/>
      <w:ind w:firstLine="480"/>
      <w:jc w:val="left"/>
    </w:pPr>
    <w:rPr>
      <w:rFonts w:ascii="Times New Roman" w:hAnsi="Times New Roman" w:cs="宋体"/>
      <w:szCs w:val="24"/>
      <w:lang w:eastAsia="en-US" w:bidi="en-US"/>
    </w:rPr>
  </w:style>
  <w:style w:type="character" w:customStyle="1" w:styleId="86">
    <w:name w:val="lll Char Char"/>
    <w:link w:val="87"/>
    <w:autoRedefine/>
    <w:qFormat/>
    <w:uiPriority w:val="0"/>
    <w:rPr>
      <w:rFonts w:ascii="宋体" w:hAnsi="宋体"/>
      <w:kern w:val="2"/>
      <w:sz w:val="28"/>
    </w:rPr>
  </w:style>
  <w:style w:type="paragraph" w:customStyle="1" w:styleId="87">
    <w:name w:val="lll"/>
    <w:basedOn w:val="1"/>
    <w:link w:val="86"/>
    <w:autoRedefine/>
    <w:qFormat/>
    <w:uiPriority w:val="0"/>
    <w:pPr>
      <w:spacing w:line="360" w:lineRule="auto"/>
      <w:ind w:firstLine="601"/>
    </w:pPr>
    <w:rPr>
      <w:rFonts w:ascii="宋体" w:hAnsi="宋体"/>
      <w:sz w:val="28"/>
      <w:szCs w:val="20"/>
    </w:rPr>
  </w:style>
  <w:style w:type="paragraph" w:customStyle="1" w:styleId="88">
    <w:name w:val="环评正文"/>
    <w:basedOn w:val="1"/>
    <w:link w:val="89"/>
    <w:autoRedefine/>
    <w:qFormat/>
    <w:uiPriority w:val="0"/>
    <w:pPr>
      <w:spacing w:line="360" w:lineRule="auto"/>
      <w:ind w:firstLine="480" w:firstLineChars="200"/>
    </w:pPr>
    <w:rPr>
      <w:rFonts w:hAnsi="宋体"/>
      <w:sz w:val="24"/>
    </w:rPr>
  </w:style>
  <w:style w:type="character" w:customStyle="1" w:styleId="89">
    <w:name w:val="环评正文 Char Char"/>
    <w:link w:val="88"/>
    <w:autoRedefine/>
    <w:qFormat/>
    <w:uiPriority w:val="0"/>
    <w:rPr>
      <w:rFonts w:hAnsi="宋体"/>
      <w:kern w:val="2"/>
      <w:sz w:val="24"/>
      <w:szCs w:val="24"/>
    </w:rPr>
  </w:style>
  <w:style w:type="paragraph" w:customStyle="1" w:styleId="90">
    <w:name w:val="_Style 74"/>
    <w:basedOn w:val="1"/>
    <w:next w:val="69"/>
    <w:autoRedefine/>
    <w:qFormat/>
    <w:uiPriority w:val="99"/>
    <w:pPr>
      <w:spacing w:line="360" w:lineRule="auto"/>
      <w:ind w:firstLine="420" w:firstLineChars="200"/>
    </w:pPr>
    <w:rPr>
      <w:sz w:val="24"/>
    </w:rPr>
  </w:style>
  <w:style w:type="paragraph" w:customStyle="1" w:styleId="91">
    <w:name w:val="正文格式"/>
    <w:basedOn w:val="1"/>
    <w:link w:val="92"/>
    <w:autoRedefine/>
    <w:qFormat/>
    <w:uiPriority w:val="0"/>
    <w:pPr>
      <w:adjustRightInd w:val="0"/>
      <w:snapToGrid w:val="0"/>
      <w:spacing w:line="360" w:lineRule="auto"/>
      <w:ind w:firstLine="480" w:firstLineChars="200"/>
    </w:pPr>
    <w:rPr>
      <w:rFonts w:hAnsi="宋体"/>
      <w:sz w:val="24"/>
      <w:szCs w:val="20"/>
    </w:rPr>
  </w:style>
  <w:style w:type="character" w:customStyle="1" w:styleId="92">
    <w:name w:val="正文格式 Char Char"/>
    <w:link w:val="91"/>
    <w:autoRedefine/>
    <w:qFormat/>
    <w:uiPriority w:val="0"/>
    <w:rPr>
      <w:rFonts w:hAnsi="宋体"/>
      <w:kern w:val="2"/>
      <w:sz w:val="24"/>
    </w:rPr>
  </w:style>
  <w:style w:type="paragraph" w:customStyle="1" w:styleId="93">
    <w:name w:val="表格样式"/>
    <w:basedOn w:val="1"/>
    <w:autoRedefine/>
    <w:qFormat/>
    <w:uiPriority w:val="0"/>
    <w:pPr>
      <w:jc w:val="center"/>
    </w:pPr>
  </w:style>
  <w:style w:type="character" w:customStyle="1" w:styleId="94">
    <w:name w:val="ca-41"/>
    <w:autoRedefine/>
    <w:qFormat/>
    <w:uiPriority w:val="0"/>
  </w:style>
  <w:style w:type="character" w:customStyle="1" w:styleId="95">
    <w:name w:val="ca-51"/>
    <w:autoRedefine/>
    <w:qFormat/>
    <w:uiPriority w:val="0"/>
  </w:style>
  <w:style w:type="paragraph" w:customStyle="1" w:styleId="96">
    <w:name w:val="表2内容"/>
    <w:basedOn w:val="1"/>
    <w:autoRedefine/>
    <w:qFormat/>
    <w:uiPriority w:val="0"/>
    <w:pPr>
      <w:snapToGrid w:val="0"/>
      <w:spacing w:line="240" w:lineRule="exact"/>
      <w:jc w:val="center"/>
    </w:pPr>
    <w:rPr>
      <w:sz w:val="18"/>
    </w:rPr>
  </w:style>
  <w:style w:type="paragraph" w:customStyle="1" w:styleId="97">
    <w:name w:val="msonormal"/>
    <w:basedOn w:val="1"/>
    <w:autoRedefine/>
    <w:qFormat/>
    <w:uiPriority w:val="0"/>
    <w:pPr>
      <w:widowControl/>
      <w:spacing w:before="100" w:beforeAutospacing="1" w:after="100" w:afterAutospacing="1" w:line="360" w:lineRule="auto"/>
      <w:ind w:firstLine="1044" w:firstLineChars="200"/>
      <w:jc w:val="left"/>
    </w:pPr>
    <w:rPr>
      <w:rFonts w:ascii="宋体" w:hAnsi="宋体"/>
      <w:kern w:val="0"/>
      <w:sz w:val="24"/>
      <w:szCs w:val="20"/>
    </w:rPr>
  </w:style>
  <w:style w:type="paragraph" w:customStyle="1" w:styleId="98">
    <w:name w:val="Default1"/>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99">
    <w:name w:val="表格内容 Char1"/>
    <w:link w:val="100"/>
    <w:autoRedefine/>
    <w:qFormat/>
    <w:locked/>
    <w:uiPriority w:val="0"/>
    <w:rPr>
      <w:rFonts w:ascii="宋体" w:hAnsi="宋体" w:cs="宋体"/>
      <w:sz w:val="21"/>
      <w:szCs w:val="22"/>
      <w:lang w:val="zh-CN" w:bidi="zh-CN"/>
    </w:rPr>
  </w:style>
  <w:style w:type="paragraph" w:customStyle="1" w:styleId="100">
    <w:name w:val="表格内容"/>
    <w:basedOn w:val="1"/>
    <w:next w:val="1"/>
    <w:link w:val="99"/>
    <w:autoRedefine/>
    <w:qFormat/>
    <w:uiPriority w:val="0"/>
    <w:pPr>
      <w:spacing w:line="240" w:lineRule="atLeast"/>
      <w:jc w:val="center"/>
    </w:pPr>
    <w:rPr>
      <w:rFonts w:ascii="宋体" w:hAnsi="宋体" w:cs="宋体"/>
      <w:kern w:val="0"/>
      <w:szCs w:val="22"/>
      <w:lang w:val="zh-CN" w:bidi="zh-CN"/>
    </w:rPr>
  </w:style>
  <w:style w:type="paragraph" w:customStyle="1" w:styleId="101">
    <w:name w:val="报告表格"/>
    <w:basedOn w:val="1"/>
    <w:next w:val="1"/>
    <w:autoRedefine/>
    <w:qFormat/>
    <w:uiPriority w:val="0"/>
    <w:pPr>
      <w:autoSpaceDE w:val="0"/>
      <w:autoSpaceDN w:val="0"/>
      <w:adjustRightInd w:val="0"/>
      <w:spacing w:line="360" w:lineRule="auto"/>
      <w:jc w:val="center"/>
    </w:pPr>
    <w:rPr>
      <w:kern w:val="0"/>
      <w:sz w:val="24"/>
      <w:szCs w:val="20"/>
    </w:rPr>
  </w:style>
  <w:style w:type="paragraph" w:customStyle="1" w:styleId="102">
    <w:name w:val="表图头"/>
    <w:basedOn w:val="1"/>
    <w:next w:val="1"/>
    <w:autoRedefine/>
    <w:qFormat/>
    <w:uiPriority w:val="0"/>
    <w:pPr>
      <w:spacing w:beforeLines="10" w:line="240" w:lineRule="exact"/>
      <w:jc w:val="center"/>
    </w:pPr>
    <w:rPr>
      <w:b/>
      <w:sz w:val="24"/>
    </w:rPr>
  </w:style>
  <w:style w:type="paragraph" w:customStyle="1" w:styleId="103">
    <w:name w:val="表格001"/>
    <w:basedOn w:val="1"/>
    <w:autoRedefine/>
    <w:qFormat/>
    <w:uiPriority w:val="0"/>
    <w:pPr>
      <w:jc w:val="center"/>
    </w:pPr>
    <w:rPr>
      <w:sz w:val="24"/>
      <w:szCs w:val="20"/>
    </w:rPr>
  </w:style>
  <w:style w:type="paragraph" w:customStyle="1" w:styleId="104">
    <w:name w:val="样式1"/>
    <w:basedOn w:val="1"/>
    <w:autoRedefine/>
    <w:qFormat/>
    <w:uiPriority w:val="0"/>
    <w:pPr>
      <w:spacing w:line="360" w:lineRule="auto"/>
      <w:ind w:firstLine="720" w:firstLineChars="200"/>
    </w:pPr>
    <w:rPr>
      <w:kern w:val="0"/>
      <w:sz w:val="24"/>
    </w:rPr>
  </w:style>
  <w:style w:type="character" w:customStyle="1" w:styleId="105">
    <w:name w:val="楷体 Char"/>
    <w:link w:val="106"/>
    <w:autoRedefine/>
    <w:qFormat/>
    <w:locked/>
    <w:uiPriority w:val="0"/>
    <w:rPr>
      <w:rFonts w:ascii="楷体" w:hAnsi="楷体" w:eastAsia="楷体"/>
      <w:sz w:val="24"/>
      <w:szCs w:val="24"/>
    </w:rPr>
  </w:style>
  <w:style w:type="paragraph" w:customStyle="1" w:styleId="106">
    <w:name w:val="楷体"/>
    <w:basedOn w:val="1"/>
    <w:link w:val="105"/>
    <w:autoRedefine/>
    <w:qFormat/>
    <w:uiPriority w:val="0"/>
    <w:pPr>
      <w:spacing w:line="360" w:lineRule="auto"/>
      <w:ind w:firstLine="640" w:firstLineChars="200"/>
    </w:pPr>
    <w:rPr>
      <w:rFonts w:ascii="楷体" w:hAnsi="楷体" w:eastAsia="楷体"/>
      <w:kern w:val="0"/>
      <w:sz w:val="24"/>
    </w:rPr>
  </w:style>
  <w:style w:type="paragraph" w:customStyle="1" w:styleId="107">
    <w:name w:val="表格正文"/>
    <w:basedOn w:val="1"/>
    <w:next w:val="1"/>
    <w:autoRedefine/>
    <w:qFormat/>
    <w:uiPriority w:val="0"/>
    <w:pPr>
      <w:snapToGrid w:val="0"/>
      <w:spacing w:line="360" w:lineRule="auto"/>
      <w:ind w:firstLine="1044" w:firstLineChars="200"/>
      <w:jc w:val="center"/>
    </w:pPr>
    <w:rPr>
      <w:rFonts w:ascii="宋体"/>
      <w:spacing w:val="4"/>
      <w:sz w:val="24"/>
      <w:szCs w:val="21"/>
    </w:rPr>
  </w:style>
  <w:style w:type="paragraph" w:customStyle="1" w:styleId="108">
    <w:name w:val="Other|1"/>
    <w:basedOn w:val="1"/>
    <w:autoRedefine/>
    <w:qFormat/>
    <w:uiPriority w:val="0"/>
    <w:pPr>
      <w:spacing w:line="360" w:lineRule="auto"/>
      <w:ind w:firstLine="1044" w:firstLineChars="200"/>
      <w:jc w:val="center"/>
    </w:pPr>
    <w:rPr>
      <w:rFonts w:ascii="宋体" w:hAnsi="宋体" w:cs="宋体"/>
      <w:sz w:val="20"/>
      <w:szCs w:val="20"/>
    </w:rPr>
  </w:style>
  <w:style w:type="paragraph" w:customStyle="1" w:styleId="109">
    <w:name w:val="样式 小四 黑色 行距: 固定值 26 磅"/>
    <w:basedOn w:val="1"/>
    <w:autoRedefine/>
    <w:qFormat/>
    <w:uiPriority w:val="0"/>
    <w:pPr>
      <w:spacing w:line="520" w:lineRule="exact"/>
      <w:ind w:firstLine="509" w:firstLineChars="202"/>
    </w:pPr>
    <w:rPr>
      <w:color w:val="000000"/>
      <w:spacing w:val="6"/>
      <w:sz w:val="24"/>
    </w:rPr>
  </w:style>
  <w:style w:type="paragraph" w:customStyle="1" w:styleId="110">
    <w:name w:val="六表内容"/>
    <w:basedOn w:val="1"/>
    <w:autoRedefine/>
    <w:qFormat/>
    <w:uiPriority w:val="0"/>
    <w:pPr>
      <w:spacing w:line="340" w:lineRule="exact"/>
      <w:ind w:firstLine="1044" w:firstLineChars="200"/>
      <w:jc w:val="center"/>
    </w:pPr>
    <w:rPr>
      <w:rFonts w:ascii="Calibri" w:hAnsi="Calibri"/>
      <w:sz w:val="24"/>
      <w:szCs w:val="21"/>
    </w:rPr>
  </w:style>
  <w:style w:type="paragraph" w:customStyle="1" w:styleId="111">
    <w:name w:val="文本正文"/>
    <w:basedOn w:val="1"/>
    <w:autoRedefine/>
    <w:qFormat/>
    <w:uiPriority w:val="0"/>
    <w:pPr>
      <w:autoSpaceDE w:val="0"/>
      <w:autoSpaceDN w:val="0"/>
      <w:snapToGrid w:val="0"/>
      <w:spacing w:line="360" w:lineRule="auto"/>
      <w:ind w:firstLine="510" w:firstLineChars="200"/>
    </w:pPr>
    <w:rPr>
      <w:rFonts w:ascii="宋体" w:hAnsi="宋体"/>
      <w:color w:val="000000"/>
      <w:spacing w:val="4"/>
      <w:kern w:val="18"/>
      <w:sz w:val="24"/>
    </w:rPr>
  </w:style>
  <w:style w:type="paragraph" w:customStyle="1" w:styleId="112">
    <w:name w:val="_C正文"/>
    <w:basedOn w:val="1"/>
    <w:autoRedefine/>
    <w:qFormat/>
    <w:uiPriority w:val="0"/>
    <w:pPr>
      <w:spacing w:line="360" w:lineRule="auto"/>
      <w:ind w:firstLine="200" w:firstLineChars="200"/>
    </w:pPr>
    <w:rPr>
      <w:sz w:val="24"/>
    </w:rPr>
  </w:style>
  <w:style w:type="paragraph" w:customStyle="1" w:styleId="113">
    <w:name w:val="正文(首行缩进)"/>
    <w:basedOn w:val="1"/>
    <w:autoRedefine/>
    <w:qFormat/>
    <w:uiPriority w:val="0"/>
    <w:pPr>
      <w:spacing w:line="360" w:lineRule="auto"/>
      <w:ind w:firstLine="510" w:firstLineChars="200"/>
    </w:pPr>
    <w:rPr>
      <w:kern w:val="0"/>
      <w:sz w:val="24"/>
    </w:rPr>
  </w:style>
  <w:style w:type="paragraph" w:customStyle="1" w:styleId="114">
    <w:name w:val="表格内正文 Char Char"/>
    <w:basedOn w:val="1"/>
    <w:autoRedefine/>
    <w:qFormat/>
    <w:uiPriority w:val="0"/>
    <w:pPr>
      <w:spacing w:line="360" w:lineRule="auto"/>
      <w:ind w:firstLine="493" w:firstLineChars="200"/>
    </w:pPr>
    <w:rPr>
      <w:rFonts w:ascii="宋体" w:hAnsi="宋体"/>
      <w:spacing w:val="4"/>
      <w:kern w:val="18"/>
      <w:sz w:val="24"/>
    </w:rPr>
  </w:style>
  <w:style w:type="paragraph" w:customStyle="1" w:styleId="115">
    <w:name w:val="表体"/>
    <w:autoRedefine/>
    <w:qFormat/>
    <w:uiPriority w:val="0"/>
    <w:pPr>
      <w:spacing w:before="40" w:after="40"/>
      <w:jc w:val="center"/>
    </w:pPr>
    <w:rPr>
      <w:rFonts w:ascii="宋体" w:hAnsi="Times New Roman" w:eastAsia="宋体" w:cs="Times New Roman"/>
      <w:color w:val="000080"/>
      <w:kern w:val="2"/>
      <w:sz w:val="24"/>
      <w:szCs w:val="24"/>
      <w:lang w:val="en-US" w:eastAsia="zh-CN" w:bidi="ar-SA"/>
    </w:rPr>
  </w:style>
  <w:style w:type="paragraph" w:customStyle="1" w:styleId="116">
    <w:name w:val="图表内容"/>
    <w:basedOn w:val="22"/>
    <w:next w:val="1"/>
    <w:autoRedefine/>
    <w:qFormat/>
    <w:uiPriority w:val="0"/>
    <w:pPr>
      <w:spacing w:line="240" w:lineRule="auto"/>
      <w:ind w:firstLine="0" w:firstLineChars="0"/>
      <w:jc w:val="left"/>
    </w:pPr>
    <w:rPr>
      <w:rFonts w:ascii="Calibri" w:hAnsi="Calibri"/>
      <w:sz w:val="21"/>
    </w:rPr>
  </w:style>
  <w:style w:type="paragraph" w:customStyle="1" w:styleId="117">
    <w:name w:val="图表"/>
    <w:basedOn w:val="1"/>
    <w:next w:val="1"/>
    <w:autoRedefine/>
    <w:semiHidden/>
    <w:qFormat/>
    <w:uiPriority w:val="0"/>
    <w:pPr>
      <w:spacing w:before="120" w:after="120" w:line="360" w:lineRule="auto"/>
      <w:ind w:firstLine="1044" w:firstLineChars="200"/>
      <w:jc w:val="center"/>
    </w:pPr>
    <w:rPr>
      <w:sz w:val="24"/>
      <w:szCs w:val="21"/>
    </w:rPr>
  </w:style>
  <w:style w:type="paragraph" w:customStyle="1" w:styleId="118">
    <w:name w:val="Body text|2"/>
    <w:basedOn w:val="1"/>
    <w:autoRedefine/>
    <w:qFormat/>
    <w:uiPriority w:val="0"/>
    <w:pPr>
      <w:spacing w:line="360" w:lineRule="auto"/>
      <w:ind w:firstLine="1044" w:firstLineChars="200"/>
      <w:jc w:val="center"/>
    </w:pPr>
    <w:rPr>
      <w:rFonts w:ascii="宋体" w:hAnsi="宋体" w:cs="宋体"/>
      <w:sz w:val="24"/>
      <w:lang w:val="zh-TW" w:eastAsia="zh-TW" w:bidi="zh-TW"/>
    </w:rPr>
  </w:style>
  <w:style w:type="paragraph" w:customStyle="1" w:styleId="119">
    <w:name w:val="正文文本 22"/>
    <w:basedOn w:val="1"/>
    <w:autoRedefine/>
    <w:qFormat/>
    <w:uiPriority w:val="0"/>
    <w:pPr>
      <w:adjustRightInd w:val="0"/>
      <w:spacing w:line="360" w:lineRule="auto"/>
      <w:ind w:firstLine="1044" w:firstLineChars="200"/>
      <w:jc w:val="center"/>
    </w:pPr>
    <w:rPr>
      <w:sz w:val="24"/>
      <w:szCs w:val="20"/>
    </w:rPr>
  </w:style>
  <w:style w:type="paragraph" w:customStyle="1" w:styleId="120">
    <w:name w:val="Heading #1|1"/>
    <w:basedOn w:val="1"/>
    <w:autoRedefine/>
    <w:qFormat/>
    <w:uiPriority w:val="0"/>
    <w:pPr>
      <w:spacing w:after="680" w:line="360" w:lineRule="auto"/>
      <w:ind w:firstLine="1044" w:firstLineChars="200"/>
      <w:jc w:val="center"/>
      <w:outlineLvl w:val="0"/>
    </w:pPr>
    <w:rPr>
      <w:rFonts w:ascii="宋体" w:hAnsi="宋体" w:cs="宋体"/>
      <w:sz w:val="44"/>
      <w:szCs w:val="44"/>
      <w:lang w:val="zh-TW" w:eastAsia="zh-TW" w:bidi="zh-TW"/>
    </w:rPr>
  </w:style>
  <w:style w:type="paragraph" w:customStyle="1" w:styleId="121">
    <w:name w:val="D图表内容"/>
    <w:basedOn w:val="1"/>
    <w:next w:val="1"/>
    <w:autoRedefine/>
    <w:qFormat/>
    <w:uiPriority w:val="0"/>
    <w:pPr>
      <w:widowControl/>
      <w:spacing w:line="360" w:lineRule="auto"/>
      <w:ind w:firstLine="1044" w:firstLineChars="200"/>
      <w:jc w:val="center"/>
    </w:pPr>
    <w:rPr>
      <w:rFonts w:cs="宋体"/>
      <w:sz w:val="24"/>
      <w:szCs w:val="18"/>
    </w:rPr>
  </w:style>
  <w:style w:type="paragraph" w:customStyle="1" w:styleId="122">
    <w:name w:val="Body text|1"/>
    <w:basedOn w:val="1"/>
    <w:autoRedefine/>
    <w:qFormat/>
    <w:uiPriority w:val="0"/>
    <w:pPr>
      <w:spacing w:line="360" w:lineRule="auto"/>
      <w:ind w:firstLine="1044" w:firstLineChars="200"/>
      <w:jc w:val="center"/>
    </w:pPr>
    <w:rPr>
      <w:rFonts w:ascii="宋体" w:hAnsi="宋体" w:cs="宋体"/>
      <w:sz w:val="24"/>
      <w:lang w:val="zh-TW" w:eastAsia="zh-TW" w:bidi="zh-TW"/>
    </w:rPr>
  </w:style>
  <w:style w:type="paragraph" w:customStyle="1" w:styleId="123">
    <w:name w:val="正文样式"/>
    <w:basedOn w:val="1"/>
    <w:autoRedefine/>
    <w:qFormat/>
    <w:uiPriority w:val="0"/>
    <w:pPr>
      <w:spacing w:line="360" w:lineRule="auto"/>
      <w:ind w:right="170" w:firstLine="480" w:firstLineChars="200"/>
    </w:pPr>
    <w:rPr>
      <w:rFonts w:hAnsi="宋体"/>
      <w:sz w:val="24"/>
    </w:rPr>
  </w:style>
  <w:style w:type="paragraph" w:customStyle="1" w:styleId="124">
    <w:name w:val="yt正文"/>
    <w:basedOn w:val="7"/>
    <w:next w:val="15"/>
    <w:autoRedefine/>
    <w:qFormat/>
    <w:uiPriority w:val="0"/>
    <w:pPr>
      <w:spacing w:line="360" w:lineRule="auto"/>
      <w:ind w:firstLine="200"/>
    </w:pPr>
    <w:rPr>
      <w:sz w:val="24"/>
    </w:rPr>
  </w:style>
  <w:style w:type="paragraph" w:customStyle="1" w:styleId="125">
    <w:name w:val="表头，alt+D"/>
    <w:basedOn w:val="1"/>
    <w:autoRedefine/>
    <w:qFormat/>
    <w:uiPriority w:val="0"/>
    <w:pPr>
      <w:spacing w:before="60" w:after="60" w:line="240" w:lineRule="atLeast"/>
      <w:ind w:left="-113" w:right="-113" w:firstLine="1044" w:firstLineChars="200"/>
      <w:jc w:val="center"/>
    </w:pPr>
    <w:rPr>
      <w:rFonts w:ascii="宋体"/>
      <w:color w:val="808000"/>
      <w:sz w:val="24"/>
    </w:rPr>
  </w:style>
  <w:style w:type="paragraph" w:customStyle="1" w:styleId="126">
    <w:name w:val="xl37"/>
    <w:basedOn w:val="1"/>
    <w:autoRedefine/>
    <w:qFormat/>
    <w:uiPriority w:val="0"/>
    <w:pPr>
      <w:widowControl/>
      <w:spacing w:before="100" w:beforeAutospacing="1" w:after="100" w:afterAutospacing="1" w:line="360" w:lineRule="auto"/>
      <w:ind w:firstLine="1044" w:firstLineChars="200"/>
      <w:jc w:val="center"/>
    </w:pPr>
    <w:rPr>
      <w:rFonts w:ascii="宋体" w:hAnsi="宋体"/>
      <w:kern w:val="0"/>
      <w:sz w:val="24"/>
    </w:rPr>
  </w:style>
  <w:style w:type="paragraph" w:customStyle="1" w:styleId="127">
    <w:name w:val="表格正文 Char"/>
    <w:basedOn w:val="1"/>
    <w:next w:val="1"/>
    <w:autoRedefine/>
    <w:qFormat/>
    <w:uiPriority w:val="0"/>
    <w:pPr>
      <w:spacing w:line="360" w:lineRule="auto"/>
      <w:ind w:firstLine="1044" w:firstLineChars="200"/>
      <w:jc w:val="center"/>
    </w:pPr>
    <w:rPr>
      <w:rFonts w:ascii="宋体"/>
      <w:color w:val="000000"/>
      <w:spacing w:val="4"/>
      <w:w w:val="90"/>
      <w:sz w:val="24"/>
    </w:rPr>
  </w:style>
  <w:style w:type="paragraph" w:customStyle="1" w:styleId="128">
    <w:name w:val="正本文字0705"/>
    <w:basedOn w:val="1"/>
    <w:autoRedefine/>
    <w:qFormat/>
    <w:uiPriority w:val="0"/>
    <w:pPr>
      <w:adjustRightInd w:val="0"/>
      <w:snapToGrid w:val="0"/>
      <w:spacing w:line="360" w:lineRule="auto"/>
      <w:ind w:firstLine="200" w:firstLineChars="200"/>
    </w:pPr>
    <w:rPr>
      <w:rFonts w:cs="宋体"/>
      <w:color w:val="000000"/>
      <w:kern w:val="18"/>
      <w:sz w:val="24"/>
    </w:rPr>
  </w:style>
  <w:style w:type="paragraph" w:customStyle="1" w:styleId="129">
    <w:name w:val="_B五号图表内容"/>
    <w:basedOn w:val="1"/>
    <w:next w:val="116"/>
    <w:autoRedefine/>
    <w:qFormat/>
    <w:uiPriority w:val="0"/>
    <w:pPr>
      <w:widowControl/>
      <w:spacing w:line="240" w:lineRule="atLeast"/>
      <w:jc w:val="center"/>
    </w:pPr>
    <w:rPr>
      <w:rFonts w:cs="宋体"/>
      <w:szCs w:val="18"/>
    </w:rPr>
  </w:style>
  <w:style w:type="paragraph" w:customStyle="1" w:styleId="13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正文文本5"/>
    <w:basedOn w:val="1"/>
    <w:autoRedefine/>
    <w:qFormat/>
    <w:uiPriority w:val="0"/>
    <w:pPr>
      <w:shd w:val="clear" w:color="auto" w:fill="FFFFFF"/>
      <w:spacing w:after="960" w:line="0" w:lineRule="atLeast"/>
      <w:ind w:firstLine="1044" w:firstLineChars="200"/>
      <w:jc w:val="center"/>
    </w:pPr>
    <w:rPr>
      <w:rFonts w:ascii="MingLiU" w:hAnsi="MingLiU" w:eastAsia="MingLiU"/>
      <w:sz w:val="19"/>
      <w:szCs w:val="19"/>
    </w:rPr>
  </w:style>
  <w:style w:type="paragraph" w:customStyle="1" w:styleId="132">
    <w:name w:val="样式 文本正文 + 首行缩进:  2 字符3"/>
    <w:basedOn w:val="111"/>
    <w:autoRedefine/>
    <w:qFormat/>
    <w:uiPriority w:val="0"/>
    <w:pPr>
      <w:ind w:firstLine="496"/>
    </w:pPr>
    <w:rPr>
      <w:rFonts w:cs="宋体"/>
      <w:kern w:val="21"/>
    </w:rPr>
  </w:style>
  <w:style w:type="paragraph" w:customStyle="1" w:styleId="133">
    <w:name w:val="正文文本 21"/>
    <w:basedOn w:val="1"/>
    <w:autoRedefine/>
    <w:qFormat/>
    <w:uiPriority w:val="0"/>
    <w:pPr>
      <w:spacing w:line="360" w:lineRule="auto"/>
      <w:ind w:firstLine="1044" w:firstLineChars="200"/>
      <w:jc w:val="center"/>
    </w:pPr>
    <w:rPr>
      <w:sz w:val="24"/>
    </w:rPr>
  </w:style>
  <w:style w:type="paragraph" w:customStyle="1" w:styleId="134">
    <w:name w:val="样式"/>
    <w:autoRedefine/>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35">
    <w:name w:val="表格居中 Char"/>
    <w:basedOn w:val="1"/>
    <w:autoRedefine/>
    <w:qFormat/>
    <w:uiPriority w:val="0"/>
    <w:pPr>
      <w:spacing w:line="360" w:lineRule="auto"/>
      <w:ind w:firstLine="1044" w:firstLineChars="200"/>
      <w:jc w:val="center"/>
    </w:pPr>
    <w:rPr>
      <w:rFonts w:ascii="宋体" w:hAnsi="宋体"/>
      <w:w w:val="90"/>
      <w:sz w:val="24"/>
    </w:rPr>
  </w:style>
  <w:style w:type="paragraph" w:customStyle="1" w:styleId="136">
    <w:name w:val="1文章"/>
    <w:basedOn w:val="1"/>
    <w:autoRedefine/>
    <w:qFormat/>
    <w:uiPriority w:val="0"/>
    <w:pPr>
      <w:snapToGrid w:val="0"/>
      <w:spacing w:line="360" w:lineRule="auto"/>
      <w:ind w:firstLine="573" w:firstLineChars="200"/>
    </w:pPr>
    <w:rPr>
      <w:rFonts w:eastAsia="仿宋_GB2312"/>
      <w:sz w:val="28"/>
    </w:rPr>
  </w:style>
  <w:style w:type="paragraph" w:customStyle="1" w:styleId="137">
    <w:name w:val="05F凡式正文"/>
    <w:basedOn w:val="1"/>
    <w:autoRedefine/>
    <w:qFormat/>
    <w:uiPriority w:val="0"/>
    <w:pPr>
      <w:spacing w:line="360" w:lineRule="auto"/>
      <w:ind w:firstLine="720" w:firstLineChars="200"/>
    </w:pPr>
    <w:rPr>
      <w:kern w:val="0"/>
      <w:sz w:val="24"/>
      <w:szCs w:val="20"/>
    </w:rPr>
  </w:style>
  <w:style w:type="paragraph" w:customStyle="1" w:styleId="138">
    <w:name w:val="报告正文"/>
    <w:basedOn w:val="1"/>
    <w:autoRedefine/>
    <w:qFormat/>
    <w:uiPriority w:val="0"/>
    <w:pPr>
      <w:spacing w:line="360" w:lineRule="auto"/>
      <w:ind w:firstLine="482" w:firstLineChars="200"/>
    </w:pPr>
    <w:rPr>
      <w:sz w:val="24"/>
    </w:rPr>
  </w:style>
  <w:style w:type="paragraph" w:customStyle="1" w:styleId="139">
    <w:name w:val="正文文本 24"/>
    <w:basedOn w:val="1"/>
    <w:autoRedefine/>
    <w:qFormat/>
    <w:uiPriority w:val="0"/>
    <w:pPr>
      <w:ind w:firstLine="1044" w:firstLineChars="200"/>
      <w:jc w:val="center"/>
    </w:pPr>
    <w:rPr>
      <w:sz w:val="24"/>
    </w:rPr>
  </w:style>
  <w:style w:type="character" w:customStyle="1" w:styleId="140">
    <w:name w:val="批注框文本 字符1"/>
    <w:autoRedefine/>
    <w:semiHidden/>
    <w:qFormat/>
    <w:locked/>
    <w:uiPriority w:val="0"/>
    <w:rPr>
      <w:sz w:val="18"/>
    </w:rPr>
  </w:style>
  <w:style w:type="character" w:customStyle="1" w:styleId="141">
    <w:name w:val="页脚 字符1"/>
    <w:autoRedefine/>
    <w:semiHidden/>
    <w:qFormat/>
    <w:locked/>
    <w:uiPriority w:val="99"/>
    <w:rPr>
      <w:sz w:val="18"/>
    </w:rPr>
  </w:style>
  <w:style w:type="character" w:customStyle="1" w:styleId="142">
    <w:name w:val="标题 3 Char"/>
    <w:autoRedefine/>
    <w:qFormat/>
    <w:uiPriority w:val="0"/>
    <w:rPr>
      <w:rFonts w:hint="default" w:ascii="Times New Roman" w:hAnsi="Times New Roman" w:eastAsia="宋体" w:cs="Times New Roman"/>
      <w:b/>
      <w:kern w:val="0"/>
      <w:sz w:val="30"/>
      <w:szCs w:val="24"/>
      <w:lang w:val="en-US" w:bidi="ar-SA"/>
    </w:rPr>
  </w:style>
  <w:style w:type="character" w:customStyle="1" w:styleId="143">
    <w:name w:val="font01"/>
    <w:autoRedefine/>
    <w:qFormat/>
    <w:uiPriority w:val="0"/>
    <w:rPr>
      <w:rFonts w:hint="default" w:ascii="Times New Roman" w:hAnsi="Times New Roman" w:cs="Times New Roman"/>
      <w:color w:val="000000"/>
      <w:sz w:val="18"/>
      <w:szCs w:val="18"/>
      <w:u w:val="none"/>
      <w:vertAlign w:val="subscript"/>
    </w:rPr>
  </w:style>
  <w:style w:type="character" w:customStyle="1" w:styleId="144">
    <w:name w:val="正文文本2"/>
    <w:autoRedefine/>
    <w:qFormat/>
    <w:uiPriority w:val="0"/>
    <w:rPr>
      <w:rFonts w:hint="eastAsia" w:ascii="MingLiU" w:hAnsi="MingLiU" w:eastAsia="MingLiU" w:cs="MingLiU"/>
      <w:color w:val="000000"/>
      <w:spacing w:val="0"/>
      <w:w w:val="100"/>
      <w:position w:val="0"/>
      <w:sz w:val="19"/>
      <w:szCs w:val="19"/>
      <w:shd w:val="clear" w:color="auto" w:fill="FFFFFF"/>
      <w:lang w:val="zh-TW"/>
    </w:rPr>
  </w:style>
  <w:style w:type="character" w:customStyle="1" w:styleId="145">
    <w:name w:val="font11"/>
    <w:autoRedefine/>
    <w:qFormat/>
    <w:uiPriority w:val="0"/>
    <w:rPr>
      <w:rFonts w:hint="eastAsia" w:ascii="仿宋_GB2312" w:eastAsia="仿宋_GB2312" w:cs="仿宋_GB2312"/>
      <w:b/>
      <w:color w:val="000000"/>
      <w:sz w:val="18"/>
      <w:szCs w:val="18"/>
      <w:u w:val="none"/>
      <w:vertAlign w:val="subscript"/>
    </w:rPr>
  </w:style>
  <w:style w:type="character" w:customStyle="1" w:styleId="146">
    <w:name w:val="font21"/>
    <w:autoRedefine/>
    <w:qFormat/>
    <w:uiPriority w:val="0"/>
    <w:rPr>
      <w:rFonts w:hint="eastAsia" w:ascii="仿宋_GB2312" w:eastAsia="仿宋_GB2312" w:cs="仿宋_GB2312"/>
      <w:b/>
      <w:color w:val="000000"/>
      <w:sz w:val="18"/>
      <w:szCs w:val="18"/>
      <w:u w:val="none"/>
    </w:rPr>
  </w:style>
  <w:style w:type="character" w:customStyle="1" w:styleId="147">
    <w:name w:val="font31"/>
    <w:autoRedefine/>
    <w:qFormat/>
    <w:uiPriority w:val="0"/>
    <w:rPr>
      <w:rFonts w:hint="default" w:ascii="Times New Roman" w:hAnsi="Times New Roman" w:cs="Times New Roman"/>
      <w:color w:val="000000"/>
      <w:sz w:val="18"/>
      <w:szCs w:val="18"/>
      <w:u w:val="none"/>
    </w:rPr>
  </w:style>
  <w:style w:type="character" w:customStyle="1" w:styleId="148">
    <w:name w:val="font41"/>
    <w:autoRedefine/>
    <w:qFormat/>
    <w:uiPriority w:val="0"/>
    <w:rPr>
      <w:rFonts w:hint="default" w:ascii="Times New Roman" w:hAnsi="Times New Roman" w:cs="Times New Roman"/>
      <w:color w:val="000000"/>
      <w:sz w:val="18"/>
      <w:szCs w:val="18"/>
      <w:u w:val="none"/>
      <w:vertAlign w:val="superscript"/>
    </w:rPr>
  </w:style>
  <w:style w:type="paragraph" w:customStyle="1" w:styleId="149">
    <w:name w:val="D表内"/>
    <w:basedOn w:val="117"/>
    <w:autoRedefine/>
    <w:semiHidden/>
    <w:qFormat/>
    <w:uiPriority w:val="0"/>
    <w:pPr>
      <w:spacing w:before="40" w:after="40"/>
    </w:pPr>
  </w:style>
  <w:style w:type="paragraph" w:customStyle="1" w:styleId="150">
    <w:name w:val="_B五号图表加粗"/>
    <w:basedOn w:val="129"/>
    <w:autoRedefine/>
    <w:qFormat/>
    <w:uiPriority w:val="0"/>
    <w:rPr>
      <w:b/>
    </w:rPr>
  </w:style>
  <w:style w:type="paragraph" w:customStyle="1" w:styleId="151">
    <w:name w:val="D表0"/>
    <w:basedOn w:val="149"/>
    <w:autoRedefine/>
    <w:qFormat/>
    <w:uiPriority w:val="0"/>
    <w:pPr>
      <w:spacing w:before="0" w:after="0"/>
    </w:pPr>
  </w:style>
  <w:style w:type="paragraph" w:customStyle="1" w:styleId="152">
    <w:name w:val="正文文本 211"/>
    <w:basedOn w:val="1"/>
    <w:autoRedefine/>
    <w:qFormat/>
    <w:uiPriority w:val="0"/>
    <w:pPr>
      <w:jc w:val="center"/>
    </w:pPr>
    <w:rPr>
      <w:sz w:val="24"/>
    </w:rPr>
  </w:style>
  <w:style w:type="character" w:customStyle="1" w:styleId="153">
    <w:name w:val="批注文字 Char"/>
    <w:autoRedefine/>
    <w:semiHidden/>
    <w:qFormat/>
    <w:locked/>
    <w:uiPriority w:val="0"/>
    <w:rPr>
      <w:szCs w:val="24"/>
    </w:rPr>
  </w:style>
  <w:style w:type="paragraph" w:customStyle="1" w:styleId="154">
    <w:name w:val="表格标题"/>
    <w:basedOn w:val="1"/>
    <w:autoRedefine/>
    <w:qFormat/>
    <w:uiPriority w:val="0"/>
    <w:pPr>
      <w:jc w:val="center"/>
    </w:pPr>
    <w:rPr>
      <w:bCs/>
    </w:rPr>
  </w:style>
  <w:style w:type="paragraph" w:customStyle="1" w:styleId="155">
    <w:name w:val="_Style 153"/>
    <w:basedOn w:val="1"/>
    <w:next w:val="69"/>
    <w:autoRedefine/>
    <w:qFormat/>
    <w:uiPriority w:val="99"/>
    <w:pPr>
      <w:spacing w:line="360" w:lineRule="auto"/>
      <w:ind w:firstLine="420" w:firstLineChars="200"/>
    </w:pPr>
    <w:rPr>
      <w:sz w:val="24"/>
    </w:rPr>
  </w:style>
  <w:style w:type="paragraph" w:customStyle="1" w:styleId="156">
    <w:name w:val="正文1"/>
    <w:autoRedefine/>
    <w:qFormat/>
    <w:uiPriority w:val="0"/>
    <w:pPr>
      <w:jc w:val="both"/>
    </w:pPr>
    <w:rPr>
      <w:rFonts w:ascii="Calibri" w:hAnsi="Calibri" w:eastAsia="宋体" w:cs="Calibri"/>
      <w:kern w:val="2"/>
      <w:sz w:val="21"/>
      <w:szCs w:val="21"/>
      <w:lang w:val="en-US" w:eastAsia="zh-CN" w:bidi="ar-SA"/>
    </w:rPr>
  </w:style>
  <w:style w:type="paragraph" w:customStyle="1" w:styleId="157">
    <w:name w:val="_Style 149"/>
    <w:basedOn w:val="3"/>
    <w:next w:val="1"/>
    <w:autoRedefine/>
    <w:qFormat/>
    <w:uiPriority w:val="39"/>
    <w:pPr>
      <w:keepLines/>
      <w:widowControl/>
      <w:overflowPunct/>
      <w:snapToGrid/>
      <w:spacing w:before="240" w:after="0"/>
      <w:ind w:left="0" w:firstLine="0"/>
      <w:jc w:val="left"/>
      <w:outlineLvl w:val="9"/>
    </w:pPr>
    <w:rPr>
      <w:rFonts w:ascii="等线 Light" w:hAnsi="等线 Light" w:eastAsia="等线 Light"/>
      <w:bCs w:val="0"/>
      <w:color w:val="2F5496"/>
      <w:kern w:val="0"/>
      <w:sz w:val="32"/>
      <w:szCs w:val="32"/>
    </w:rPr>
  </w:style>
  <w:style w:type="character" w:customStyle="1" w:styleId="158">
    <w:name w:val="日期 Char"/>
    <w:autoRedefine/>
    <w:qFormat/>
    <w:locked/>
    <w:uiPriority w:val="0"/>
    <w:rPr>
      <w:rFonts w:ascii="Times New Roman" w:hAnsi="Times New Roman" w:eastAsia="宋体"/>
      <w:sz w:val="24"/>
    </w:rPr>
  </w:style>
  <w:style w:type="paragraph" w:customStyle="1" w:styleId="159">
    <w:name w:val="表格文字"/>
    <w:basedOn w:val="1"/>
    <w:autoRedefine/>
    <w:qFormat/>
    <w:uiPriority w:val="0"/>
    <w:pPr>
      <w:spacing w:line="360" w:lineRule="auto"/>
      <w:jc w:val="center"/>
    </w:pPr>
    <w:rPr>
      <w:rFonts w:ascii="宋体" w:hAnsi="宋体" w:eastAsia="仿宋_GB2312" w:cs="黑体"/>
      <w:kern w:val="44"/>
      <w:szCs w:val="20"/>
    </w:rPr>
  </w:style>
  <w:style w:type="paragraph" w:customStyle="1" w:styleId="160">
    <w:name w:val="zw"/>
    <w:basedOn w:val="1"/>
    <w:autoRedefine/>
    <w:qFormat/>
    <w:uiPriority w:val="0"/>
    <w:pPr>
      <w:shd w:val="clear" w:color="auto" w:fill="FFFFFF"/>
      <w:adjustRightInd w:val="0"/>
      <w:snapToGrid w:val="0"/>
      <w:spacing w:line="360" w:lineRule="auto"/>
      <w:ind w:firstLine="480" w:firstLineChars="200"/>
    </w:pPr>
    <w:rPr>
      <w:rFonts w:ascii="宋体" w:hAnsi="宋体"/>
      <w:snapToGrid w:val="0"/>
      <w:kern w:val="0"/>
      <w:sz w:val="24"/>
    </w:rPr>
  </w:style>
  <w:style w:type="paragraph" w:customStyle="1" w:styleId="161">
    <w:name w:val="表格环书"/>
    <w:basedOn w:val="22"/>
    <w:autoRedefine/>
    <w:qFormat/>
    <w:uiPriority w:val="0"/>
    <w:pPr>
      <w:spacing w:line="240" w:lineRule="auto"/>
      <w:ind w:firstLine="0" w:firstLineChars="0"/>
    </w:pPr>
    <w:rPr>
      <w:rFonts w:ascii="Times New Roman" w:eastAsia="宋体"/>
      <w:sz w:val="21"/>
    </w:rPr>
  </w:style>
  <w:style w:type="paragraph" w:customStyle="1" w:styleId="162">
    <w:name w:val="1表格"/>
    <w:basedOn w:val="1"/>
    <w:autoRedefine/>
    <w:qFormat/>
    <w:uiPriority w:val="0"/>
    <w:pPr>
      <w:adjustRightInd w:val="0"/>
      <w:snapToGrid w:val="0"/>
      <w:jc w:val="center"/>
    </w:pPr>
    <w:rPr>
      <w:rFonts w:ascii="宋体" w:hAnsi="宋体"/>
      <w:spacing w:val="4"/>
      <w:kern w:val="0"/>
      <w:sz w:val="24"/>
      <w:szCs w:val="20"/>
    </w:rPr>
  </w:style>
  <w:style w:type="character" w:customStyle="1" w:styleId="163">
    <w:name w:val="fontstyle01"/>
    <w:basedOn w:val="32"/>
    <w:autoRedefine/>
    <w:qFormat/>
    <w:uiPriority w:val="0"/>
    <w:rPr>
      <w:rFonts w:hint="eastAsia" w:ascii="宋体" w:hAnsi="宋体" w:eastAsia="宋体"/>
      <w:color w:val="000000"/>
      <w:sz w:val="24"/>
      <w:szCs w:val="24"/>
    </w:rPr>
  </w:style>
  <w:style w:type="character" w:customStyle="1" w:styleId="164">
    <w:name w:val="fontstyle21"/>
    <w:basedOn w:val="32"/>
    <w:autoRedefine/>
    <w:qFormat/>
    <w:uiPriority w:val="0"/>
    <w:rPr>
      <w:rFonts w:hint="default" w:ascii="TimesNewRomanPSMT" w:hAnsi="TimesNewRomanPSMT"/>
      <w:color w:val="000000"/>
      <w:sz w:val="24"/>
      <w:szCs w:val="24"/>
    </w:rPr>
  </w:style>
  <w:style w:type="paragraph" w:customStyle="1" w:styleId="165">
    <w:name w:val="WPSOffice手动目录 1"/>
    <w:autoRedefine/>
    <w:qFormat/>
    <w:uiPriority w:val="0"/>
    <w:rPr>
      <w:rFonts w:ascii="Times New Roman" w:hAnsi="Times New Roman" w:eastAsia="宋体" w:cs="Times New Roman"/>
      <w:lang w:val="en-US" w:eastAsia="zh-CN" w:bidi="ar-SA"/>
    </w:rPr>
  </w:style>
  <w:style w:type="paragraph" w:customStyle="1" w:styleId="166">
    <w:name w:val="正文 首行缩进:  2 字符"/>
    <w:basedOn w:val="1"/>
    <w:autoRedefine/>
    <w:qFormat/>
    <w:uiPriority w:val="0"/>
    <w:pPr>
      <w:adjustRightInd w:val="0"/>
      <w:snapToGrid w:val="0"/>
      <w:ind w:firstLine="579" w:firstLineChars="200"/>
    </w:pPr>
    <w:rPr>
      <w:rFonts w:cs="宋体"/>
      <w:sz w:val="28"/>
      <w:szCs w:val="20"/>
    </w:rPr>
  </w:style>
  <w:style w:type="paragraph" w:customStyle="1" w:styleId="167">
    <w:name w:val="Table Text"/>
    <w:basedOn w:val="1"/>
    <w:autoRedefine/>
    <w:semiHidden/>
    <w:qFormat/>
    <w:uiPriority w:val="0"/>
    <w:rPr>
      <w:rFonts w:ascii="仿宋" w:hAnsi="仿宋" w:eastAsia="仿宋" w:cs="仿宋"/>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13941</Words>
  <Characters>14855</Characters>
  <Lines>542</Lines>
  <Paragraphs>152</Paragraphs>
  <TotalTime>2</TotalTime>
  <ScaleCrop>false</ScaleCrop>
  <LinksUpToDate>false</LinksUpToDate>
  <CharactersWithSpaces>14950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2023-05-14T16:20:00Z</dcterms:created>
  <dc:creator>尚云环境</dc:creator>
  <cp:lastModifiedBy>清霁</cp:lastModifiedBy>
  <cp:lastPrinted>2024-08-30T03:27:00Z</cp:lastPrinted>
  <dcterms:modified xsi:type="dcterms:W3CDTF">2024-12-09T01:59:11Z</dcterms:modified>
  <dc:title>建设项目环境影响报告表（生态影响类）</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298C8E5A7E1C43C0AF1FAA07E9B6F7DE_13</vt:lpwstr>
  </property>
</Properties>
</file>