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default" w:ascii="Times New Roman" w:hAnsi="Times New Roman" w:eastAsia="方正黑体_GBK"/>
          <w:bCs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江苏省工伤保险行业风险分类与费率表</w:t>
      </w:r>
    </w:p>
    <w:p>
      <w:pPr>
        <w:widowControl/>
        <w:spacing w:line="590" w:lineRule="exact"/>
        <w:jc w:val="center"/>
        <w:rPr>
          <w:rFonts w:ascii="Times New Roman" w:hAnsi="Times New Roman" w:eastAsia="仿宋_GB2312"/>
          <w:bCs/>
          <w:kern w:val="0"/>
          <w:sz w:val="44"/>
          <w:szCs w:val="44"/>
        </w:rPr>
      </w:pPr>
    </w:p>
    <w:tbl>
      <w:tblPr>
        <w:tblStyle w:val="3"/>
        <w:tblW w:w="93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903"/>
        <w:gridCol w:w="1682"/>
        <w:gridCol w:w="2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/>
                <w:sz w:val="24"/>
                <w:szCs w:val="24"/>
              </w:rPr>
              <w:t>行业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/>
                <w:sz w:val="24"/>
                <w:szCs w:val="24"/>
              </w:rPr>
              <w:t>类别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/>
                <w:sz w:val="24"/>
                <w:szCs w:val="24"/>
              </w:rPr>
              <w:t>行业名称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/>
                <w:sz w:val="24"/>
                <w:szCs w:val="24"/>
              </w:rPr>
              <w:t>基准费率（%）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/>
                <w:sz w:val="24"/>
                <w:szCs w:val="24"/>
              </w:rPr>
              <w:t>浮动费率（%）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一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软件和信息技术服务业，货币金融服务，资本市场服务，保险业，其他金融业，科技推广和应用服务业，社会工作，广播、电视、电影和影视录音制作业，中国共产党机关，国家机构，人民政协、民主党派，社会保障，群众团体、社会团体和其他成员组织，基层群众自治组织，国际组织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0.2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上浮一档：0.24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上浮二档：0.3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二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0.4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下浮二档：0.2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下浮一档：0.32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上浮一档：0.48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上浮二档：0.6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三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农副食品加工业，食品制造业，酒、饮料和精制茶制造业，烟草制品业，纺织业，木材加工和木、竹、藤、棕、草制品业，文教、工美、体育和娱乐用品制造业，计算机、通信和其他电子设备制造业，仪器仪表制造业，其他制造业，水的生产和供应业，机动车、电子产品和日用产品修理业，水利管理业，生态保护和环境治理业，公共设施管理业，娱乐业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0.7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下浮二档：0.35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下浮一档：0.56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上浮一档：0.84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上浮二档：1.05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四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造业，电气机械和器材制造业，废弃资源综合利用业，金属制品、机械和设备修理业，电力、热力生产和供应业，燃气生产和供应业，铁路运输业，航空运输业，管道运输业，体育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0.9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下浮二档：0.45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下浮一档：0.72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上浮一档：1.08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上浮二档：1.35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五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1.1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下浮二档：0.55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下浮一档：0.88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上浮一档：1.32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上浮二档：1.65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六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1.3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下浮二档：0.65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下浮一档：1.04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上浮一档：1.56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上浮二档：1.95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七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石油和天然气开采业，其他采矿业，石油加工、炼焦和核燃料加工业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1.6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下浮二档：0.8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下浮一档：1.28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上浮一档：1.92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上浮二档：2.4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八</w:t>
            </w:r>
          </w:p>
        </w:tc>
        <w:tc>
          <w:tcPr>
            <w:tcW w:w="4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煤炭开采和洗选业，黑色金属矿采选业，有色金属矿采选业，非金属矿采选业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1.9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下浮二档：0.95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下浮一档：1.52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上浮一档：2.28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上浮二档：2.85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2020-12-08T06:16:15Z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