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Times New Roman" w:hAnsi="Times New Roman" w:eastAsia="宋体" w:cs="Times New Roman"/>
          <w:sz w:val="20"/>
          <w:szCs w:val="20"/>
          <w:lang w:val="en-US" w:eastAsia="zh-CN"/>
        </w:rPr>
      </w:pPr>
      <w:r>
        <w:rPr>
          <w:rFonts w:hint="eastAsia" w:ascii="Times New Roman" w:hAnsi="Times New Roman" w:eastAsia="宋体" w:cs="Times New Roman"/>
          <w:sz w:val="20"/>
          <w:szCs w:val="20"/>
          <w:lang w:val="en-US" w:eastAsia="zh-CN"/>
        </w:rPr>
        <w:t xml:space="preserve"> </w:t>
      </w:r>
    </w:p>
    <w:p>
      <w:pPr>
        <w:rPr>
          <w:rFonts w:hint="default" w:ascii="Times New Roman" w:hAnsi="Times New Roman" w:eastAsia="Times New Roman" w:cs="Times New Roman"/>
          <w:sz w:val="20"/>
          <w:szCs w:val="20"/>
        </w:rPr>
      </w:pPr>
    </w:p>
    <w:p>
      <w:pPr>
        <w:rPr>
          <w:rFonts w:hint="default" w:ascii="Times New Roman" w:hAnsi="Times New Roman" w:eastAsia="Times New Roman" w:cs="Times New Roman"/>
          <w:sz w:val="20"/>
          <w:szCs w:val="20"/>
        </w:rPr>
      </w:pPr>
    </w:p>
    <w:p>
      <w:pPr>
        <w:rPr>
          <w:rFonts w:hint="default" w:ascii="Times New Roman" w:hAnsi="Times New Roman" w:eastAsia="Times New Roman" w:cs="Times New Roman"/>
          <w:sz w:val="20"/>
          <w:szCs w:val="20"/>
        </w:rPr>
      </w:pPr>
    </w:p>
    <w:p>
      <w:pPr>
        <w:rPr>
          <w:rFonts w:hint="default" w:ascii="Times New Roman" w:hAnsi="Times New Roman" w:eastAsia="Times New Roman" w:cs="Times New Roman"/>
          <w:sz w:val="20"/>
          <w:szCs w:val="20"/>
        </w:rPr>
      </w:pPr>
    </w:p>
    <w:p>
      <w:pPr>
        <w:rPr>
          <w:rFonts w:hint="default" w:ascii="Times New Roman" w:hAnsi="Times New Roman" w:eastAsia="Times New Roman" w:cs="Times New Roman"/>
          <w:sz w:val="20"/>
          <w:szCs w:val="20"/>
        </w:rPr>
      </w:pPr>
    </w:p>
    <w:p>
      <w:pPr>
        <w:rPr>
          <w:rFonts w:hint="default" w:ascii="Times New Roman" w:hAnsi="Times New Roman" w:eastAsia="Times New Roman" w:cs="Times New Roman"/>
          <w:sz w:val="20"/>
          <w:szCs w:val="20"/>
        </w:rPr>
      </w:pPr>
    </w:p>
    <w:p>
      <w:pPr>
        <w:rPr>
          <w:rFonts w:hint="default" w:ascii="Times New Roman" w:hAnsi="Times New Roman" w:eastAsia="Times New Roman" w:cs="Times New Roman"/>
          <w:sz w:val="20"/>
          <w:szCs w:val="20"/>
        </w:rPr>
      </w:pPr>
    </w:p>
    <w:p>
      <w:pPr>
        <w:spacing w:line="866" w:lineRule="exact"/>
        <w:ind w:left="312"/>
        <w:rPr>
          <w:rFonts w:hint="default" w:ascii="Times New Roman" w:hAnsi="Times New Roman" w:eastAsia="宋体" w:cs="Times New Roman"/>
          <w:b/>
          <w:bCs/>
          <w:sz w:val="72"/>
          <w:szCs w:val="72"/>
          <w:lang w:eastAsia="zh-CN"/>
        </w:rPr>
      </w:pPr>
      <w:r>
        <w:rPr>
          <w:rFonts w:hint="default" w:ascii="Times New Roman" w:hAnsi="Times New Roman" w:eastAsia="宋体" w:cs="Times New Roman"/>
          <w:b/>
          <w:bCs/>
          <w:sz w:val="72"/>
          <w:szCs w:val="72"/>
          <w:lang w:eastAsia="zh-CN"/>
        </w:rPr>
        <w:t>建设项目环境影响报告表</w:t>
      </w:r>
    </w:p>
    <w:p>
      <w:pPr>
        <w:spacing w:before="257"/>
        <w:ind w:right="578"/>
        <w:jc w:val="center"/>
        <w:rPr>
          <w:rFonts w:hint="default" w:ascii="Times New Roman" w:hAnsi="Times New Roman" w:eastAsia="楷体" w:cs="Times New Roman"/>
          <w:sz w:val="48"/>
          <w:szCs w:val="48"/>
        </w:rPr>
      </w:pPr>
      <w:r>
        <w:rPr>
          <w:rFonts w:hint="default" w:ascii="Times New Roman" w:hAnsi="Times New Roman" w:eastAsia="楷体" w:cs="Times New Roman"/>
          <w:sz w:val="48"/>
          <w:szCs w:val="48"/>
        </w:rPr>
        <w:t>（污染影响类）</w:t>
      </w:r>
    </w:p>
    <w:p>
      <w:pPr>
        <w:rPr>
          <w:rFonts w:hint="default" w:ascii="Times New Roman" w:hAnsi="Times New Roman" w:eastAsia="楷体" w:cs="Times New Roman"/>
          <w:sz w:val="48"/>
          <w:szCs w:val="48"/>
        </w:rPr>
      </w:pPr>
    </w:p>
    <w:p>
      <w:pPr>
        <w:rPr>
          <w:rFonts w:hint="default" w:ascii="Times New Roman" w:hAnsi="Times New Roman" w:eastAsia="楷体" w:cs="Times New Roman"/>
          <w:sz w:val="48"/>
          <w:szCs w:val="48"/>
        </w:rPr>
      </w:pPr>
    </w:p>
    <w:p>
      <w:pPr>
        <w:rPr>
          <w:rFonts w:hint="default" w:ascii="Times New Roman" w:hAnsi="Times New Roman" w:eastAsia="楷体" w:cs="Times New Roman"/>
          <w:sz w:val="48"/>
          <w:szCs w:val="48"/>
        </w:rPr>
      </w:pPr>
    </w:p>
    <w:p>
      <w:pPr>
        <w:tabs>
          <w:tab w:val="left" w:pos="6842"/>
        </w:tabs>
        <w:spacing w:line="484" w:lineRule="exact"/>
        <w:rPr>
          <w:rFonts w:hint="default" w:ascii="Times New Roman" w:hAnsi="Times New Roman" w:eastAsia="宋体" w:cs="Times New Roman"/>
          <w:sz w:val="36"/>
          <w:szCs w:val="36"/>
          <w:lang w:eastAsia="zh-CN"/>
        </w:rPr>
      </w:pPr>
    </w:p>
    <w:p>
      <w:pPr>
        <w:tabs>
          <w:tab w:val="left" w:pos="6842"/>
        </w:tabs>
        <w:spacing w:line="484" w:lineRule="exact"/>
        <w:rPr>
          <w:rFonts w:hint="default" w:ascii="Times New Roman" w:hAnsi="Times New Roman" w:eastAsia="宋体" w:cs="Times New Roman"/>
          <w:sz w:val="36"/>
          <w:szCs w:val="36"/>
          <w:u w:val="single"/>
          <w:lang w:val="en-US" w:eastAsia="zh-CN"/>
        </w:rPr>
      </w:pPr>
      <w:r>
        <w:rPr>
          <w:rFonts w:hint="default" w:ascii="Times New Roman" w:hAnsi="Times New Roman" w:eastAsia="宋体" w:cs="Times New Roman"/>
          <w:sz w:val="36"/>
          <w:szCs w:val="36"/>
          <w:lang w:eastAsia="zh-CN"/>
        </w:rPr>
        <w:t>项目名称：</w:t>
      </w:r>
      <w:r>
        <w:rPr>
          <w:rFonts w:hint="default" w:ascii="Times New Roman" w:hAnsi="Times New Roman" w:eastAsia="宋体" w:cs="Times New Roman"/>
          <w:sz w:val="36"/>
          <w:szCs w:val="36"/>
          <w:u w:val="single"/>
          <w:lang w:val="en-US" w:eastAsia="zh-CN"/>
        </w:rPr>
        <w:t xml:space="preserve"> </w:t>
      </w:r>
      <w:r>
        <w:rPr>
          <w:rFonts w:hint="default" w:ascii="Times New Roman" w:hAnsi="Times New Roman" w:cs="Times New Roman"/>
          <w:sz w:val="36"/>
          <w:szCs w:val="36"/>
          <w:u w:val="single"/>
          <w:lang w:val="en-US" w:eastAsia="zh-CN"/>
        </w:rPr>
        <w:t xml:space="preserve">        </w:t>
      </w:r>
      <w:r>
        <w:rPr>
          <w:rFonts w:hint="default" w:ascii="Times New Roman" w:hAnsi="Times New Roman" w:eastAsia="宋体" w:cs="Times New Roman"/>
          <w:sz w:val="36"/>
          <w:szCs w:val="36"/>
          <w:u w:val="single"/>
          <w:lang w:val="en-US" w:eastAsia="zh-CN"/>
        </w:rPr>
        <w:t>包装材料制造项目技术改造</w:t>
      </w:r>
      <w:r>
        <w:rPr>
          <w:rFonts w:hint="default" w:ascii="Times New Roman" w:hAnsi="Times New Roman" w:cs="Times New Roman"/>
          <w:sz w:val="36"/>
          <w:szCs w:val="36"/>
          <w:u w:val="single"/>
          <w:lang w:val="en-US" w:eastAsia="zh-CN"/>
        </w:rPr>
        <w:t xml:space="preserve">            </w:t>
      </w:r>
    </w:p>
    <w:p>
      <w:pPr>
        <w:rPr>
          <w:rFonts w:hint="default" w:ascii="Times New Roman" w:hAnsi="Times New Roman" w:eastAsia="Times New Roman" w:cs="Times New Roman"/>
          <w:sz w:val="20"/>
          <w:szCs w:val="20"/>
          <w:lang w:eastAsia="zh-CN"/>
        </w:rPr>
      </w:pPr>
    </w:p>
    <w:p>
      <w:pPr>
        <w:spacing w:before="6"/>
        <w:rPr>
          <w:rFonts w:hint="default" w:ascii="Times New Roman" w:hAnsi="Times New Roman" w:eastAsia="Times New Roman" w:cs="Times New Roman"/>
          <w:sz w:val="18"/>
          <w:szCs w:val="18"/>
          <w:lang w:eastAsia="zh-CN"/>
        </w:rPr>
      </w:pPr>
    </w:p>
    <w:p>
      <w:pPr>
        <w:keepNext w:val="0"/>
        <w:keepLines w:val="0"/>
        <w:widowControl/>
        <w:suppressLineNumbers w:val="0"/>
        <w:tabs>
          <w:tab w:val="right" w:pos="9130"/>
        </w:tabs>
        <w:jc w:val="left"/>
        <w:rPr>
          <w:rFonts w:hint="default" w:ascii="Times New Roman" w:hAnsi="Times New Roman" w:eastAsia="宋体" w:cs="Times New Roman"/>
          <w:sz w:val="36"/>
          <w:szCs w:val="36"/>
          <w:u w:val="single"/>
          <w:lang w:val="en-US" w:eastAsia="zh-CN"/>
        </w:rPr>
      </w:pPr>
      <w:r>
        <w:rPr>
          <w:rFonts w:hint="default" w:ascii="Times New Roman" w:hAnsi="Times New Roman" w:eastAsia="宋体" w:cs="Times New Roman"/>
          <w:sz w:val="36"/>
          <w:szCs w:val="36"/>
          <w:lang w:eastAsia="zh-CN"/>
        </w:rPr>
        <w:t>建设单位（盖章</w:t>
      </w:r>
      <w:r>
        <w:rPr>
          <w:rFonts w:hint="default" w:ascii="Times New Roman" w:hAnsi="Times New Roman" w:eastAsia="宋体" w:cs="Times New Roman"/>
          <w:spacing w:val="-180"/>
          <w:sz w:val="36"/>
          <w:szCs w:val="36"/>
          <w:lang w:eastAsia="zh-CN"/>
        </w:rPr>
        <w:t>）</w:t>
      </w:r>
      <w:r>
        <w:rPr>
          <w:rFonts w:hint="default" w:ascii="Times New Roman" w:hAnsi="Times New Roman" w:eastAsia="宋体" w:cs="Times New Roman"/>
          <w:sz w:val="36"/>
          <w:szCs w:val="36"/>
          <w:lang w:eastAsia="zh-CN"/>
        </w:rPr>
        <w:t>：</w:t>
      </w:r>
      <w:r>
        <w:rPr>
          <w:rFonts w:hint="default" w:ascii="Times New Roman" w:hAnsi="Times New Roman" w:eastAsia="宋体" w:cs="Times New Roman"/>
          <w:sz w:val="36"/>
          <w:szCs w:val="36"/>
          <w:lang w:val="en-US" w:eastAsia="zh-CN"/>
        </w:rPr>
        <w:t xml:space="preserve"> </w:t>
      </w:r>
      <w:r>
        <w:rPr>
          <w:rFonts w:hint="default" w:ascii="Times New Roman" w:hAnsi="Times New Roman" w:eastAsia="宋体" w:cs="Times New Roman"/>
          <w:sz w:val="36"/>
          <w:szCs w:val="36"/>
          <w:u w:val="single"/>
          <w:lang w:val="en-US" w:eastAsia="zh-CN"/>
        </w:rPr>
        <w:t xml:space="preserve">连云港中鸿包装有限公司          </w:t>
      </w:r>
    </w:p>
    <w:p>
      <w:pPr>
        <w:rPr>
          <w:rFonts w:hint="default" w:ascii="Times New Roman" w:hAnsi="Times New Roman" w:eastAsia="宋体" w:cs="Times New Roman"/>
          <w:sz w:val="20"/>
          <w:szCs w:val="20"/>
          <w:u w:val="single"/>
          <w:lang w:eastAsia="zh-CN"/>
        </w:rPr>
      </w:pPr>
    </w:p>
    <w:p>
      <w:pPr>
        <w:spacing w:before="6"/>
        <w:rPr>
          <w:rFonts w:hint="default" w:ascii="Times New Roman" w:hAnsi="Times New Roman" w:eastAsia="宋体" w:cs="Times New Roman"/>
          <w:sz w:val="18"/>
          <w:szCs w:val="18"/>
          <w:u w:val="single"/>
          <w:lang w:eastAsia="zh-CN"/>
        </w:rPr>
      </w:pPr>
    </w:p>
    <w:p>
      <w:pPr>
        <w:tabs>
          <w:tab w:val="left" w:pos="7455"/>
        </w:tabs>
        <w:spacing w:line="484" w:lineRule="exact"/>
        <w:rPr>
          <w:rFonts w:hint="default" w:ascii="Times New Roman" w:hAnsi="Times New Roman" w:eastAsia="宋体" w:cs="Times New Roman"/>
          <w:sz w:val="20"/>
          <w:szCs w:val="20"/>
          <w:lang w:val="en-US" w:eastAsia="zh-CN"/>
        </w:rPr>
      </w:pPr>
      <w:r>
        <w:rPr>
          <w:rFonts w:hint="default" w:ascii="Times New Roman" w:hAnsi="Times New Roman" w:eastAsia="宋体" w:cs="Times New Roman"/>
          <w:sz w:val="36"/>
          <w:szCs w:val="36"/>
          <w:lang w:eastAsia="zh-CN"/>
        </w:rPr>
        <w:t>编制日期：</w:t>
      </w:r>
      <w:r>
        <w:rPr>
          <w:rFonts w:hint="default" w:ascii="Times New Roman" w:hAnsi="Times New Roman" w:eastAsia="宋体" w:cs="Times New Roman"/>
          <w:sz w:val="36"/>
          <w:szCs w:val="36"/>
          <w:u w:val="single"/>
          <w:lang w:eastAsia="zh-CN"/>
        </w:rPr>
        <w:t xml:space="preserve">        </w:t>
      </w:r>
      <w:r>
        <w:rPr>
          <w:rFonts w:hint="default" w:ascii="Times New Roman" w:hAnsi="Times New Roman" w:eastAsia="宋体" w:cs="Times New Roman"/>
          <w:sz w:val="36"/>
          <w:szCs w:val="36"/>
          <w:u w:val="single"/>
          <w:lang w:val="en-US" w:eastAsia="zh-CN"/>
        </w:rPr>
        <w:t xml:space="preserve">   </w:t>
      </w:r>
      <w:r>
        <w:rPr>
          <w:rFonts w:hint="default" w:ascii="Times New Roman" w:hAnsi="Times New Roman" w:eastAsia="宋体" w:cs="Times New Roman"/>
          <w:sz w:val="36"/>
          <w:szCs w:val="36"/>
          <w:u w:val="single"/>
          <w:lang w:eastAsia="zh-CN"/>
        </w:rPr>
        <w:t xml:space="preserve"> </w:t>
      </w:r>
      <w:r>
        <w:rPr>
          <w:rFonts w:hint="default" w:ascii="Times New Roman" w:hAnsi="Times New Roman" w:eastAsia="宋体" w:cs="Times New Roman"/>
          <w:sz w:val="36"/>
          <w:szCs w:val="36"/>
          <w:u w:val="single"/>
          <w:lang w:val="en-US" w:eastAsia="zh-CN"/>
        </w:rPr>
        <w:t xml:space="preserve">          </w:t>
      </w:r>
      <w:r>
        <w:rPr>
          <w:rFonts w:hint="default" w:ascii="Times New Roman" w:hAnsi="Times New Roman" w:eastAsia="宋体" w:cs="Times New Roman"/>
          <w:sz w:val="36"/>
          <w:szCs w:val="36"/>
          <w:u w:val="single"/>
          <w:lang w:eastAsia="zh-CN"/>
        </w:rPr>
        <w:t xml:space="preserve"> </w:t>
      </w:r>
      <w:r>
        <w:rPr>
          <w:rFonts w:hint="default" w:ascii="Times New Roman" w:hAnsi="Times New Roman" w:eastAsia="宋体" w:cs="Times New Roman"/>
          <w:sz w:val="36"/>
          <w:szCs w:val="36"/>
          <w:u w:val="single"/>
          <w:lang w:val="en-US" w:eastAsia="zh-CN"/>
        </w:rPr>
        <w:t>2023</w:t>
      </w:r>
      <w:r>
        <w:rPr>
          <w:rFonts w:hint="default" w:ascii="Times New Roman" w:hAnsi="Times New Roman" w:eastAsia="宋体" w:cs="Times New Roman"/>
          <w:sz w:val="36"/>
          <w:szCs w:val="36"/>
          <w:u w:val="single"/>
          <w:lang w:eastAsia="zh-CN"/>
        </w:rPr>
        <w:t>年</w:t>
      </w:r>
      <w:r>
        <w:rPr>
          <w:rFonts w:hint="eastAsia" w:ascii="Times New Roman" w:hAnsi="Times New Roman" w:cs="Times New Roman"/>
          <w:sz w:val="36"/>
          <w:szCs w:val="36"/>
          <w:u w:val="single"/>
          <w:lang w:val="en-US" w:eastAsia="zh-CN"/>
        </w:rPr>
        <w:t>7</w:t>
      </w:r>
      <w:r>
        <w:rPr>
          <w:rFonts w:hint="default" w:ascii="Times New Roman" w:hAnsi="Times New Roman" w:eastAsia="宋体" w:cs="Times New Roman"/>
          <w:sz w:val="36"/>
          <w:szCs w:val="36"/>
          <w:u w:val="single"/>
          <w:lang w:eastAsia="zh-CN"/>
        </w:rPr>
        <w:t xml:space="preserve">月     </w:t>
      </w:r>
      <w:r>
        <w:rPr>
          <w:rFonts w:hint="default" w:ascii="Times New Roman" w:hAnsi="Times New Roman" w:eastAsia="宋体" w:cs="Times New Roman"/>
          <w:sz w:val="36"/>
          <w:szCs w:val="36"/>
          <w:u w:val="single"/>
          <w:lang w:val="en-US" w:eastAsia="zh-CN"/>
        </w:rPr>
        <w:t xml:space="preserve">  </w:t>
      </w:r>
      <w:r>
        <w:rPr>
          <w:rFonts w:hint="default" w:ascii="Times New Roman" w:hAnsi="Times New Roman" w:eastAsia="宋体" w:cs="Times New Roman"/>
          <w:sz w:val="36"/>
          <w:szCs w:val="36"/>
          <w:u w:val="single"/>
          <w:lang w:eastAsia="zh-CN"/>
        </w:rPr>
        <w:t xml:space="preserve">      </w:t>
      </w:r>
      <w:r>
        <w:rPr>
          <w:rFonts w:hint="default" w:ascii="Times New Roman" w:hAnsi="Times New Roman" w:eastAsia="宋体" w:cs="Times New Roman"/>
          <w:sz w:val="36"/>
          <w:szCs w:val="36"/>
          <w:u w:val="single"/>
          <w:lang w:val="en-US" w:eastAsia="zh-CN"/>
        </w:rPr>
        <w:t xml:space="preserve">             </w:t>
      </w:r>
    </w:p>
    <w:p>
      <w:pPr>
        <w:rPr>
          <w:rFonts w:hint="default" w:ascii="Times New Roman" w:hAnsi="Times New Roman" w:eastAsia="微软雅黑" w:cs="Times New Roman"/>
          <w:sz w:val="20"/>
          <w:szCs w:val="20"/>
          <w:lang w:eastAsia="zh-CN"/>
        </w:rPr>
      </w:pPr>
    </w:p>
    <w:p>
      <w:pPr>
        <w:rPr>
          <w:rFonts w:hint="default" w:ascii="Times New Roman" w:hAnsi="Times New Roman" w:eastAsia="微软雅黑" w:cs="Times New Roman"/>
          <w:sz w:val="20"/>
          <w:szCs w:val="20"/>
          <w:lang w:eastAsia="zh-CN"/>
        </w:rPr>
      </w:pPr>
    </w:p>
    <w:p>
      <w:pPr>
        <w:rPr>
          <w:rFonts w:hint="default" w:ascii="Times New Roman" w:hAnsi="Times New Roman" w:eastAsia="微软雅黑" w:cs="Times New Roman"/>
          <w:sz w:val="20"/>
          <w:szCs w:val="20"/>
          <w:lang w:eastAsia="zh-CN"/>
        </w:rPr>
      </w:pPr>
    </w:p>
    <w:p>
      <w:pPr>
        <w:rPr>
          <w:rFonts w:hint="default" w:ascii="Times New Roman" w:hAnsi="Times New Roman" w:eastAsia="微软雅黑" w:cs="Times New Roman"/>
          <w:sz w:val="20"/>
          <w:szCs w:val="20"/>
          <w:lang w:eastAsia="zh-CN"/>
        </w:rPr>
      </w:pPr>
    </w:p>
    <w:p>
      <w:pPr>
        <w:rPr>
          <w:rFonts w:hint="default" w:ascii="Times New Roman" w:hAnsi="Times New Roman" w:eastAsia="微软雅黑" w:cs="Times New Roman"/>
          <w:sz w:val="20"/>
          <w:szCs w:val="20"/>
          <w:lang w:eastAsia="zh-CN"/>
        </w:rPr>
      </w:pPr>
    </w:p>
    <w:p>
      <w:pPr>
        <w:rPr>
          <w:rFonts w:hint="default" w:ascii="Times New Roman" w:hAnsi="Times New Roman" w:eastAsia="微软雅黑" w:cs="Times New Roman"/>
          <w:sz w:val="20"/>
          <w:szCs w:val="20"/>
          <w:lang w:eastAsia="zh-CN"/>
        </w:rPr>
      </w:pPr>
    </w:p>
    <w:p>
      <w:pPr>
        <w:pStyle w:val="32"/>
        <w:rPr>
          <w:rFonts w:hint="default" w:ascii="Times New Roman" w:hAnsi="Times New Roman" w:eastAsia="微软雅黑" w:cs="Times New Roman"/>
          <w:sz w:val="20"/>
          <w:szCs w:val="20"/>
          <w:lang w:eastAsia="zh-CN"/>
        </w:rPr>
      </w:pPr>
    </w:p>
    <w:p>
      <w:pPr>
        <w:rPr>
          <w:rFonts w:hint="default" w:ascii="Times New Roman" w:hAnsi="Times New Roman" w:eastAsia="微软雅黑" w:cs="Times New Roman"/>
          <w:sz w:val="20"/>
          <w:szCs w:val="20"/>
          <w:lang w:eastAsia="zh-CN"/>
        </w:rPr>
      </w:pPr>
    </w:p>
    <w:p>
      <w:pPr>
        <w:pStyle w:val="32"/>
        <w:rPr>
          <w:rFonts w:hint="default" w:ascii="Times New Roman" w:hAnsi="Times New Roman" w:eastAsia="微软雅黑" w:cs="Times New Roman"/>
          <w:sz w:val="20"/>
          <w:szCs w:val="20"/>
          <w:lang w:eastAsia="zh-CN"/>
        </w:rPr>
      </w:pPr>
    </w:p>
    <w:p>
      <w:pPr>
        <w:rPr>
          <w:rFonts w:hint="default" w:ascii="Times New Roman" w:hAnsi="Times New Roman" w:eastAsia="微软雅黑" w:cs="Times New Roman"/>
          <w:sz w:val="20"/>
          <w:szCs w:val="20"/>
          <w:lang w:eastAsia="zh-CN"/>
        </w:rPr>
      </w:pPr>
    </w:p>
    <w:p>
      <w:pPr>
        <w:pStyle w:val="32"/>
        <w:rPr>
          <w:rFonts w:hint="default" w:ascii="Times New Roman" w:hAnsi="Times New Roman" w:cs="Times New Roman"/>
          <w:lang w:eastAsia="zh-CN"/>
        </w:rPr>
      </w:pPr>
    </w:p>
    <w:p>
      <w:pPr>
        <w:spacing w:before="1"/>
        <w:rPr>
          <w:rFonts w:hint="default" w:ascii="Times New Roman" w:hAnsi="Times New Roman" w:eastAsia="微软雅黑" w:cs="Times New Roman"/>
          <w:sz w:val="23"/>
          <w:szCs w:val="23"/>
          <w:lang w:eastAsia="zh-CN"/>
        </w:rPr>
      </w:pPr>
    </w:p>
    <w:p>
      <w:pPr>
        <w:spacing w:line="460" w:lineRule="exact"/>
        <w:ind w:left="1932"/>
        <w:rPr>
          <w:rFonts w:hint="default" w:ascii="Times New Roman" w:hAnsi="Times New Roman" w:eastAsia="楷体" w:cs="Times New Roman"/>
          <w:sz w:val="36"/>
          <w:szCs w:val="36"/>
          <w:lang w:eastAsia="zh-CN"/>
        </w:rPr>
      </w:pPr>
      <w:r>
        <w:rPr>
          <w:rFonts w:hint="default" w:ascii="Times New Roman" w:hAnsi="Times New Roman" w:eastAsia="楷体" w:cs="Times New Roman"/>
          <w:sz w:val="36"/>
          <w:szCs w:val="36"/>
          <w:lang w:eastAsia="zh-CN"/>
        </w:rPr>
        <w:t>中华人民共和国生态环境部制</w:t>
      </w:r>
    </w:p>
    <w:p>
      <w:pPr>
        <w:spacing w:line="460" w:lineRule="exact"/>
        <w:rPr>
          <w:rFonts w:hint="default" w:ascii="Times New Roman" w:hAnsi="Times New Roman" w:eastAsia="楷体" w:cs="Times New Roman"/>
          <w:sz w:val="36"/>
          <w:szCs w:val="36"/>
          <w:lang w:eastAsia="zh-CN"/>
        </w:rPr>
        <w:sectPr>
          <w:type w:val="continuous"/>
          <w:pgSz w:w="11910" w:h="16840"/>
          <w:pgMar w:top="1580" w:right="1100" w:bottom="1440" w:left="1680" w:header="720" w:footer="720" w:gutter="0"/>
          <w:pgBorders>
            <w:top w:val="none" w:sz="0" w:space="0"/>
            <w:left w:val="none" w:sz="0" w:space="0"/>
            <w:bottom w:val="none" w:sz="0" w:space="0"/>
            <w:right w:val="none" w:sz="0" w:space="0"/>
          </w:pgBorders>
          <w:cols w:space="720" w:num="1"/>
        </w:sectPr>
      </w:pPr>
    </w:p>
    <w:p>
      <w:pPr>
        <w:pStyle w:val="62"/>
        <w:ind w:firstLine="0"/>
        <w:jc w:val="center"/>
        <w:rPr>
          <w:rFonts w:ascii="Times New Roman" w:hAnsi="Times New Roman" w:cs="Times New Roman" w:eastAsiaTheme="minorEastAsia"/>
          <w:b/>
          <w:bCs/>
          <w:color w:val="000000" w:themeColor="text1"/>
          <w:sz w:val="48"/>
          <w:szCs w:val="48"/>
          <w14:textFill>
            <w14:solidFill>
              <w14:schemeClr w14:val="tx1"/>
            </w14:solidFill>
          </w14:textFill>
        </w:rPr>
      </w:pPr>
      <w:r>
        <w:rPr>
          <w:rFonts w:ascii="Times New Roman" w:hAnsi="Times New Roman" w:cs="Times New Roman" w:eastAsiaTheme="minorEastAsia"/>
          <w:b/>
          <w:bCs/>
          <w:color w:val="000000" w:themeColor="text1"/>
          <w:sz w:val="48"/>
          <w:szCs w:val="48"/>
          <w14:textFill>
            <w14:solidFill>
              <w14:schemeClr w14:val="tx1"/>
            </w14:solidFill>
          </w14:textFill>
        </w:rPr>
        <w:t>声 明</w:t>
      </w:r>
    </w:p>
    <w:p>
      <w:pPr>
        <w:pStyle w:val="62"/>
        <w:ind w:firstLine="480"/>
        <w:rPr>
          <w:rFonts w:ascii="Times New Roman" w:hAnsi="Times New Roman" w:cs="Times New Roman" w:eastAsiaTheme="minorEastAsia"/>
          <w:color w:val="000000" w:themeColor="text1"/>
          <w:sz w:val="24"/>
          <w:szCs w:val="24"/>
          <w14:textFill>
            <w14:solidFill>
              <w14:schemeClr w14:val="tx1"/>
            </w14:solidFill>
          </w14:textFill>
        </w:rPr>
      </w:pPr>
    </w:p>
    <w:p>
      <w:pPr>
        <w:pStyle w:val="62"/>
        <w:spacing w:line="460" w:lineRule="exact"/>
        <w:ind w:firstLineChars="200"/>
        <w:jc w:val="both"/>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我单位已详细阅读了</w:t>
      </w:r>
      <w:r>
        <w:rPr>
          <w:rFonts w:hint="eastAsia" w:ascii="Times New Roman" w:hAnsi="Times New Roman" w:cs="Times New Roman" w:eastAsiaTheme="minorEastAsia"/>
          <w:color w:val="000000" w:themeColor="text1"/>
          <w:lang w:val="en-US" w:eastAsia="zh-CN"/>
          <w14:textFill>
            <w14:solidFill>
              <w14:schemeClr w14:val="tx1"/>
            </w14:solidFill>
          </w14:textFill>
        </w:rPr>
        <w:t>江苏中之禾工程设计咨询</w:t>
      </w:r>
      <w:r>
        <w:rPr>
          <w:rFonts w:ascii="Times New Roman" w:hAnsi="Times New Roman" w:cs="Times New Roman" w:eastAsiaTheme="minorEastAsia"/>
          <w:color w:val="000000" w:themeColor="text1"/>
          <w14:textFill>
            <w14:solidFill>
              <w14:schemeClr w14:val="tx1"/>
            </w14:solidFill>
          </w14:textFill>
        </w:rPr>
        <w:t>有限公司所编</w:t>
      </w:r>
      <w:r>
        <w:rPr>
          <w:rFonts w:hint="eastAsia" w:ascii="Times New Roman" w:hAnsi="Times New Roman" w:cs="Times New Roman" w:eastAsiaTheme="minorEastAsia"/>
          <w:color w:val="000000" w:themeColor="text1"/>
          <w:lang w:val="en-US" w:eastAsia="zh-CN"/>
          <w14:textFill>
            <w14:solidFill>
              <w14:schemeClr w14:val="tx1"/>
            </w14:solidFill>
          </w14:textFill>
        </w:rPr>
        <w:t>制的“</w:t>
      </w:r>
      <w:r>
        <w:rPr>
          <w:rFonts w:hint="default" w:ascii="Times New Roman" w:hAnsi="Times New Roman" w:cs="Times New Roman" w:eastAsiaTheme="minorEastAsia"/>
          <w:color w:val="000000" w:themeColor="text1"/>
          <w:lang w:val="en-US" w:eastAsia="zh-CN"/>
          <w14:textFill>
            <w14:solidFill>
              <w14:schemeClr w14:val="tx1"/>
            </w14:solidFill>
          </w14:textFill>
        </w:rPr>
        <w:t>包装材料制造项目技术改造</w:t>
      </w:r>
      <w:r>
        <w:rPr>
          <w:rFonts w:hint="eastAsia" w:ascii="Times New Roman" w:hAnsi="Times New Roman" w:cs="Times New Roman" w:eastAsiaTheme="minorEastAsia"/>
          <w:color w:val="000000" w:themeColor="text1"/>
          <w:lang w:val="en-US" w:eastAsia="zh-CN"/>
          <w14:textFill>
            <w14:solidFill>
              <w14:schemeClr w14:val="tx1"/>
            </w14:solidFill>
          </w14:textFill>
        </w:rPr>
        <w:t>”环境影响报告表，该环评报告表所述的项目</w:t>
      </w:r>
      <w:r>
        <w:rPr>
          <w:rFonts w:ascii="Times New Roman" w:hAnsi="Times New Roman" w:cs="Times New Roman" w:eastAsiaTheme="minorEastAsia"/>
          <w:color w:val="000000" w:themeColor="text1"/>
          <w14:textFill>
            <w14:solidFill>
              <w14:schemeClr w14:val="tx1"/>
            </w14:solidFill>
          </w14:textFill>
        </w:rPr>
        <w:t>建设地点、建设规模、建设内容、生产工艺等资料为我单位提供，无虚报、瞒报和不实。项目环评报告表中所提出的污染防治措施与我单位进行了沟通，我单位承诺该项目的环保设施将严格按环评报告和审批意见进行设计、建设、运行并及时维护，保证环保设施正常运行。</w:t>
      </w:r>
    </w:p>
    <w:p>
      <w:pPr>
        <w:pStyle w:val="62"/>
        <w:spacing w:line="460" w:lineRule="exact"/>
        <w:ind w:firstLineChars="200"/>
        <w:jc w:val="both"/>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如报告表中建设地点、建设规模、建设内容、生产工艺、污染防治措施等与我公司实际情况有不符合之处，则其产生的后果我公司负责，并承诺承担相关的法定责任。</w:t>
      </w:r>
    </w:p>
    <w:p>
      <w:pPr>
        <w:pStyle w:val="62"/>
        <w:spacing w:line="460" w:lineRule="exact"/>
        <w:ind w:firstLineChars="200"/>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特此声明。</w:t>
      </w:r>
    </w:p>
    <w:p>
      <w:pPr>
        <w:jc w:val="right"/>
        <w:rPr>
          <w:rFonts w:eastAsiaTheme="minorEastAsia"/>
          <w:color w:val="000000" w:themeColor="text1"/>
          <w:sz w:val="24"/>
          <w14:textFill>
            <w14:solidFill>
              <w14:schemeClr w14:val="tx1"/>
            </w14:solidFill>
          </w14:textFill>
        </w:rPr>
      </w:pPr>
    </w:p>
    <w:p>
      <w:pPr>
        <w:jc w:val="right"/>
        <w:rPr>
          <w:rFonts w:eastAsiaTheme="minorEastAsia"/>
          <w:color w:val="000000" w:themeColor="text1"/>
          <w:sz w:val="24"/>
          <w14:textFill>
            <w14:solidFill>
              <w14:schemeClr w14:val="tx1"/>
            </w14:solidFill>
          </w14:textFill>
        </w:rPr>
      </w:pPr>
    </w:p>
    <w:p>
      <w:pPr>
        <w:jc w:val="right"/>
        <w:rPr>
          <w:rFonts w:eastAsiaTheme="minorEastAsia"/>
          <w:color w:val="000000" w:themeColor="text1"/>
          <w:sz w:val="24"/>
          <w14:textFill>
            <w14:solidFill>
              <w14:schemeClr w14:val="tx1"/>
            </w14:solidFill>
          </w14:textFill>
        </w:rPr>
      </w:pPr>
    </w:p>
    <w:p>
      <w:pPr>
        <w:jc w:val="right"/>
        <w:rPr>
          <w:rFonts w:eastAsiaTheme="minorEastAsia"/>
          <w:color w:val="000000" w:themeColor="text1"/>
          <w:sz w:val="24"/>
          <w14:textFill>
            <w14:solidFill>
              <w14:schemeClr w14:val="tx1"/>
            </w14:solidFill>
          </w14:textFill>
        </w:rPr>
      </w:pPr>
    </w:p>
    <w:p>
      <w:pPr>
        <w:jc w:val="right"/>
        <w:rPr>
          <w:rFonts w:eastAsiaTheme="minorEastAsia"/>
          <w:color w:val="000000" w:themeColor="text1"/>
          <w:sz w:val="24"/>
          <w14:textFill>
            <w14:solidFill>
              <w14:schemeClr w14:val="tx1"/>
            </w14:solidFill>
          </w14:textFill>
        </w:rPr>
      </w:pPr>
    </w:p>
    <w:p>
      <w:pPr>
        <w:jc w:val="right"/>
        <w:rPr>
          <w:rFonts w:eastAsiaTheme="minorEastAsia"/>
          <w:color w:val="000000" w:themeColor="text1"/>
          <w:sz w:val="24"/>
          <w14:textFill>
            <w14:solidFill>
              <w14:schemeClr w14:val="tx1"/>
            </w14:solidFill>
          </w14:textFill>
        </w:rPr>
      </w:pPr>
    </w:p>
    <w:p>
      <w:pPr>
        <w:jc w:val="right"/>
        <w:rPr>
          <w:rFonts w:eastAsiaTheme="minorEastAsia"/>
          <w:color w:val="000000" w:themeColor="text1"/>
          <w:sz w:val="24"/>
          <w14:textFill>
            <w14:solidFill>
              <w14:schemeClr w14:val="tx1"/>
            </w14:solidFill>
          </w14:textFill>
        </w:rPr>
      </w:pPr>
    </w:p>
    <w:p>
      <w:pPr>
        <w:jc w:val="right"/>
        <w:rPr>
          <w:rFonts w:eastAsiaTheme="minorEastAsia"/>
          <w:color w:val="000000" w:themeColor="text1"/>
          <w:sz w:val="24"/>
          <w14:textFill>
            <w14:solidFill>
              <w14:schemeClr w14:val="tx1"/>
            </w14:solidFill>
          </w14:textFill>
        </w:rPr>
      </w:pPr>
    </w:p>
    <w:p>
      <w:pPr>
        <w:jc w:val="right"/>
        <w:rPr>
          <w:rFonts w:eastAsiaTheme="minorEastAsia"/>
          <w:color w:val="000000" w:themeColor="text1"/>
          <w:sz w:val="24"/>
          <w14:textFill>
            <w14:solidFill>
              <w14:schemeClr w14:val="tx1"/>
            </w14:solidFill>
          </w14:textFill>
        </w:rPr>
      </w:pPr>
    </w:p>
    <w:p>
      <w:pPr>
        <w:rPr>
          <w:rFonts w:eastAsiaTheme="minorEastAsia"/>
          <w:color w:val="000000" w:themeColor="text1"/>
          <w:sz w:val="24"/>
          <w14:textFill>
            <w14:solidFill>
              <w14:schemeClr w14:val="tx1"/>
            </w14:solidFill>
          </w14:textFill>
        </w:rPr>
      </w:pPr>
    </w:p>
    <w:p>
      <w:pPr>
        <w:pStyle w:val="62"/>
        <w:spacing w:line="460" w:lineRule="exact"/>
        <w:ind w:firstLineChars="200"/>
        <w:jc w:val="right"/>
        <w:rPr>
          <w:rFonts w:ascii="Times New Roman" w:hAnsi="Times New Roman" w:cs="Times New Roman" w:eastAsiaTheme="minorEastAsia"/>
          <w:color w:val="000000" w:themeColor="text1"/>
          <w14:textFill>
            <w14:solidFill>
              <w14:schemeClr w14:val="tx1"/>
            </w14:solidFill>
          </w14:textFill>
        </w:rPr>
      </w:pPr>
      <w:r>
        <w:rPr>
          <w:rFonts w:eastAsiaTheme="minorEastAsia"/>
          <w:color w:val="000000" w:themeColor="text1"/>
          <w:sz w:val="24"/>
          <w14:textFill>
            <w14:solidFill>
              <w14:schemeClr w14:val="tx1"/>
            </w14:solidFill>
          </w14:textFill>
        </w:rPr>
        <w:t xml:space="preserve">    </w:t>
      </w:r>
      <w:r>
        <w:rPr>
          <w:rFonts w:ascii="Times New Roman" w:hAnsi="Times New Roman" w:cs="Times New Roman" w:eastAsiaTheme="minorEastAsia"/>
          <w:color w:val="000000" w:themeColor="text1"/>
          <w14:textFill>
            <w14:solidFill>
              <w14:schemeClr w14:val="tx1"/>
            </w14:solidFill>
          </w14:textFill>
        </w:rPr>
        <w:t xml:space="preserve"> 建设单位（盖章）：</w:t>
      </w:r>
      <w:r>
        <w:rPr>
          <w:rFonts w:hint="default" w:ascii="Times New Roman" w:hAnsi="Times New Roman" w:cs="Times New Roman" w:eastAsiaTheme="minorEastAsia"/>
          <w:color w:val="000000" w:themeColor="text1"/>
          <w:lang w:val="en-US" w:eastAsia="zh-CN"/>
          <w14:textFill>
            <w14:solidFill>
              <w14:schemeClr w14:val="tx1"/>
            </w14:solidFill>
          </w14:textFill>
        </w:rPr>
        <w:t>连云港中鸿包装有限公司</w:t>
      </w:r>
    </w:p>
    <w:p>
      <w:pPr>
        <w:pStyle w:val="62"/>
        <w:spacing w:line="460" w:lineRule="exact"/>
        <w:ind w:firstLineChars="200"/>
        <w:jc w:val="right"/>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 xml:space="preserve">      日期：202</w:t>
      </w:r>
      <w:r>
        <w:rPr>
          <w:rFonts w:hint="eastAsia" w:ascii="Times New Roman" w:hAnsi="Times New Roman" w:cs="Times New Roman" w:eastAsiaTheme="minorEastAsia"/>
          <w:color w:val="000000" w:themeColor="text1"/>
          <w:lang w:val="en-US" w:eastAsia="zh-CN"/>
          <w14:textFill>
            <w14:solidFill>
              <w14:schemeClr w14:val="tx1"/>
            </w14:solidFill>
          </w14:textFill>
        </w:rPr>
        <w:t>3</w:t>
      </w:r>
      <w:r>
        <w:rPr>
          <w:rFonts w:ascii="Times New Roman" w:hAnsi="Times New Roman" w:cs="Times New Roman" w:eastAsiaTheme="minorEastAsia"/>
          <w:color w:val="000000" w:themeColor="text1"/>
          <w14:textFill>
            <w14:solidFill>
              <w14:schemeClr w14:val="tx1"/>
            </w14:solidFill>
          </w14:textFill>
        </w:rPr>
        <w:t>年</w:t>
      </w:r>
      <w:r>
        <w:rPr>
          <w:rFonts w:hint="eastAsia" w:ascii="Times New Roman" w:hAnsi="Times New Roman" w:cs="Times New Roman" w:eastAsiaTheme="minorEastAsia"/>
          <w:color w:val="000000" w:themeColor="text1"/>
          <w:lang w:val="en-US" w:eastAsia="zh-CN"/>
          <w14:textFill>
            <w14:solidFill>
              <w14:schemeClr w14:val="tx1"/>
            </w14:solidFill>
          </w14:textFill>
        </w:rPr>
        <w:t>7</w:t>
      </w:r>
      <w:r>
        <w:rPr>
          <w:rFonts w:ascii="Times New Roman" w:hAnsi="Times New Roman" w:cs="Times New Roman" w:eastAsiaTheme="minorEastAsia"/>
          <w:color w:val="000000" w:themeColor="text1"/>
          <w14:textFill>
            <w14:solidFill>
              <w14:schemeClr w14:val="tx1"/>
            </w14:solidFill>
          </w14:textFill>
        </w:rPr>
        <w:t>月</w:t>
      </w:r>
    </w:p>
    <w:p>
      <w:pPr>
        <w:pStyle w:val="7"/>
        <w:rPr>
          <w:rFonts w:hint="default"/>
          <w:lang w:eastAsia="zh-CN"/>
        </w:rPr>
        <w:sectPr>
          <w:pgSz w:w="11910" w:h="16840"/>
          <w:pgMar w:top="1580" w:right="1100" w:bottom="1440" w:left="1680" w:header="720" w:footer="720" w:gutter="0"/>
          <w:pgBorders>
            <w:top w:val="none" w:sz="0" w:space="0"/>
            <w:left w:val="none" w:sz="0" w:space="0"/>
            <w:bottom w:val="none" w:sz="0" w:space="0"/>
            <w:right w:val="none" w:sz="0" w:space="0"/>
          </w:pgBorders>
          <w:cols w:space="720" w:num="1"/>
        </w:sectPr>
      </w:pPr>
    </w:p>
    <w:sdt>
      <w:sdtPr>
        <w:rPr>
          <w:rFonts w:hint="default" w:ascii="Times New Roman" w:hAnsi="Times New Roman" w:eastAsia="宋体" w:cs="Times New Roman"/>
          <w:b/>
          <w:bCs/>
          <w:sz w:val="30"/>
          <w:szCs w:val="30"/>
        </w:rPr>
        <w:id w:val="147452520"/>
        <w15:color w:val="DBDBDB"/>
        <w:docPartObj>
          <w:docPartGallery w:val="Table of Contents"/>
          <w:docPartUnique/>
        </w:docPartObj>
      </w:sdtPr>
      <w:sdtEndPr>
        <w:rPr>
          <w:rFonts w:hint="default" w:ascii="Times New Roman" w:hAnsi="Times New Roman" w:cs="Times New Roman" w:eastAsiaTheme="minorHAnsi"/>
          <w:b/>
          <w:bCs/>
          <w:sz w:val="22"/>
          <w:szCs w:val="22"/>
          <w:lang w:eastAsia="zh-CN"/>
        </w:rPr>
      </w:sdtEndPr>
      <w:sdtContent>
        <w:p>
          <w:pPr>
            <w:jc w:val="center"/>
            <w:rPr>
              <w:rFonts w:hint="default" w:ascii="Times New Roman" w:hAnsi="Times New Roman" w:eastAsia="宋体" w:cs="Times New Roman"/>
              <w:b/>
              <w:bCs/>
              <w:sz w:val="30"/>
              <w:szCs w:val="30"/>
            </w:rPr>
          </w:pPr>
          <w:r>
            <w:rPr>
              <w:rFonts w:hint="default" w:ascii="Times New Roman" w:hAnsi="Times New Roman" w:eastAsia="宋体" w:cs="Times New Roman"/>
              <w:b/>
              <w:bCs/>
              <w:sz w:val="30"/>
              <w:szCs w:val="30"/>
            </w:rPr>
            <w:t>目</w:t>
          </w:r>
          <w:r>
            <w:rPr>
              <w:rFonts w:hint="default" w:ascii="Times New Roman" w:hAnsi="Times New Roman" w:eastAsia="宋体" w:cs="Times New Roman"/>
              <w:b/>
              <w:bCs/>
              <w:sz w:val="30"/>
              <w:szCs w:val="30"/>
              <w:lang w:eastAsia="zh-CN"/>
            </w:rPr>
            <w:t xml:space="preserve"> </w:t>
          </w:r>
          <w:r>
            <w:rPr>
              <w:rFonts w:hint="default" w:ascii="Times New Roman" w:hAnsi="Times New Roman" w:eastAsia="宋体" w:cs="Times New Roman"/>
              <w:b/>
              <w:bCs/>
              <w:sz w:val="30"/>
              <w:szCs w:val="30"/>
            </w:rPr>
            <w:t>录</w:t>
          </w:r>
        </w:p>
        <w:p>
          <w:pPr>
            <w:pStyle w:val="7"/>
            <w:rPr>
              <w:rFonts w:hint="default" w:ascii="Times New Roman" w:hAnsi="Times New Roman" w:cs="Times New Roman"/>
            </w:rPr>
          </w:pPr>
        </w:p>
        <w:p>
          <w:pPr>
            <w:pStyle w:val="11"/>
            <w:tabs>
              <w:tab w:val="right" w:leader="dot" w:pos="9030"/>
            </w:tabs>
            <w:spacing w:line="360" w:lineRule="auto"/>
            <w:rPr>
              <w:rFonts w:hint="default" w:ascii="Times New Roman" w:hAnsi="Times New Roman" w:cs="Times New Roman"/>
              <w:sz w:val="24"/>
              <w:szCs w:val="24"/>
            </w:rPr>
          </w:pPr>
          <w:r>
            <w:rPr>
              <w:rFonts w:hint="default" w:ascii="Times New Roman" w:hAnsi="Times New Roman" w:cs="Times New Roman"/>
              <w:sz w:val="24"/>
              <w:szCs w:val="24"/>
              <w:lang w:eastAsia="zh-CN"/>
            </w:rPr>
            <w:fldChar w:fldCharType="begin"/>
          </w:r>
          <w:r>
            <w:rPr>
              <w:rFonts w:hint="default" w:ascii="Times New Roman" w:hAnsi="Times New Roman" w:cs="Times New Roman"/>
              <w:sz w:val="24"/>
              <w:szCs w:val="24"/>
              <w:lang w:eastAsia="zh-CN"/>
            </w:rPr>
            <w:instrText xml:space="preserve">TOC \o "1-1" \h \u </w:instrText>
          </w:r>
          <w:r>
            <w:rPr>
              <w:rFonts w:hint="default" w:ascii="Times New Roman" w:hAnsi="Times New Roman" w:cs="Times New Roman"/>
              <w:sz w:val="24"/>
              <w:szCs w:val="24"/>
              <w:lang w:eastAsia="zh-CN"/>
            </w:rPr>
            <w:fldChar w:fldCharType="separate"/>
          </w:r>
          <w:r>
            <w:rPr>
              <w:rFonts w:hint="default" w:ascii="Times New Roman" w:hAnsi="Times New Roman" w:cs="Times New Roman"/>
              <w:sz w:val="24"/>
              <w:szCs w:val="24"/>
              <w:lang w:eastAsia="zh-CN"/>
            </w:rPr>
            <w:fldChar w:fldCharType="begin"/>
          </w:r>
          <w:r>
            <w:rPr>
              <w:rFonts w:hint="default" w:ascii="Times New Roman" w:hAnsi="Times New Roman" w:cs="Times New Roman"/>
              <w:sz w:val="24"/>
              <w:szCs w:val="24"/>
              <w:lang w:eastAsia="zh-CN"/>
            </w:rPr>
            <w:instrText xml:space="preserve"> HYPERLINK \l _Toc29597 </w:instrText>
          </w:r>
          <w:r>
            <w:rPr>
              <w:rFonts w:hint="default" w:ascii="Times New Roman" w:hAnsi="Times New Roman" w:cs="Times New Roman"/>
              <w:sz w:val="24"/>
              <w:szCs w:val="24"/>
              <w:lang w:eastAsia="zh-CN"/>
            </w:rPr>
            <w:fldChar w:fldCharType="separate"/>
          </w:r>
          <w:r>
            <w:rPr>
              <w:rFonts w:hint="default" w:ascii="Times New Roman" w:hAnsi="Times New Roman" w:eastAsia="宋体" w:cs="Times New Roman"/>
              <w:bCs/>
              <w:sz w:val="24"/>
              <w:szCs w:val="24"/>
            </w:rPr>
            <w:t>一、</w:t>
          </w:r>
          <w:r>
            <w:rPr>
              <w:rFonts w:hint="default" w:ascii="Times New Roman" w:hAnsi="Times New Roman" w:eastAsia="宋体" w:cs="Times New Roman"/>
              <w:bCs/>
              <w:sz w:val="24"/>
              <w:szCs w:val="24"/>
              <w:lang w:eastAsia="zh-CN"/>
            </w:rPr>
            <w:t>建设项目基</w:t>
          </w:r>
          <w:r>
            <w:rPr>
              <w:rFonts w:hint="default" w:ascii="Times New Roman" w:hAnsi="Times New Roman" w:eastAsia="宋体" w:cs="Times New Roman"/>
              <w:bCs/>
              <w:sz w:val="24"/>
              <w:szCs w:val="24"/>
            </w:rPr>
            <w:t>本情况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_Toc29597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w:t>
          </w:r>
          <w:r>
            <w:rPr>
              <w:rFonts w:hint="default" w:ascii="Times New Roman" w:hAnsi="Times New Roman" w:cs="Times New Roman"/>
              <w:sz w:val="24"/>
              <w:szCs w:val="24"/>
            </w:rPr>
            <w:fldChar w:fldCharType="end"/>
          </w:r>
          <w:r>
            <w:rPr>
              <w:rFonts w:hint="default" w:ascii="Times New Roman" w:hAnsi="Times New Roman" w:cs="Times New Roman"/>
              <w:sz w:val="24"/>
              <w:szCs w:val="24"/>
              <w:lang w:eastAsia="zh-CN"/>
            </w:rPr>
            <w:fldChar w:fldCharType="end"/>
          </w:r>
        </w:p>
        <w:p>
          <w:pPr>
            <w:pStyle w:val="11"/>
            <w:tabs>
              <w:tab w:val="right" w:leader="dot" w:pos="9030"/>
            </w:tabs>
            <w:spacing w:line="360" w:lineRule="auto"/>
            <w:rPr>
              <w:rFonts w:hint="default" w:ascii="Times New Roman" w:hAnsi="Times New Roman" w:cs="Times New Roman"/>
              <w:sz w:val="24"/>
              <w:szCs w:val="24"/>
            </w:rPr>
          </w:pPr>
          <w:r>
            <w:rPr>
              <w:rFonts w:hint="default" w:ascii="Times New Roman" w:hAnsi="Times New Roman" w:cs="Times New Roman"/>
              <w:sz w:val="24"/>
              <w:szCs w:val="24"/>
              <w:lang w:eastAsia="zh-CN"/>
            </w:rPr>
            <w:fldChar w:fldCharType="begin"/>
          </w:r>
          <w:r>
            <w:rPr>
              <w:rFonts w:hint="default" w:ascii="Times New Roman" w:hAnsi="Times New Roman" w:cs="Times New Roman"/>
              <w:sz w:val="24"/>
              <w:szCs w:val="24"/>
              <w:lang w:eastAsia="zh-CN"/>
            </w:rPr>
            <w:instrText xml:space="preserve"> HYPERLINK \l _Toc19766 </w:instrText>
          </w:r>
          <w:r>
            <w:rPr>
              <w:rFonts w:hint="default" w:ascii="Times New Roman" w:hAnsi="Times New Roman" w:cs="Times New Roman"/>
              <w:sz w:val="24"/>
              <w:szCs w:val="24"/>
              <w:lang w:eastAsia="zh-CN"/>
            </w:rPr>
            <w:fldChar w:fldCharType="separate"/>
          </w:r>
          <w:r>
            <w:rPr>
              <w:rFonts w:hint="default" w:ascii="Times New Roman" w:hAnsi="Times New Roman" w:eastAsia="宋体" w:cs="Times New Roman"/>
              <w:bCs/>
              <w:sz w:val="24"/>
              <w:szCs w:val="24"/>
              <w:lang w:val="en-US" w:eastAsia="zh-CN"/>
            </w:rPr>
            <w:t>二、</w:t>
          </w:r>
          <w:r>
            <w:rPr>
              <w:rFonts w:hint="default" w:ascii="Times New Roman" w:hAnsi="Times New Roman" w:eastAsia="宋体" w:cs="Times New Roman"/>
              <w:bCs/>
              <w:sz w:val="24"/>
              <w:szCs w:val="24"/>
            </w:rPr>
            <w:t>建设项目工程分析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_Toc19766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17</w:t>
          </w:r>
          <w:r>
            <w:rPr>
              <w:rFonts w:hint="default" w:ascii="Times New Roman" w:hAnsi="Times New Roman" w:cs="Times New Roman"/>
              <w:sz w:val="24"/>
              <w:szCs w:val="24"/>
            </w:rPr>
            <w:fldChar w:fldCharType="end"/>
          </w:r>
          <w:r>
            <w:rPr>
              <w:rFonts w:hint="default" w:ascii="Times New Roman" w:hAnsi="Times New Roman" w:cs="Times New Roman"/>
              <w:sz w:val="24"/>
              <w:szCs w:val="24"/>
              <w:lang w:eastAsia="zh-CN"/>
            </w:rPr>
            <w:fldChar w:fldCharType="end"/>
          </w:r>
        </w:p>
        <w:p>
          <w:pPr>
            <w:pStyle w:val="11"/>
            <w:tabs>
              <w:tab w:val="right" w:leader="dot" w:pos="9030"/>
            </w:tabs>
            <w:spacing w:line="360" w:lineRule="auto"/>
            <w:rPr>
              <w:rFonts w:hint="default" w:ascii="Times New Roman" w:hAnsi="Times New Roman" w:cs="Times New Roman"/>
              <w:sz w:val="24"/>
              <w:szCs w:val="24"/>
            </w:rPr>
          </w:pPr>
          <w:r>
            <w:rPr>
              <w:rFonts w:hint="default" w:ascii="Times New Roman" w:hAnsi="Times New Roman" w:cs="Times New Roman"/>
              <w:sz w:val="24"/>
              <w:szCs w:val="24"/>
              <w:lang w:eastAsia="zh-CN"/>
            </w:rPr>
            <w:fldChar w:fldCharType="begin"/>
          </w:r>
          <w:r>
            <w:rPr>
              <w:rFonts w:hint="default" w:ascii="Times New Roman" w:hAnsi="Times New Roman" w:cs="Times New Roman"/>
              <w:sz w:val="24"/>
              <w:szCs w:val="24"/>
              <w:lang w:eastAsia="zh-CN"/>
            </w:rPr>
            <w:instrText xml:space="preserve"> HYPERLINK \l _Toc8992 </w:instrText>
          </w:r>
          <w:r>
            <w:rPr>
              <w:rFonts w:hint="default" w:ascii="Times New Roman" w:hAnsi="Times New Roman" w:cs="Times New Roman"/>
              <w:sz w:val="24"/>
              <w:szCs w:val="24"/>
              <w:lang w:eastAsia="zh-CN"/>
            </w:rPr>
            <w:fldChar w:fldCharType="separate"/>
          </w:r>
          <w:r>
            <w:rPr>
              <w:rFonts w:hint="default" w:ascii="Times New Roman" w:hAnsi="Times New Roman" w:eastAsia="宋体" w:cs="Times New Roman"/>
              <w:bCs/>
              <w:sz w:val="24"/>
              <w:szCs w:val="24"/>
              <w:lang w:eastAsia="zh-CN"/>
            </w:rPr>
            <w:t>三、区域环境质量现状、环境保护目标及评价标准</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_Toc8992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27</w:t>
          </w:r>
          <w:r>
            <w:rPr>
              <w:rFonts w:hint="default" w:ascii="Times New Roman" w:hAnsi="Times New Roman" w:cs="Times New Roman"/>
              <w:sz w:val="24"/>
              <w:szCs w:val="24"/>
            </w:rPr>
            <w:fldChar w:fldCharType="end"/>
          </w:r>
          <w:r>
            <w:rPr>
              <w:rFonts w:hint="default" w:ascii="Times New Roman" w:hAnsi="Times New Roman" w:cs="Times New Roman"/>
              <w:sz w:val="24"/>
              <w:szCs w:val="24"/>
              <w:lang w:eastAsia="zh-CN"/>
            </w:rPr>
            <w:fldChar w:fldCharType="end"/>
          </w:r>
        </w:p>
        <w:p>
          <w:pPr>
            <w:pStyle w:val="11"/>
            <w:tabs>
              <w:tab w:val="right" w:leader="dot" w:pos="9030"/>
            </w:tabs>
            <w:spacing w:line="360" w:lineRule="auto"/>
            <w:rPr>
              <w:rFonts w:hint="default" w:ascii="Times New Roman" w:hAnsi="Times New Roman" w:cs="Times New Roman"/>
              <w:sz w:val="24"/>
              <w:szCs w:val="24"/>
            </w:rPr>
          </w:pPr>
          <w:r>
            <w:rPr>
              <w:rFonts w:hint="default" w:ascii="Times New Roman" w:hAnsi="Times New Roman" w:cs="Times New Roman"/>
              <w:sz w:val="24"/>
              <w:szCs w:val="24"/>
              <w:lang w:eastAsia="zh-CN"/>
            </w:rPr>
            <w:fldChar w:fldCharType="begin"/>
          </w:r>
          <w:r>
            <w:rPr>
              <w:rFonts w:hint="default" w:ascii="Times New Roman" w:hAnsi="Times New Roman" w:cs="Times New Roman"/>
              <w:sz w:val="24"/>
              <w:szCs w:val="24"/>
              <w:lang w:eastAsia="zh-CN"/>
            </w:rPr>
            <w:instrText xml:space="preserve"> HYPERLINK \l _Toc21485 </w:instrText>
          </w:r>
          <w:r>
            <w:rPr>
              <w:rFonts w:hint="default" w:ascii="Times New Roman" w:hAnsi="Times New Roman" w:cs="Times New Roman"/>
              <w:sz w:val="24"/>
              <w:szCs w:val="24"/>
              <w:lang w:eastAsia="zh-CN"/>
            </w:rPr>
            <w:fldChar w:fldCharType="separate"/>
          </w:r>
          <w:r>
            <w:rPr>
              <w:rFonts w:hint="default" w:ascii="Times New Roman" w:hAnsi="Times New Roman" w:eastAsia="宋体" w:cs="Times New Roman"/>
              <w:bCs/>
              <w:sz w:val="24"/>
              <w:szCs w:val="24"/>
              <w:lang w:eastAsia="zh-CN"/>
            </w:rPr>
            <w:t>四、主要环境影响和保护措施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_Toc21485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34</w:t>
          </w:r>
          <w:r>
            <w:rPr>
              <w:rFonts w:hint="default" w:ascii="Times New Roman" w:hAnsi="Times New Roman" w:cs="Times New Roman"/>
              <w:sz w:val="24"/>
              <w:szCs w:val="24"/>
            </w:rPr>
            <w:fldChar w:fldCharType="end"/>
          </w:r>
          <w:r>
            <w:rPr>
              <w:rFonts w:hint="default" w:ascii="Times New Roman" w:hAnsi="Times New Roman" w:cs="Times New Roman"/>
              <w:sz w:val="24"/>
              <w:szCs w:val="24"/>
              <w:lang w:eastAsia="zh-CN"/>
            </w:rPr>
            <w:fldChar w:fldCharType="end"/>
          </w:r>
        </w:p>
        <w:p>
          <w:pPr>
            <w:pStyle w:val="11"/>
            <w:tabs>
              <w:tab w:val="right" w:leader="dot" w:pos="9030"/>
            </w:tabs>
            <w:spacing w:line="360" w:lineRule="auto"/>
            <w:rPr>
              <w:rFonts w:hint="default" w:ascii="Times New Roman" w:hAnsi="Times New Roman" w:cs="Times New Roman"/>
              <w:sz w:val="24"/>
              <w:szCs w:val="24"/>
            </w:rPr>
          </w:pPr>
          <w:r>
            <w:rPr>
              <w:rFonts w:hint="default" w:ascii="Times New Roman" w:hAnsi="Times New Roman" w:cs="Times New Roman"/>
              <w:sz w:val="24"/>
              <w:szCs w:val="24"/>
              <w:lang w:eastAsia="zh-CN"/>
            </w:rPr>
            <w:fldChar w:fldCharType="begin"/>
          </w:r>
          <w:r>
            <w:rPr>
              <w:rFonts w:hint="default" w:ascii="Times New Roman" w:hAnsi="Times New Roman" w:cs="Times New Roman"/>
              <w:sz w:val="24"/>
              <w:szCs w:val="24"/>
              <w:lang w:eastAsia="zh-CN"/>
            </w:rPr>
            <w:instrText xml:space="preserve"> HYPERLINK \l _Toc22998 </w:instrText>
          </w:r>
          <w:r>
            <w:rPr>
              <w:rFonts w:hint="default" w:ascii="Times New Roman" w:hAnsi="Times New Roman" w:cs="Times New Roman"/>
              <w:sz w:val="24"/>
              <w:szCs w:val="24"/>
              <w:lang w:eastAsia="zh-CN"/>
            </w:rPr>
            <w:fldChar w:fldCharType="separate"/>
          </w:r>
          <w:r>
            <w:rPr>
              <w:rFonts w:hint="default" w:ascii="Times New Roman" w:hAnsi="Times New Roman" w:eastAsia="宋体" w:cs="Times New Roman"/>
              <w:bCs/>
              <w:sz w:val="24"/>
              <w:szCs w:val="24"/>
              <w:lang w:eastAsia="zh-CN"/>
            </w:rPr>
            <w:t>五、 环境保护措施监督检查清单</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_Toc22998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62</w:t>
          </w:r>
          <w:r>
            <w:rPr>
              <w:rFonts w:hint="default" w:ascii="Times New Roman" w:hAnsi="Times New Roman" w:cs="Times New Roman"/>
              <w:sz w:val="24"/>
              <w:szCs w:val="24"/>
            </w:rPr>
            <w:fldChar w:fldCharType="end"/>
          </w:r>
          <w:r>
            <w:rPr>
              <w:rFonts w:hint="default" w:ascii="Times New Roman" w:hAnsi="Times New Roman" w:cs="Times New Roman"/>
              <w:sz w:val="24"/>
              <w:szCs w:val="24"/>
              <w:lang w:eastAsia="zh-CN"/>
            </w:rPr>
            <w:fldChar w:fldCharType="end"/>
          </w:r>
        </w:p>
        <w:p>
          <w:pPr>
            <w:pStyle w:val="11"/>
            <w:tabs>
              <w:tab w:val="right" w:leader="dot" w:pos="9030"/>
            </w:tabs>
            <w:spacing w:line="360" w:lineRule="auto"/>
            <w:rPr>
              <w:rFonts w:hint="default" w:ascii="Times New Roman" w:hAnsi="Times New Roman" w:cs="Times New Roman"/>
              <w:sz w:val="24"/>
              <w:szCs w:val="24"/>
            </w:rPr>
          </w:pPr>
          <w:r>
            <w:rPr>
              <w:rFonts w:hint="default" w:ascii="Times New Roman" w:hAnsi="Times New Roman" w:cs="Times New Roman"/>
              <w:sz w:val="24"/>
              <w:szCs w:val="24"/>
              <w:lang w:eastAsia="zh-CN"/>
            </w:rPr>
            <w:fldChar w:fldCharType="begin"/>
          </w:r>
          <w:r>
            <w:rPr>
              <w:rFonts w:hint="default" w:ascii="Times New Roman" w:hAnsi="Times New Roman" w:cs="Times New Roman"/>
              <w:sz w:val="24"/>
              <w:szCs w:val="24"/>
              <w:lang w:eastAsia="zh-CN"/>
            </w:rPr>
            <w:instrText xml:space="preserve"> HYPERLINK \l _Toc12127 </w:instrText>
          </w:r>
          <w:r>
            <w:rPr>
              <w:rFonts w:hint="default" w:ascii="Times New Roman" w:hAnsi="Times New Roman" w:cs="Times New Roman"/>
              <w:sz w:val="24"/>
              <w:szCs w:val="24"/>
              <w:lang w:eastAsia="zh-CN"/>
            </w:rPr>
            <w:fldChar w:fldCharType="separate"/>
          </w:r>
          <w:r>
            <w:rPr>
              <w:rFonts w:hint="default" w:ascii="Times New Roman" w:hAnsi="Times New Roman" w:eastAsia="宋体" w:cs="Times New Roman"/>
              <w:bCs/>
              <w:sz w:val="24"/>
              <w:szCs w:val="24"/>
            </w:rPr>
            <w:t>六、结论</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_Toc12127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64</w:t>
          </w:r>
          <w:r>
            <w:rPr>
              <w:rFonts w:hint="default" w:ascii="Times New Roman" w:hAnsi="Times New Roman" w:cs="Times New Roman"/>
              <w:sz w:val="24"/>
              <w:szCs w:val="24"/>
            </w:rPr>
            <w:fldChar w:fldCharType="end"/>
          </w:r>
          <w:r>
            <w:rPr>
              <w:rFonts w:hint="default" w:ascii="Times New Roman" w:hAnsi="Times New Roman" w:cs="Times New Roman"/>
              <w:sz w:val="24"/>
              <w:szCs w:val="24"/>
              <w:lang w:eastAsia="zh-CN"/>
            </w:rPr>
            <w:fldChar w:fldCharType="end"/>
          </w:r>
        </w:p>
        <w:p>
          <w:pPr>
            <w:pStyle w:val="11"/>
            <w:tabs>
              <w:tab w:val="right" w:leader="dot" w:pos="9030"/>
            </w:tabs>
            <w:spacing w:line="360" w:lineRule="auto"/>
            <w:rPr>
              <w:rFonts w:hint="default" w:ascii="Times New Roman" w:hAnsi="Times New Roman" w:cs="Times New Roman"/>
              <w:sz w:val="24"/>
              <w:szCs w:val="24"/>
            </w:rPr>
          </w:pPr>
          <w:r>
            <w:rPr>
              <w:rFonts w:hint="default" w:ascii="Times New Roman" w:hAnsi="Times New Roman" w:cs="Times New Roman"/>
              <w:sz w:val="24"/>
              <w:szCs w:val="24"/>
              <w:lang w:eastAsia="zh-CN"/>
            </w:rPr>
            <w:fldChar w:fldCharType="begin"/>
          </w:r>
          <w:r>
            <w:rPr>
              <w:rFonts w:hint="default" w:ascii="Times New Roman" w:hAnsi="Times New Roman" w:cs="Times New Roman"/>
              <w:sz w:val="24"/>
              <w:szCs w:val="24"/>
              <w:lang w:eastAsia="zh-CN"/>
            </w:rPr>
            <w:instrText xml:space="preserve"> HYPERLINK \l _Toc10341 </w:instrText>
          </w:r>
          <w:r>
            <w:rPr>
              <w:rFonts w:hint="default" w:ascii="Times New Roman" w:hAnsi="Times New Roman" w:cs="Times New Roman"/>
              <w:sz w:val="24"/>
              <w:szCs w:val="24"/>
              <w:lang w:eastAsia="zh-CN"/>
            </w:rPr>
            <w:fldChar w:fldCharType="separate"/>
          </w:r>
          <w:r>
            <w:rPr>
              <w:rFonts w:hint="default" w:ascii="Times New Roman" w:hAnsi="Times New Roman" w:eastAsia="宋体" w:cs="Times New Roman"/>
              <w:bCs/>
              <w:sz w:val="24"/>
              <w:szCs w:val="24"/>
              <w:lang w:eastAsia="zh-CN"/>
            </w:rPr>
            <w:t>建设项目污染物排放量汇总表</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_Toc10341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65</w:t>
          </w:r>
          <w:r>
            <w:rPr>
              <w:rFonts w:hint="default" w:ascii="Times New Roman" w:hAnsi="Times New Roman" w:cs="Times New Roman"/>
              <w:sz w:val="24"/>
              <w:szCs w:val="24"/>
            </w:rPr>
            <w:fldChar w:fldCharType="end"/>
          </w:r>
          <w:r>
            <w:rPr>
              <w:rFonts w:hint="default" w:ascii="Times New Roman" w:hAnsi="Times New Roman" w:cs="Times New Roman"/>
              <w:sz w:val="24"/>
              <w:szCs w:val="24"/>
              <w:lang w:eastAsia="zh-CN"/>
            </w:rPr>
            <w:fldChar w:fldCharType="end"/>
          </w:r>
        </w:p>
        <w:p>
          <w:pPr>
            <w:spacing w:line="360" w:lineRule="auto"/>
            <w:rPr>
              <w:rFonts w:hint="default" w:ascii="Times New Roman" w:hAnsi="Times New Roman" w:cs="Times New Roman"/>
              <w:sz w:val="24"/>
            </w:rPr>
          </w:pPr>
          <w:r>
            <w:rPr>
              <w:rFonts w:hint="default" w:ascii="Times New Roman" w:hAnsi="Times New Roman" w:cs="Times New Roman"/>
              <w:sz w:val="24"/>
              <w:szCs w:val="24"/>
              <w:lang w:eastAsia="zh-CN"/>
            </w:rPr>
            <w:fldChar w:fldCharType="end"/>
          </w:r>
          <w:r>
            <w:rPr>
              <w:rFonts w:hint="default" w:ascii="Times New Roman" w:hAnsi="Times New Roman" w:cs="Times New Roman"/>
              <w:b/>
              <w:bCs/>
              <w:sz w:val="24"/>
              <w:szCs w:val="24"/>
              <w:lang w:val="en-US" w:eastAsia="zh-CN"/>
            </w:rPr>
            <w:t>附图：</w:t>
          </w:r>
          <w:r>
            <w:rPr>
              <w:rFonts w:hint="default" w:ascii="Times New Roman" w:hAnsi="Times New Roman" w:cs="Times New Roman"/>
              <w:sz w:val="24"/>
            </w:rPr>
            <w:t>附图1  项目地理位置图</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附图2  项目所在区域地表水系图</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附图3  江苏省生态空间保护区域分布图</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附图4  建设项目平面布置图</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附图5  四邻、卫生防护距离情况图</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附图6  监测点位图</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附图</w:t>
          </w:r>
          <w:r>
            <w:rPr>
              <w:rFonts w:hint="default" w:ascii="Times New Roman" w:hAnsi="Times New Roman" w:eastAsia="宋体" w:cs="Times New Roman"/>
              <w:sz w:val="24"/>
              <w:lang w:val="en-US" w:eastAsia="zh-CN"/>
            </w:rPr>
            <w:t>7</w:t>
          </w:r>
          <w:r>
            <w:rPr>
              <w:rFonts w:hint="default" w:ascii="Times New Roman" w:hAnsi="Times New Roman" w:cs="Times New Roman"/>
              <w:sz w:val="24"/>
            </w:rPr>
            <w:t xml:space="preserve">  工程师勘查现场照片</w:t>
          </w:r>
        </w:p>
        <w:p>
          <w:pPr>
            <w:spacing w:line="360" w:lineRule="auto"/>
            <w:jc w:val="left"/>
            <w:rPr>
              <w:rFonts w:hint="default" w:ascii="Times New Roman" w:hAnsi="Times New Roman" w:cs="Times New Roman"/>
              <w:color w:val="000000"/>
              <w:sz w:val="24"/>
            </w:rPr>
          </w:pPr>
          <w:r>
            <w:rPr>
              <w:rFonts w:hint="default" w:ascii="Times New Roman" w:hAnsi="Times New Roman" w:cs="Times New Roman"/>
              <w:b/>
              <w:bCs/>
              <w:sz w:val="24"/>
              <w:szCs w:val="24"/>
              <w:lang w:val="en-US" w:eastAsia="zh-CN"/>
            </w:rPr>
            <w:t>附件：</w:t>
          </w:r>
          <w:r>
            <w:rPr>
              <w:rFonts w:hint="default" w:ascii="Times New Roman" w:hAnsi="Times New Roman" w:cs="Times New Roman"/>
              <w:color w:val="000000"/>
              <w:sz w:val="24"/>
            </w:rPr>
            <w:t>附件1  环评委托书</w:t>
          </w:r>
        </w:p>
        <w:p>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附件2  江苏省投资项目备案证</w:t>
          </w:r>
        </w:p>
        <w:p>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附件3  建设单位营业执照</w:t>
          </w:r>
        </w:p>
        <w:p>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附件4  法人身份证</w:t>
          </w:r>
        </w:p>
        <w:p>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附件5  连云港市企业环保信用承诺表</w:t>
          </w:r>
        </w:p>
        <w:p>
          <w:pPr>
            <w:spacing w:line="360" w:lineRule="auto"/>
            <w:ind w:firstLine="480" w:firstLineChars="200"/>
            <w:jc w:val="left"/>
            <w:rPr>
              <w:rFonts w:hint="default" w:ascii="Times New Roman" w:hAnsi="Times New Roman" w:eastAsia="宋体" w:cs="Times New Roman"/>
              <w:color w:val="000000"/>
              <w:sz w:val="24"/>
              <w:lang w:val="en-US" w:eastAsia="zh-CN"/>
            </w:rPr>
          </w:pPr>
          <w:r>
            <w:rPr>
              <w:rFonts w:hint="default" w:ascii="Times New Roman" w:hAnsi="Times New Roman" w:cs="Times New Roman"/>
              <w:color w:val="000000"/>
              <w:sz w:val="24"/>
            </w:rPr>
            <w:t xml:space="preserve">附件6  </w:t>
          </w:r>
          <w:r>
            <w:rPr>
              <w:rFonts w:hint="eastAsia" w:ascii="Times New Roman" w:hAnsi="Times New Roman" w:cs="Times New Roman"/>
              <w:color w:val="000000"/>
              <w:sz w:val="24"/>
              <w:lang w:val="en-US" w:eastAsia="zh-CN"/>
            </w:rPr>
            <w:t>租赁合同</w:t>
          </w:r>
        </w:p>
        <w:p>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附件</w:t>
          </w:r>
          <w:r>
            <w:rPr>
              <w:rFonts w:hint="default" w:ascii="Times New Roman" w:hAnsi="Times New Roman" w:eastAsia="宋体" w:cs="Times New Roman"/>
              <w:color w:val="000000"/>
              <w:sz w:val="24"/>
              <w:lang w:val="en-US" w:eastAsia="zh-CN"/>
            </w:rPr>
            <w:t>7</w:t>
          </w:r>
          <w:r>
            <w:rPr>
              <w:rFonts w:hint="default" w:ascii="Times New Roman" w:hAnsi="Times New Roman" w:cs="Times New Roman"/>
              <w:color w:val="000000"/>
              <w:sz w:val="24"/>
            </w:rPr>
            <w:t xml:space="preserve"> 现有项目环评批复</w:t>
          </w:r>
        </w:p>
        <w:p>
          <w:pPr>
            <w:spacing w:line="360" w:lineRule="auto"/>
            <w:ind w:firstLine="480" w:firstLineChars="200"/>
            <w:jc w:val="left"/>
            <w:rPr>
              <w:rFonts w:hint="default" w:ascii="Times New Roman" w:hAnsi="Times New Roman" w:eastAsia="宋体" w:cs="Times New Roman"/>
              <w:color w:val="000000"/>
              <w:sz w:val="24"/>
              <w:lang w:val="en-US" w:eastAsia="zh-CN"/>
            </w:rPr>
          </w:pPr>
          <w:r>
            <w:rPr>
              <w:rFonts w:hint="default" w:ascii="Times New Roman" w:hAnsi="Times New Roman" w:cs="Times New Roman"/>
              <w:color w:val="000000"/>
              <w:sz w:val="24"/>
            </w:rPr>
            <w:t>附件</w:t>
          </w:r>
          <w:r>
            <w:rPr>
              <w:rFonts w:hint="default" w:ascii="Times New Roman" w:hAnsi="Times New Roman" w:eastAsia="宋体" w:cs="Times New Roman"/>
              <w:color w:val="000000"/>
              <w:sz w:val="24"/>
              <w:lang w:val="en-US" w:eastAsia="zh-CN"/>
            </w:rPr>
            <w:t>8</w:t>
          </w:r>
          <w:r>
            <w:rPr>
              <w:rFonts w:hint="default" w:ascii="Times New Roman" w:hAnsi="Times New Roman" w:cs="Times New Roman"/>
              <w:color w:val="000000"/>
              <w:sz w:val="24"/>
            </w:rPr>
            <w:t xml:space="preserve"> 现有项目验收</w:t>
          </w:r>
          <w:r>
            <w:rPr>
              <w:rFonts w:hint="default" w:ascii="Times New Roman" w:hAnsi="Times New Roman" w:eastAsia="宋体" w:cs="Times New Roman"/>
              <w:color w:val="000000"/>
              <w:sz w:val="24"/>
              <w:lang w:val="en-US" w:eastAsia="zh-CN"/>
            </w:rPr>
            <w:t>资料</w:t>
          </w:r>
        </w:p>
        <w:p>
          <w:pPr>
            <w:spacing w:line="360" w:lineRule="auto"/>
            <w:ind w:firstLine="480" w:firstLineChars="200"/>
            <w:jc w:val="left"/>
            <w:rPr>
              <w:rFonts w:hint="default" w:ascii="Times New Roman" w:hAnsi="Times New Roman" w:eastAsia="宋体" w:cs="Times New Roman"/>
              <w:color w:val="000000"/>
              <w:sz w:val="24"/>
              <w:lang w:val="en-US" w:eastAsia="zh-CN"/>
            </w:rPr>
          </w:pPr>
          <w:r>
            <w:rPr>
              <w:rFonts w:hint="default" w:ascii="Times New Roman" w:hAnsi="Times New Roman" w:cs="Times New Roman"/>
              <w:color w:val="000000"/>
              <w:sz w:val="24"/>
            </w:rPr>
            <w:t>附件</w:t>
          </w:r>
          <w:r>
            <w:rPr>
              <w:rFonts w:hint="default" w:ascii="Times New Roman" w:hAnsi="Times New Roman" w:eastAsia="宋体" w:cs="Times New Roman"/>
              <w:color w:val="000000"/>
              <w:sz w:val="24"/>
              <w:lang w:val="en-US" w:eastAsia="zh-CN"/>
            </w:rPr>
            <w:t>9</w:t>
          </w:r>
          <w:r>
            <w:rPr>
              <w:rFonts w:hint="default" w:ascii="Times New Roman" w:hAnsi="Times New Roman" w:cs="Times New Roman"/>
              <w:color w:val="000000"/>
              <w:sz w:val="24"/>
            </w:rPr>
            <w:t xml:space="preserve"> 现有项目</w:t>
          </w:r>
          <w:r>
            <w:rPr>
              <w:rFonts w:hint="default" w:ascii="Times New Roman" w:hAnsi="Times New Roman" w:eastAsia="宋体" w:cs="Times New Roman"/>
              <w:color w:val="000000"/>
              <w:sz w:val="24"/>
              <w:lang w:val="en-US" w:eastAsia="zh-CN"/>
            </w:rPr>
            <w:t>排污许可证资料</w:t>
          </w:r>
        </w:p>
        <w:p>
          <w:pPr>
            <w:spacing w:line="360" w:lineRule="auto"/>
            <w:ind w:firstLine="480" w:firstLineChars="200"/>
            <w:jc w:val="left"/>
            <w:rPr>
              <w:rFonts w:hint="default" w:ascii="Times New Roman" w:hAnsi="Times New Roman" w:eastAsia="宋体" w:cs="Times New Roman"/>
              <w:color w:val="000000"/>
              <w:sz w:val="24"/>
              <w:lang w:val="en-US" w:eastAsia="zh-CN"/>
            </w:rPr>
          </w:pPr>
          <w:r>
            <w:rPr>
              <w:rFonts w:hint="default" w:ascii="Times New Roman" w:hAnsi="Times New Roman" w:cs="Times New Roman"/>
              <w:color w:val="000000"/>
              <w:sz w:val="24"/>
            </w:rPr>
            <w:t>附件</w:t>
          </w:r>
          <w:r>
            <w:rPr>
              <w:rFonts w:hint="eastAsia" w:ascii="Times New Roman" w:hAnsi="Times New Roman" w:cs="Times New Roman"/>
              <w:color w:val="000000"/>
              <w:sz w:val="24"/>
              <w:lang w:val="en-US" w:eastAsia="zh-CN"/>
            </w:rPr>
            <w:t>10</w:t>
          </w:r>
          <w:r>
            <w:rPr>
              <w:rFonts w:hint="default" w:ascii="Times New Roman" w:hAnsi="Times New Roman" w:cs="Times New Roman"/>
              <w:color w:val="000000"/>
              <w:sz w:val="24"/>
            </w:rPr>
            <w:t xml:space="preserve"> </w:t>
          </w:r>
          <w:r>
            <w:rPr>
              <w:rFonts w:hint="eastAsia" w:ascii="Times New Roman" w:hAnsi="Times New Roman" w:cs="Times New Roman"/>
              <w:color w:val="000000"/>
              <w:sz w:val="24"/>
              <w:lang w:val="en-US" w:eastAsia="zh-CN"/>
            </w:rPr>
            <w:t>水性油墨SDS资料及检测报告</w:t>
          </w:r>
        </w:p>
        <w:p>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附件</w:t>
          </w:r>
          <w:r>
            <w:rPr>
              <w:rFonts w:hint="default" w:ascii="Times New Roman" w:hAnsi="Times New Roman" w:cs="Times New Roman"/>
              <w:color w:val="000000"/>
              <w:sz w:val="24"/>
              <w:lang w:val="en-US" w:eastAsia="zh-CN"/>
            </w:rPr>
            <w:t>1</w:t>
          </w:r>
          <w:r>
            <w:rPr>
              <w:rFonts w:hint="eastAsia" w:ascii="Times New Roman" w:hAnsi="Times New Roman" w:cs="Times New Roman"/>
              <w:color w:val="000000"/>
              <w:sz w:val="24"/>
              <w:lang w:val="en-US" w:eastAsia="zh-CN"/>
            </w:rPr>
            <w:t>1</w:t>
          </w:r>
          <w:r>
            <w:rPr>
              <w:rFonts w:hint="default" w:ascii="Times New Roman" w:hAnsi="Times New Roman" w:cs="Times New Roman"/>
              <w:color w:val="000000"/>
              <w:sz w:val="24"/>
            </w:rPr>
            <w:t xml:space="preserve"> 连云港市生态环境局建设项目环境影响评价审批申请表</w:t>
          </w:r>
        </w:p>
        <w:p>
          <w:pPr>
            <w:pStyle w:val="28"/>
            <w:rPr>
              <w:rFonts w:hint="default"/>
            </w:rPr>
          </w:pPr>
        </w:p>
        <w:p>
          <w:pPr>
            <w:spacing w:line="360" w:lineRule="auto"/>
            <w:jc w:val="left"/>
            <w:rPr>
              <w:rFonts w:hint="default" w:ascii="Times New Roman" w:hAnsi="Times New Roman" w:cs="Times New Roman"/>
              <w:sz w:val="28"/>
              <w:szCs w:val="28"/>
              <w:lang w:eastAsia="zh-CN"/>
            </w:rPr>
            <w:sectPr>
              <w:footerReference r:id="rId3" w:type="default"/>
              <w:pgSz w:w="11910" w:h="16840"/>
              <w:pgMar w:top="1440" w:right="1440" w:bottom="1440" w:left="1440" w:header="0" w:footer="1039" w:gutter="0"/>
              <w:pgBorders>
                <w:top w:val="none" w:sz="0" w:space="0"/>
                <w:left w:val="none" w:sz="0" w:space="0"/>
                <w:bottom w:val="none" w:sz="0" w:space="0"/>
                <w:right w:val="none" w:sz="0" w:space="0"/>
              </w:pgBorders>
              <w:cols w:space="720" w:num="1"/>
            </w:sectPr>
          </w:pPr>
        </w:p>
      </w:sdtContent>
    </w:sdt>
    <w:p>
      <w:pPr>
        <w:pStyle w:val="3"/>
        <w:spacing w:before="0" w:line="360" w:lineRule="auto"/>
        <w:jc w:val="center"/>
        <w:rPr>
          <w:rFonts w:hint="default" w:ascii="Times New Roman" w:hAnsi="Times New Roman" w:eastAsia="宋体" w:cs="Times New Roman"/>
          <w:b/>
          <w:bCs/>
        </w:rPr>
      </w:pPr>
      <w:bookmarkStart w:id="0" w:name="_Toc29597"/>
      <w:r>
        <w:rPr>
          <w:rFonts w:hint="default" w:ascii="Times New Roman" w:hAnsi="Times New Roman" w:eastAsia="宋体" w:cs="Times New Roman"/>
          <w:b/>
          <w:bCs/>
        </w:rPr>
        <w:t>一、</w:t>
      </w:r>
      <w:r>
        <w:rPr>
          <w:rFonts w:hint="default" w:ascii="Times New Roman" w:hAnsi="Times New Roman" w:eastAsia="宋体" w:cs="Times New Roman"/>
          <w:b/>
          <w:bCs/>
          <w:lang w:eastAsia="zh-CN"/>
        </w:rPr>
        <w:t>建设项目基</w:t>
      </w:r>
      <w:r>
        <w:rPr>
          <w:rFonts w:hint="default" w:ascii="Times New Roman" w:hAnsi="Times New Roman" w:eastAsia="宋体" w:cs="Times New Roman"/>
          <w:b/>
          <w:bCs/>
        </w:rPr>
        <w:t>本情况</w:t>
      </w:r>
      <w:bookmarkEnd w:id="0"/>
    </w:p>
    <w:tbl>
      <w:tblPr>
        <w:tblStyle w:val="24"/>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8"/>
        <w:gridCol w:w="1338"/>
        <w:gridCol w:w="2345"/>
        <w:gridCol w:w="2158"/>
        <w:gridCol w:w="31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jc w:val="center"/>
              <w:rPr>
                <w:rFonts w:hint="default" w:ascii="Times New Roman" w:hAnsi="Times New Roman" w:eastAsia="宋体" w:cs="Times New Roman"/>
                <w:sz w:val="24"/>
                <w:lang w:eastAsia="zh-CN"/>
              </w:rPr>
            </w:pPr>
            <w:r>
              <w:rPr>
                <w:rFonts w:hint="default" w:ascii="Times New Roman" w:hAnsi="Times New Roman" w:eastAsia="宋体" w:cs="Times New Roman"/>
                <w:spacing w:val="-1"/>
                <w:sz w:val="24"/>
                <w:szCs w:val="24"/>
              </w:rPr>
              <w:t>建设项目名称</w:t>
            </w:r>
          </w:p>
        </w:tc>
        <w:tc>
          <w:tcPr>
            <w:tcW w:w="3981" w:type="pct"/>
            <w:gridSpan w:val="3"/>
            <w:vAlign w:val="center"/>
          </w:tcPr>
          <w:p>
            <w:pPr>
              <w:pStyle w:val="35"/>
              <w:jc w:val="center"/>
              <w:rPr>
                <w:rFonts w:hint="default" w:ascii="Times New Roman" w:hAnsi="Times New Roman" w:cs="Times New Roman" w:eastAsiaTheme="majorEastAsia"/>
                <w:sz w:val="24"/>
                <w:lang w:val="en-US" w:eastAsia="zh-CN"/>
              </w:rPr>
            </w:pPr>
            <w:r>
              <w:rPr>
                <w:rFonts w:hint="default" w:ascii="Times New Roman" w:hAnsi="Times New Roman" w:eastAsia="宋体" w:cs="Times New Roman"/>
                <w:spacing w:val="-2"/>
                <w:sz w:val="24"/>
                <w:szCs w:val="24"/>
                <w:lang w:val="en-US" w:eastAsia="zh-CN"/>
              </w:rPr>
              <w:t>包装材料制造项目技术改造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35"/>
              <w:jc w:val="center"/>
              <w:rPr>
                <w:rFonts w:hint="default" w:ascii="Times New Roman" w:hAnsi="Times New Roman" w:eastAsia="宋体" w:cs="Times New Roman"/>
                <w:sz w:val="24"/>
                <w:lang w:eastAsia="zh-CN"/>
              </w:rPr>
            </w:pPr>
            <w:r>
              <w:rPr>
                <w:rFonts w:hint="default" w:ascii="Times New Roman" w:hAnsi="Times New Roman" w:eastAsia="宋体" w:cs="Times New Roman"/>
                <w:spacing w:val="-1"/>
                <w:sz w:val="24"/>
                <w:szCs w:val="24"/>
              </w:rPr>
              <w:t>项目代码</w:t>
            </w:r>
          </w:p>
        </w:tc>
        <w:tc>
          <w:tcPr>
            <w:tcW w:w="3981" w:type="pct"/>
            <w:gridSpan w:val="3"/>
            <w:vAlign w:val="center"/>
          </w:tcPr>
          <w:p>
            <w:pPr>
              <w:pStyle w:val="35"/>
              <w:jc w:val="center"/>
              <w:rPr>
                <w:rFonts w:hint="default" w:ascii="Times New Roman" w:hAnsi="Times New Roman" w:cs="Times New Roman" w:eastAsiaTheme="majorEastAsia"/>
                <w:sz w:val="24"/>
                <w:lang w:eastAsia="zh-CN"/>
              </w:rPr>
            </w:pPr>
            <w:r>
              <w:rPr>
                <w:rFonts w:hint="default" w:ascii="Times New Roman" w:hAnsi="Times New Roman" w:eastAsia="宋体" w:cs="Times New Roman"/>
                <w:spacing w:val="-2"/>
                <w:sz w:val="24"/>
                <w:szCs w:val="24"/>
                <w:lang w:val="en-US" w:eastAsia="zh-CN"/>
              </w:rPr>
              <w:t>2306-320771-89-02-751628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35"/>
              <w:jc w:val="center"/>
              <w:rPr>
                <w:rFonts w:hint="default" w:ascii="Times New Roman" w:hAnsi="Times New Roman" w:eastAsia="宋体" w:cs="Times New Roman"/>
                <w:sz w:val="24"/>
              </w:rPr>
            </w:pPr>
            <w:r>
              <w:rPr>
                <w:rFonts w:hint="default" w:ascii="Times New Roman" w:hAnsi="Times New Roman" w:eastAsia="宋体" w:cs="Times New Roman"/>
                <w:spacing w:val="-1"/>
                <w:sz w:val="24"/>
                <w:szCs w:val="24"/>
              </w:rPr>
              <w:t>建设单位联系</w:t>
            </w:r>
            <w:r>
              <w:rPr>
                <w:rFonts w:hint="default" w:ascii="Times New Roman" w:hAnsi="Times New Roman" w:eastAsia="宋体" w:cs="Times New Roman"/>
                <w:sz w:val="24"/>
                <w:szCs w:val="24"/>
              </w:rPr>
              <w:t>人</w:t>
            </w:r>
          </w:p>
        </w:tc>
        <w:tc>
          <w:tcPr>
            <w:tcW w:w="1227" w:type="pct"/>
            <w:vAlign w:val="center"/>
          </w:tcPr>
          <w:p>
            <w:pPr>
              <w:pStyle w:val="35"/>
              <w:jc w:val="center"/>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fldChar w:fldCharType="begin"/>
            </w:r>
            <w:r>
              <w:rPr>
                <w:rFonts w:hint="default" w:ascii="Times New Roman" w:hAnsi="Times New Roman" w:eastAsia="宋体" w:cs="Times New Roman"/>
                <w:spacing w:val="-2"/>
                <w:sz w:val="24"/>
                <w:szCs w:val="24"/>
                <w:lang w:val="en-US" w:eastAsia="zh-CN"/>
              </w:rPr>
              <w:instrText xml:space="preserve"> HYPERLINK "https://shuidi.cn/owner_resume?base=bmFtZT3nqqbot4Pli4cmZGlnZXN0PWUxODQ2OWIxOGQyNjAzZTA5MzJmYjMzNDlmMzIwZDY0JnBvc2l0aW9uPeazleS6ug==&amp;clickLogParamsPosition=%E6%80%BB%E8%A7%88%E5%8C%BA-%E4%B8%8B%E8%BD%BD%E7%AE%80%E5%8E%86" \o "窦跃勇" </w:instrText>
            </w:r>
            <w:r>
              <w:rPr>
                <w:rFonts w:hint="default" w:ascii="Times New Roman" w:hAnsi="Times New Roman" w:eastAsia="宋体" w:cs="Times New Roman"/>
                <w:spacing w:val="-2"/>
                <w:sz w:val="24"/>
                <w:szCs w:val="24"/>
                <w:lang w:val="en-US" w:eastAsia="zh-CN"/>
              </w:rPr>
              <w:fldChar w:fldCharType="separate"/>
            </w:r>
            <w:r>
              <w:rPr>
                <w:rFonts w:hint="default" w:ascii="Times New Roman" w:hAnsi="Times New Roman" w:eastAsia="宋体" w:cs="Times New Roman"/>
                <w:spacing w:val="-2"/>
                <w:sz w:val="24"/>
                <w:szCs w:val="24"/>
                <w:lang w:val="en-US" w:eastAsia="zh-CN"/>
              </w:rPr>
              <w:t>窦跃勇</w:t>
            </w:r>
            <w:r>
              <w:rPr>
                <w:rFonts w:hint="default" w:ascii="Times New Roman" w:hAnsi="Times New Roman" w:eastAsia="宋体" w:cs="Times New Roman"/>
                <w:spacing w:val="-2"/>
                <w:sz w:val="24"/>
                <w:szCs w:val="24"/>
                <w:lang w:val="en-US" w:eastAsia="zh-CN"/>
              </w:rPr>
              <w:fldChar w:fldCharType="end"/>
            </w:r>
          </w:p>
        </w:tc>
        <w:tc>
          <w:tcPr>
            <w:tcW w:w="1129" w:type="pct"/>
            <w:vAlign w:val="center"/>
          </w:tcPr>
          <w:p>
            <w:pPr>
              <w:pStyle w:val="35"/>
              <w:jc w:val="center"/>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联系方式</w:t>
            </w:r>
          </w:p>
        </w:tc>
        <w:tc>
          <w:tcPr>
            <w:tcW w:w="1625" w:type="pct"/>
            <w:vAlign w:val="center"/>
          </w:tcPr>
          <w:p>
            <w:pPr>
              <w:pStyle w:val="35"/>
              <w:jc w:val="center"/>
              <w:rPr>
                <w:rFonts w:hint="default" w:ascii="Times New Roman" w:hAnsi="Times New Roman" w:eastAsia="宋体" w:cs="Times New Roman"/>
                <w:spacing w:val="-2"/>
                <w:sz w:val="24"/>
                <w:szCs w:val="24"/>
                <w:lang w:val="en-US" w:eastAsia="zh-CN"/>
              </w:rPr>
            </w:pPr>
            <w:r>
              <w:rPr>
                <w:rFonts w:hint="default" w:ascii="Times New Roman" w:hAnsi="Times New Roman" w:eastAsia="宋体" w:cs="Times New Roman"/>
                <w:spacing w:val="-2"/>
                <w:sz w:val="24"/>
                <w:szCs w:val="24"/>
                <w:lang w:val="en-US" w:eastAsia="zh-CN"/>
              </w:rPr>
              <w:t>13705138164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35"/>
              <w:jc w:val="center"/>
              <w:rPr>
                <w:rFonts w:hint="default" w:ascii="Times New Roman" w:hAnsi="Times New Roman" w:eastAsia="宋体" w:cs="Times New Roman"/>
                <w:sz w:val="24"/>
              </w:rPr>
            </w:pPr>
            <w:r>
              <w:rPr>
                <w:rFonts w:hint="default" w:ascii="Times New Roman" w:hAnsi="Times New Roman" w:eastAsia="宋体" w:cs="Times New Roman"/>
                <w:spacing w:val="-1"/>
                <w:sz w:val="24"/>
                <w:szCs w:val="24"/>
              </w:rPr>
              <w:t>建设地点</w:t>
            </w:r>
          </w:p>
        </w:tc>
        <w:tc>
          <w:tcPr>
            <w:tcW w:w="3981" w:type="pct"/>
            <w:gridSpan w:val="3"/>
            <w:vAlign w:val="center"/>
          </w:tcPr>
          <w:p>
            <w:pPr>
              <w:pStyle w:val="35"/>
              <w:jc w:val="center"/>
              <w:rPr>
                <w:rFonts w:hint="default" w:ascii="Times New Roman" w:hAnsi="Times New Roman" w:eastAsia="宋体" w:cs="Times New Roman"/>
                <w:sz w:val="24"/>
                <w:lang w:val="en-US" w:eastAsia="zh-CN"/>
              </w:rPr>
            </w:pPr>
            <w:r>
              <w:rPr>
                <w:rFonts w:hint="default" w:ascii="Times New Roman" w:hAnsi="Times New Roman" w:eastAsia="宋体" w:cs="Times New Roman"/>
                <w:spacing w:val="-2"/>
                <w:sz w:val="24"/>
                <w:szCs w:val="24"/>
                <w:lang w:val="en-US" w:eastAsia="zh-CN"/>
              </w:rPr>
              <w:t>连云港市经济技术开发区东方大道36号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jc w:val="center"/>
              <w:rPr>
                <w:rFonts w:hint="default" w:ascii="Times New Roman" w:hAnsi="Times New Roman" w:eastAsia="宋体" w:cs="Times New Roman"/>
                <w:sz w:val="24"/>
              </w:rPr>
            </w:pPr>
            <w:r>
              <w:rPr>
                <w:rFonts w:hint="default" w:ascii="Times New Roman" w:hAnsi="Times New Roman" w:eastAsia="宋体" w:cs="Times New Roman"/>
                <w:spacing w:val="-1"/>
                <w:sz w:val="24"/>
                <w:szCs w:val="24"/>
              </w:rPr>
              <w:t>地理坐标</w:t>
            </w:r>
          </w:p>
        </w:tc>
        <w:tc>
          <w:tcPr>
            <w:tcW w:w="3981" w:type="pct"/>
            <w:gridSpan w:val="3"/>
            <w:vAlign w:val="center"/>
          </w:tcPr>
          <w:p>
            <w:pPr>
              <w:pStyle w:val="35"/>
              <w:tabs>
                <w:tab w:val="left" w:pos="1444"/>
                <w:tab w:val="left" w:pos="2076"/>
                <w:tab w:val="left" w:pos="3756"/>
                <w:tab w:val="left" w:pos="4385"/>
              </w:tabs>
              <w:jc w:val="center"/>
              <w:rPr>
                <w:rFonts w:hint="default" w:ascii="Times New Roman" w:hAnsi="Times New Roman" w:eastAsia="宋体" w:cs="Times New Roman"/>
                <w:sz w:val="24"/>
              </w:rPr>
            </w:pP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u w:val="single"/>
                <w:lang w:eastAsia="zh-CN"/>
              </w:rPr>
              <w:t>11</w:t>
            </w:r>
            <w:r>
              <w:rPr>
                <w:rFonts w:hint="default" w:ascii="Times New Roman" w:hAnsi="Times New Roman" w:eastAsia="宋体" w:cs="Times New Roman"/>
                <w:color w:val="auto"/>
                <w:sz w:val="24"/>
                <w:szCs w:val="24"/>
                <w:u w:val="single"/>
                <w:lang w:val="en-US" w:eastAsia="zh-CN"/>
              </w:rPr>
              <w:t>9</w:t>
            </w:r>
            <w:r>
              <w:rPr>
                <w:rFonts w:hint="default" w:ascii="Times New Roman" w:hAnsi="Times New Roman" w:eastAsia="宋体" w:cs="Times New Roman"/>
                <w:color w:val="auto"/>
                <w:sz w:val="24"/>
                <w:szCs w:val="24"/>
                <w:u w:val="single"/>
                <w:lang w:eastAsia="zh-CN"/>
              </w:rPr>
              <w:t xml:space="preserve"> </w:t>
            </w:r>
            <w:r>
              <w:rPr>
                <w:rFonts w:hint="default" w:ascii="Times New Roman" w:hAnsi="Times New Roman" w:eastAsia="宋体" w:cs="Times New Roman"/>
                <w:color w:val="auto"/>
                <w:sz w:val="24"/>
                <w:szCs w:val="24"/>
              </w:rPr>
              <w:t>度</w:t>
            </w:r>
            <w:r>
              <w:rPr>
                <w:rFonts w:hint="default" w:ascii="Times New Roman" w:hAnsi="Times New Roman" w:eastAsia="宋体" w:cs="Times New Roman"/>
                <w:color w:val="auto"/>
                <w:sz w:val="24"/>
                <w:szCs w:val="24"/>
                <w:u w:val="single"/>
                <w:lang w:val="en-US" w:eastAsia="zh-CN"/>
              </w:rPr>
              <w:t>18</w:t>
            </w:r>
            <w:r>
              <w:rPr>
                <w:rFonts w:hint="default" w:ascii="Times New Roman" w:hAnsi="Times New Roman" w:eastAsia="宋体" w:cs="Times New Roman"/>
                <w:color w:val="auto"/>
                <w:sz w:val="24"/>
                <w:szCs w:val="24"/>
              </w:rPr>
              <w:t>分</w:t>
            </w:r>
            <w:r>
              <w:rPr>
                <w:rFonts w:hint="default" w:ascii="Times New Roman" w:hAnsi="Times New Roman" w:eastAsia="宋体" w:cs="Times New Roman"/>
                <w:color w:val="auto"/>
                <w:sz w:val="24"/>
                <w:szCs w:val="24"/>
                <w:u w:val="single"/>
                <w:lang w:val="en-US" w:eastAsia="zh-CN"/>
              </w:rPr>
              <w:t>34.764</w:t>
            </w:r>
            <w:r>
              <w:rPr>
                <w:rFonts w:hint="default" w:ascii="Times New Roman" w:hAnsi="Times New Roman" w:eastAsia="宋体" w:cs="Times New Roman"/>
                <w:color w:val="auto"/>
                <w:spacing w:val="-3"/>
                <w:sz w:val="24"/>
                <w:szCs w:val="24"/>
              </w:rPr>
              <w:t>秒，</w:t>
            </w:r>
            <w:r>
              <w:rPr>
                <w:rFonts w:hint="default" w:ascii="Times New Roman" w:hAnsi="Times New Roman" w:eastAsia="宋体" w:cs="Times New Roman"/>
                <w:color w:val="auto"/>
                <w:spacing w:val="-3"/>
                <w:sz w:val="24"/>
                <w:szCs w:val="24"/>
                <w:u w:val="single"/>
                <w:lang w:eastAsia="zh-CN"/>
              </w:rPr>
              <w:t xml:space="preserve">34 </w:t>
            </w:r>
            <w:r>
              <w:rPr>
                <w:rFonts w:hint="default" w:ascii="Times New Roman" w:hAnsi="Times New Roman" w:eastAsia="宋体" w:cs="Times New Roman"/>
                <w:color w:val="auto"/>
                <w:sz w:val="24"/>
                <w:szCs w:val="24"/>
              </w:rPr>
              <w:t>度</w:t>
            </w:r>
            <w:r>
              <w:rPr>
                <w:rFonts w:hint="default" w:ascii="Times New Roman" w:hAnsi="Times New Roman" w:eastAsia="宋体" w:cs="Times New Roman"/>
                <w:color w:val="auto"/>
                <w:sz w:val="24"/>
                <w:szCs w:val="24"/>
                <w:u w:val="single"/>
                <w:lang w:val="en-US" w:eastAsia="zh-CN"/>
              </w:rPr>
              <w:t>43</w:t>
            </w:r>
            <w:r>
              <w:rPr>
                <w:rFonts w:hint="default" w:ascii="Times New Roman" w:hAnsi="Times New Roman" w:eastAsia="宋体" w:cs="Times New Roman"/>
                <w:color w:val="auto"/>
                <w:sz w:val="24"/>
                <w:szCs w:val="24"/>
                <w:u w:val="single"/>
                <w:lang w:eastAsia="zh-CN"/>
              </w:rPr>
              <w:t xml:space="preserve"> </w:t>
            </w:r>
            <w:r>
              <w:rPr>
                <w:rFonts w:hint="default" w:ascii="Times New Roman" w:hAnsi="Times New Roman" w:eastAsia="宋体" w:cs="Times New Roman"/>
                <w:color w:val="auto"/>
                <w:sz w:val="24"/>
                <w:szCs w:val="24"/>
                <w:lang w:eastAsia="zh-CN"/>
              </w:rPr>
              <w:t>分</w:t>
            </w:r>
            <w:r>
              <w:rPr>
                <w:rFonts w:hint="default" w:ascii="Times New Roman" w:hAnsi="Times New Roman" w:eastAsia="宋体" w:cs="Times New Roman"/>
                <w:color w:val="auto"/>
                <w:sz w:val="24"/>
                <w:szCs w:val="24"/>
                <w:u w:val="single"/>
                <w:lang w:eastAsia="zh-CN"/>
              </w:rPr>
              <w:t xml:space="preserve"> </w:t>
            </w:r>
            <w:r>
              <w:rPr>
                <w:rFonts w:hint="default" w:ascii="Times New Roman" w:hAnsi="Times New Roman" w:eastAsia="宋体" w:cs="Times New Roman"/>
                <w:color w:val="auto"/>
                <w:sz w:val="24"/>
                <w:szCs w:val="24"/>
                <w:u w:val="single"/>
                <w:lang w:val="en-US" w:eastAsia="zh-CN"/>
              </w:rPr>
              <w:t>8.811</w:t>
            </w:r>
            <w:r>
              <w:rPr>
                <w:rFonts w:hint="default" w:ascii="Times New Roman" w:hAnsi="Times New Roman" w:eastAsia="宋体" w:cs="Times New Roman"/>
                <w:color w:val="auto"/>
                <w:sz w:val="24"/>
                <w:szCs w:val="24"/>
                <w:u w:val="single"/>
                <w:lang w:eastAsia="zh-CN"/>
              </w:rPr>
              <w:t xml:space="preserve"> </w:t>
            </w:r>
            <w:r>
              <w:rPr>
                <w:rFonts w:hint="default" w:ascii="Times New Roman" w:hAnsi="Times New Roman" w:eastAsia="宋体" w:cs="Times New Roman"/>
                <w:color w:val="auto"/>
                <w:sz w:val="24"/>
                <w:szCs w:val="24"/>
              </w:rPr>
              <w:t>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jc w:val="center"/>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国民经济</w:t>
            </w:r>
          </w:p>
          <w:p>
            <w:pPr>
              <w:jc w:val="center"/>
              <w:rPr>
                <w:rFonts w:hint="default" w:ascii="Times New Roman" w:hAnsi="Times New Roman" w:eastAsia="宋体" w:cs="Times New Roman"/>
                <w:sz w:val="24"/>
              </w:rPr>
            </w:pPr>
            <w:r>
              <w:rPr>
                <w:rFonts w:hint="default" w:ascii="Times New Roman" w:hAnsi="Times New Roman" w:eastAsia="宋体" w:cs="Times New Roman"/>
                <w:spacing w:val="-1"/>
                <w:sz w:val="24"/>
                <w:szCs w:val="24"/>
              </w:rPr>
              <w:t>行业类别</w:t>
            </w:r>
          </w:p>
        </w:tc>
        <w:tc>
          <w:tcPr>
            <w:tcW w:w="1227" w:type="pct"/>
            <w:vAlign w:val="center"/>
          </w:tcPr>
          <w:p>
            <w:pPr>
              <w:keepNext w:val="0"/>
              <w:keepLines w:val="0"/>
              <w:widowControl/>
              <w:suppressLineNumbers w:val="0"/>
              <w:jc w:val="left"/>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 xml:space="preserve">C2923 塑料丝、绳 </w:t>
            </w:r>
          </w:p>
          <w:p>
            <w:pPr>
              <w:keepNext w:val="0"/>
              <w:keepLines w:val="0"/>
              <w:widowControl/>
              <w:suppressLineNumbers w:val="0"/>
              <w:jc w:val="left"/>
              <w:rPr>
                <w:rFonts w:hint="default" w:ascii="Times New Roman" w:hAnsi="Times New Roman" w:cs="Times New Roman" w:eastAsiaTheme="majorEastAsia"/>
                <w:sz w:val="24"/>
                <w:lang w:eastAsia="zh-CN"/>
              </w:rPr>
            </w:pPr>
            <w:r>
              <w:rPr>
                <w:rFonts w:hint="default" w:ascii="Times New Roman" w:hAnsi="Times New Roman" w:eastAsia="宋体" w:cs="Times New Roman"/>
                <w:color w:val="000000"/>
                <w:kern w:val="0"/>
                <w:sz w:val="24"/>
                <w:szCs w:val="24"/>
                <w:lang w:val="en-US" w:eastAsia="zh-CN" w:bidi="ar"/>
              </w:rPr>
              <w:t xml:space="preserve">及编织品制造 </w:t>
            </w:r>
          </w:p>
        </w:tc>
        <w:tc>
          <w:tcPr>
            <w:tcW w:w="1129" w:type="pct"/>
            <w:vAlign w:val="center"/>
          </w:tcPr>
          <w:p>
            <w:pPr>
              <w:pStyle w:val="35"/>
              <w:jc w:val="center"/>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建设项目</w:t>
            </w:r>
          </w:p>
          <w:p>
            <w:pPr>
              <w:pStyle w:val="35"/>
              <w:jc w:val="center"/>
              <w:rPr>
                <w:rFonts w:hint="default" w:ascii="Times New Roman" w:hAnsi="Times New Roman" w:eastAsia="宋体" w:cs="Times New Roman"/>
                <w:sz w:val="24"/>
              </w:rPr>
            </w:pPr>
            <w:r>
              <w:rPr>
                <w:rFonts w:hint="default" w:ascii="Times New Roman" w:hAnsi="Times New Roman" w:eastAsia="宋体" w:cs="Times New Roman"/>
                <w:spacing w:val="-1"/>
                <w:sz w:val="24"/>
                <w:szCs w:val="24"/>
              </w:rPr>
              <w:t>行业类别</w:t>
            </w:r>
          </w:p>
        </w:tc>
        <w:tc>
          <w:tcPr>
            <w:tcW w:w="1625" w:type="pct"/>
            <w:vAlign w:val="center"/>
          </w:tcPr>
          <w:p>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二十六、橡胶和塑料制品业 29-塑料制品业292-其他（年用非溶剂型低VOCs含 </w:t>
            </w:r>
          </w:p>
          <w:p>
            <w:pPr>
              <w:keepNext w:val="0"/>
              <w:keepLines w:val="0"/>
              <w:widowControl/>
              <w:suppressLineNumbers w:val="0"/>
              <w:jc w:val="left"/>
              <w:rPr>
                <w:rFonts w:hint="default" w:ascii="Times New Roman" w:hAnsi="Times New Roman" w:cs="Times New Roman" w:eastAsiaTheme="majorEastAsia"/>
                <w:sz w:val="24"/>
                <w:lang w:val="en-US" w:eastAsia="zh-CN"/>
              </w:rPr>
            </w:pPr>
            <w:r>
              <w:rPr>
                <w:rFonts w:hint="default" w:ascii="Times New Roman" w:hAnsi="Times New Roman" w:eastAsia="宋体" w:cs="Times New Roman"/>
                <w:color w:val="000000"/>
                <w:kern w:val="0"/>
                <w:sz w:val="24"/>
                <w:szCs w:val="24"/>
                <w:lang w:val="en-US" w:eastAsia="zh-CN" w:bidi="ar"/>
              </w:rPr>
              <w:t>量涂料10吨以下的除外）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35"/>
              <w:jc w:val="center"/>
              <w:rPr>
                <w:rFonts w:hint="default" w:ascii="Times New Roman" w:hAnsi="Times New Roman" w:eastAsia="宋体" w:cs="Times New Roman"/>
                <w:sz w:val="24"/>
              </w:rPr>
            </w:pPr>
            <w:r>
              <w:rPr>
                <w:rFonts w:hint="default" w:ascii="Times New Roman" w:hAnsi="Times New Roman" w:eastAsia="宋体" w:cs="Times New Roman"/>
                <w:spacing w:val="-1"/>
                <w:sz w:val="24"/>
                <w:szCs w:val="24"/>
              </w:rPr>
              <w:t>建设性质</w:t>
            </w:r>
          </w:p>
        </w:tc>
        <w:tc>
          <w:tcPr>
            <w:tcW w:w="1227" w:type="pct"/>
            <w:vAlign w:val="center"/>
          </w:tcPr>
          <w:p>
            <w:pPr>
              <w:pStyle w:val="35"/>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pacing w:val="-1"/>
                <w:sz w:val="24"/>
                <w:szCs w:val="24"/>
                <w:lang w:eastAsia="zh-CN"/>
              </w:rPr>
              <w:sym w:font="Wingdings 2" w:char="00A3"/>
            </w:r>
            <w:r>
              <w:rPr>
                <w:rFonts w:hint="default" w:ascii="Times New Roman" w:hAnsi="Times New Roman" w:eastAsia="宋体" w:cs="Times New Roman"/>
                <w:spacing w:val="-1"/>
                <w:sz w:val="24"/>
                <w:szCs w:val="24"/>
                <w:lang w:eastAsia="zh-CN"/>
              </w:rPr>
              <w:t>新建（迁建）</w:t>
            </w:r>
          </w:p>
          <w:p>
            <w:pPr>
              <w:pStyle w:val="35"/>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pacing w:val="-1"/>
                <w:sz w:val="24"/>
                <w:szCs w:val="24"/>
                <w:lang w:eastAsia="zh-CN"/>
              </w:rPr>
              <w:sym w:font="Wingdings 2" w:char="00A3"/>
            </w:r>
            <w:r>
              <w:rPr>
                <w:rFonts w:hint="default" w:ascii="Times New Roman" w:hAnsi="Times New Roman" w:eastAsia="宋体" w:cs="Times New Roman"/>
                <w:spacing w:val="-1"/>
                <w:sz w:val="24"/>
                <w:szCs w:val="24"/>
                <w:lang w:eastAsia="zh-CN"/>
              </w:rPr>
              <w:t>改建</w:t>
            </w:r>
          </w:p>
          <w:p>
            <w:pPr>
              <w:pStyle w:val="35"/>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pacing w:val="-1"/>
                <w:sz w:val="24"/>
                <w:szCs w:val="24"/>
                <w:lang w:eastAsia="zh-CN"/>
              </w:rPr>
              <w:sym w:font="Wingdings 2" w:char="00A3"/>
            </w:r>
            <w:r>
              <w:rPr>
                <w:rFonts w:hint="default" w:ascii="Times New Roman" w:hAnsi="Times New Roman" w:eastAsia="宋体" w:cs="Times New Roman"/>
                <w:spacing w:val="-1"/>
                <w:sz w:val="24"/>
                <w:szCs w:val="24"/>
                <w:lang w:eastAsia="zh-CN"/>
              </w:rPr>
              <w:t>扩建</w:t>
            </w:r>
          </w:p>
          <w:p>
            <w:pPr>
              <w:jc w:val="left"/>
              <w:rPr>
                <w:rFonts w:hint="default" w:ascii="Times New Roman" w:hAnsi="Times New Roman" w:eastAsia="宋体" w:cs="Times New Roman"/>
                <w:sz w:val="24"/>
              </w:rPr>
            </w:pPr>
            <w:r>
              <w:rPr>
                <w:rFonts w:hint="default" w:ascii="Times New Roman" w:hAnsi="Times New Roman" w:eastAsia="宋体" w:cs="Times New Roman"/>
                <w:spacing w:val="-1"/>
                <w:sz w:val="24"/>
                <w:szCs w:val="24"/>
                <w:lang w:eastAsia="zh-CN"/>
              </w:rPr>
              <w:sym w:font="Wingdings 2" w:char="0052"/>
            </w:r>
            <w:r>
              <w:rPr>
                <w:rFonts w:hint="default" w:ascii="Times New Roman" w:hAnsi="Times New Roman" w:eastAsia="宋体" w:cs="Times New Roman"/>
                <w:spacing w:val="-1"/>
                <w:sz w:val="24"/>
                <w:szCs w:val="24"/>
              </w:rPr>
              <w:t>技术改造</w:t>
            </w:r>
          </w:p>
        </w:tc>
        <w:tc>
          <w:tcPr>
            <w:tcW w:w="1129" w:type="pct"/>
            <w:vAlign w:val="center"/>
          </w:tcPr>
          <w:p>
            <w:pPr>
              <w:pStyle w:val="35"/>
              <w:jc w:val="center"/>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建设项目</w:t>
            </w:r>
          </w:p>
          <w:p>
            <w:pPr>
              <w:pStyle w:val="35"/>
              <w:jc w:val="center"/>
              <w:rPr>
                <w:rFonts w:hint="default" w:ascii="Times New Roman" w:hAnsi="Times New Roman" w:eastAsia="宋体" w:cs="Times New Roman"/>
                <w:sz w:val="24"/>
              </w:rPr>
            </w:pPr>
            <w:r>
              <w:rPr>
                <w:rFonts w:hint="default" w:ascii="Times New Roman" w:hAnsi="Times New Roman" w:eastAsia="宋体" w:cs="Times New Roman"/>
                <w:spacing w:val="-1"/>
                <w:sz w:val="24"/>
                <w:szCs w:val="24"/>
              </w:rPr>
              <w:t>申报情形</w:t>
            </w:r>
          </w:p>
        </w:tc>
        <w:tc>
          <w:tcPr>
            <w:tcW w:w="1625" w:type="pct"/>
            <w:vAlign w:val="center"/>
          </w:tcPr>
          <w:p>
            <w:pPr>
              <w:pStyle w:val="35"/>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pacing w:val="-2"/>
                <w:sz w:val="24"/>
                <w:szCs w:val="24"/>
                <w:lang w:eastAsia="zh-CN"/>
              </w:rPr>
              <w:sym w:font="Wingdings 2" w:char="0052"/>
            </w:r>
            <w:r>
              <w:rPr>
                <w:rFonts w:hint="default" w:ascii="Times New Roman" w:hAnsi="Times New Roman" w:eastAsia="宋体" w:cs="Times New Roman"/>
                <w:spacing w:val="-1"/>
                <w:sz w:val="24"/>
                <w:szCs w:val="24"/>
                <w:lang w:eastAsia="zh-CN"/>
              </w:rPr>
              <w:t>首次申报项目</w:t>
            </w:r>
          </w:p>
          <w:p>
            <w:pPr>
              <w:pStyle w:val="35"/>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pacing w:val="-2"/>
                <w:sz w:val="24"/>
                <w:szCs w:val="24"/>
                <w:lang w:eastAsia="zh-CN"/>
              </w:rPr>
              <w:t>□不予批准后再次申报项目</w:t>
            </w:r>
          </w:p>
          <w:p>
            <w:pPr>
              <w:pStyle w:val="35"/>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pacing w:val="-2"/>
                <w:sz w:val="24"/>
                <w:szCs w:val="24"/>
                <w:lang w:eastAsia="zh-CN"/>
              </w:rPr>
              <w:t>□</w:t>
            </w:r>
            <w:r>
              <w:rPr>
                <w:rFonts w:hint="default" w:ascii="Times New Roman" w:hAnsi="Times New Roman" w:eastAsia="宋体" w:cs="Times New Roman"/>
                <w:spacing w:val="-1"/>
                <w:sz w:val="24"/>
                <w:szCs w:val="24"/>
                <w:lang w:eastAsia="zh-CN"/>
              </w:rPr>
              <w:t>超五年重新审核项目</w:t>
            </w:r>
          </w:p>
          <w:p>
            <w:pPr>
              <w:pStyle w:val="35"/>
              <w:jc w:val="left"/>
              <w:rPr>
                <w:rFonts w:hint="default" w:ascii="Times New Roman" w:hAnsi="Times New Roman" w:eastAsia="宋体" w:cs="Times New Roman"/>
                <w:sz w:val="24"/>
                <w:lang w:eastAsia="zh-CN"/>
              </w:rPr>
            </w:pPr>
            <w:r>
              <w:rPr>
                <w:rFonts w:hint="default" w:ascii="Times New Roman" w:hAnsi="Times New Roman" w:eastAsia="宋体" w:cs="Times New Roman"/>
                <w:spacing w:val="-2"/>
                <w:sz w:val="24"/>
                <w:szCs w:val="24"/>
                <w:lang w:eastAsia="zh-CN"/>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1" w:hRule="atLeast"/>
          <w:jc w:val="center"/>
        </w:trPr>
        <w:tc>
          <w:tcPr>
            <w:tcW w:w="1018" w:type="pct"/>
            <w:gridSpan w:val="2"/>
            <w:vAlign w:val="center"/>
          </w:tcPr>
          <w:p>
            <w:pPr>
              <w:pStyle w:val="35"/>
              <w:jc w:val="center"/>
              <w:rPr>
                <w:rFonts w:hint="default" w:ascii="Times New Roman" w:hAnsi="Times New Roman" w:eastAsia="宋体" w:cs="Times New Roman"/>
                <w:spacing w:val="-2"/>
                <w:sz w:val="24"/>
                <w:szCs w:val="24"/>
                <w:lang w:eastAsia="zh-CN"/>
              </w:rPr>
            </w:pPr>
            <w:r>
              <w:rPr>
                <w:rFonts w:hint="default" w:ascii="Times New Roman" w:hAnsi="Times New Roman" w:eastAsia="宋体" w:cs="Times New Roman"/>
                <w:sz w:val="24"/>
                <w:szCs w:val="24"/>
                <w:lang w:eastAsia="zh-CN"/>
              </w:rPr>
              <w:t>项目</w:t>
            </w:r>
            <w:r>
              <w:rPr>
                <w:rFonts w:hint="default" w:ascii="Times New Roman" w:hAnsi="Times New Roman" w:eastAsia="宋体" w:cs="Times New Roman"/>
                <w:spacing w:val="-3"/>
                <w:sz w:val="24"/>
                <w:szCs w:val="24"/>
                <w:lang w:eastAsia="zh-CN"/>
              </w:rPr>
              <w:t>审</w:t>
            </w:r>
            <w:r>
              <w:rPr>
                <w:rFonts w:hint="default" w:ascii="Times New Roman" w:hAnsi="Times New Roman" w:eastAsia="宋体" w:cs="Times New Roman"/>
                <w:spacing w:val="-36"/>
                <w:sz w:val="24"/>
                <w:szCs w:val="24"/>
                <w:lang w:eastAsia="zh-CN"/>
              </w:rPr>
              <w:t>批</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pacing w:val="-3"/>
                <w:sz w:val="24"/>
                <w:szCs w:val="24"/>
                <w:lang w:eastAsia="zh-CN"/>
              </w:rPr>
              <w:t>核</w:t>
            </w:r>
            <w:r>
              <w:rPr>
                <w:rFonts w:hint="default" w:ascii="Times New Roman" w:hAnsi="Times New Roman" w:eastAsia="宋体" w:cs="Times New Roman"/>
                <w:sz w:val="24"/>
                <w:szCs w:val="24"/>
                <w:lang w:eastAsia="zh-CN"/>
              </w:rPr>
              <w:t>准</w:t>
            </w:r>
            <w:r>
              <w:rPr>
                <w:rFonts w:hint="default" w:ascii="Times New Roman" w:hAnsi="Times New Roman" w:eastAsia="宋体" w:cs="Times New Roman"/>
                <w:spacing w:val="-2"/>
                <w:sz w:val="24"/>
                <w:szCs w:val="24"/>
                <w:lang w:eastAsia="zh-CN"/>
              </w:rPr>
              <w:t>/</w:t>
            </w:r>
          </w:p>
          <w:p>
            <w:pPr>
              <w:pStyle w:val="35"/>
              <w:jc w:val="center"/>
              <w:rPr>
                <w:rFonts w:hint="default" w:ascii="Times New Roman" w:hAnsi="Times New Roman" w:eastAsia="宋体" w:cs="Times New Roman"/>
                <w:sz w:val="24"/>
                <w:lang w:eastAsia="zh-CN"/>
              </w:rPr>
            </w:pPr>
            <w:r>
              <w:rPr>
                <w:rFonts w:hint="default" w:ascii="Times New Roman" w:hAnsi="Times New Roman" w:eastAsia="宋体" w:cs="Times New Roman"/>
                <w:sz w:val="24"/>
                <w:szCs w:val="24"/>
                <w:lang w:eastAsia="zh-CN"/>
              </w:rPr>
              <w:t>备案</w:t>
            </w:r>
            <w:r>
              <w:rPr>
                <w:rFonts w:hint="default" w:ascii="Times New Roman" w:hAnsi="Times New Roman" w:eastAsia="宋体" w:cs="Times New Roman"/>
                <w:spacing w:val="-48"/>
                <w:sz w:val="24"/>
                <w:szCs w:val="24"/>
                <w:lang w:eastAsia="zh-CN"/>
              </w:rPr>
              <w:t>）</w:t>
            </w:r>
            <w:r>
              <w:rPr>
                <w:rFonts w:hint="default" w:ascii="Times New Roman" w:hAnsi="Times New Roman" w:eastAsia="宋体" w:cs="Times New Roman"/>
                <w:sz w:val="24"/>
                <w:szCs w:val="24"/>
                <w:lang w:eastAsia="zh-CN"/>
              </w:rPr>
              <w:t>部</w:t>
            </w:r>
            <w:r>
              <w:rPr>
                <w:rFonts w:hint="default" w:ascii="Times New Roman" w:hAnsi="Times New Roman" w:eastAsia="宋体" w:cs="Times New Roman"/>
                <w:spacing w:val="-48"/>
                <w:sz w:val="24"/>
                <w:szCs w:val="24"/>
                <w:lang w:eastAsia="zh-CN"/>
              </w:rPr>
              <w:t>门</w:t>
            </w:r>
            <w:r>
              <w:rPr>
                <w:rFonts w:hint="default" w:ascii="Times New Roman" w:hAnsi="Times New Roman" w:eastAsia="宋体" w:cs="Times New Roman"/>
                <w:spacing w:val="-3"/>
                <w:sz w:val="24"/>
                <w:szCs w:val="24"/>
                <w:lang w:eastAsia="zh-CN"/>
              </w:rPr>
              <w:t>（</w:t>
            </w:r>
            <w:r>
              <w:rPr>
                <w:rFonts w:hint="default" w:ascii="Times New Roman" w:hAnsi="Times New Roman" w:eastAsia="宋体" w:cs="Times New Roman"/>
                <w:sz w:val="24"/>
                <w:szCs w:val="24"/>
                <w:lang w:eastAsia="zh-CN"/>
              </w:rPr>
              <w:t>选填）</w:t>
            </w:r>
          </w:p>
        </w:tc>
        <w:tc>
          <w:tcPr>
            <w:tcW w:w="1227" w:type="pct"/>
            <w:vAlign w:val="center"/>
          </w:tcPr>
          <w:p>
            <w:pPr>
              <w:keepNext w:val="0"/>
              <w:keepLines w:val="0"/>
              <w:widowControl/>
              <w:suppressLineNumbers w:val="0"/>
              <w:jc w:val="left"/>
              <w:rPr>
                <w:rFonts w:hint="default" w:ascii="Times New Roman" w:hAnsi="Times New Roman" w:eastAsia="宋体" w:cs="Times New Roman"/>
                <w:sz w:val="24"/>
                <w:lang w:eastAsia="zh-CN"/>
              </w:rPr>
            </w:pPr>
            <w:r>
              <w:rPr>
                <w:rFonts w:hint="default" w:ascii="Times New Roman" w:hAnsi="Times New Roman" w:cs="Times New Roman"/>
                <w:color w:val="auto"/>
                <w:sz w:val="24"/>
                <w:lang w:val="en-US" w:eastAsia="zh-CN"/>
              </w:rPr>
              <w:t>连云港经济技术开发区行政审批局</w:t>
            </w:r>
          </w:p>
        </w:tc>
        <w:tc>
          <w:tcPr>
            <w:tcW w:w="1129" w:type="pct"/>
            <w:vAlign w:val="center"/>
          </w:tcPr>
          <w:p>
            <w:pPr>
              <w:pStyle w:val="35"/>
              <w:jc w:val="center"/>
              <w:rPr>
                <w:rFonts w:hint="default" w:ascii="Times New Roman" w:hAnsi="Times New Roman" w:eastAsia="宋体" w:cs="Times New Roman"/>
                <w:sz w:val="24"/>
                <w:lang w:eastAsia="zh-CN"/>
              </w:rPr>
            </w:pPr>
            <w:r>
              <w:rPr>
                <w:rFonts w:hint="default" w:ascii="Times New Roman" w:hAnsi="Times New Roman" w:eastAsia="宋体" w:cs="Times New Roman"/>
                <w:spacing w:val="-1"/>
                <w:sz w:val="24"/>
                <w:szCs w:val="24"/>
                <w:lang w:eastAsia="zh-CN"/>
              </w:rPr>
              <w:t>项目审批（核准/</w:t>
            </w:r>
            <w:r>
              <w:rPr>
                <w:rFonts w:hint="default" w:ascii="Times New Roman" w:hAnsi="Times New Roman" w:eastAsia="宋体" w:cs="Times New Roman"/>
                <w:sz w:val="24"/>
                <w:szCs w:val="24"/>
                <w:lang w:eastAsia="zh-CN"/>
              </w:rPr>
              <w:t>备案</w:t>
            </w:r>
            <w:r>
              <w:rPr>
                <w:rFonts w:hint="default" w:ascii="Times New Roman" w:hAnsi="Times New Roman" w:eastAsia="宋体" w:cs="Times New Roman"/>
                <w:spacing w:val="-51"/>
                <w:sz w:val="24"/>
                <w:szCs w:val="24"/>
                <w:lang w:eastAsia="zh-CN"/>
              </w:rPr>
              <w:t>）</w:t>
            </w:r>
            <w:r>
              <w:rPr>
                <w:rFonts w:hint="default" w:ascii="Times New Roman" w:hAnsi="Times New Roman" w:eastAsia="宋体" w:cs="Times New Roman"/>
                <w:sz w:val="24"/>
                <w:szCs w:val="24"/>
                <w:lang w:eastAsia="zh-CN"/>
              </w:rPr>
              <w:t>文</w:t>
            </w:r>
            <w:r>
              <w:rPr>
                <w:rFonts w:hint="default" w:ascii="Times New Roman" w:hAnsi="Times New Roman" w:eastAsia="宋体" w:cs="Times New Roman"/>
                <w:spacing w:val="-48"/>
                <w:sz w:val="24"/>
                <w:szCs w:val="24"/>
                <w:lang w:eastAsia="zh-CN"/>
              </w:rPr>
              <w:t>号</w:t>
            </w:r>
            <w:r>
              <w:rPr>
                <w:rFonts w:hint="default" w:ascii="Times New Roman" w:hAnsi="Times New Roman" w:eastAsia="宋体" w:cs="Times New Roman"/>
                <w:spacing w:val="-3"/>
                <w:sz w:val="24"/>
                <w:szCs w:val="24"/>
                <w:lang w:eastAsia="zh-CN"/>
              </w:rPr>
              <w:t>（选</w:t>
            </w:r>
            <w:r>
              <w:rPr>
                <w:rFonts w:hint="default" w:ascii="Times New Roman" w:hAnsi="Times New Roman" w:eastAsia="宋体" w:cs="Times New Roman"/>
                <w:sz w:val="24"/>
                <w:szCs w:val="24"/>
                <w:lang w:eastAsia="zh-CN"/>
              </w:rPr>
              <w:t>填）</w:t>
            </w:r>
          </w:p>
        </w:tc>
        <w:tc>
          <w:tcPr>
            <w:tcW w:w="1625" w:type="pct"/>
            <w:vAlign w:val="center"/>
          </w:tcPr>
          <w:p>
            <w:pPr>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连行审备</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lang w:val="en-US" w:eastAsia="zh-CN"/>
              </w:rPr>
              <w:t>2023</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lang w:val="en-US" w:eastAsia="zh-CN"/>
              </w:rPr>
              <w:t>1</w:t>
            </w:r>
            <w:r>
              <w:rPr>
                <w:rFonts w:hint="eastAsia" w:ascii="Times New Roman" w:hAnsi="Times New Roman" w:cs="Times New Roman"/>
                <w:color w:val="auto"/>
                <w:sz w:val="24"/>
                <w:lang w:val="en-US" w:eastAsia="zh-CN"/>
              </w:rPr>
              <w:t>5</w:t>
            </w:r>
            <w:r>
              <w:rPr>
                <w:rFonts w:hint="default" w:ascii="Times New Roman" w:hAnsi="Times New Roman" w:cs="Times New Roman"/>
                <w:color w:val="auto"/>
                <w:sz w:val="24"/>
                <w:lang w:val="en-US" w:eastAsia="zh-CN"/>
              </w:rPr>
              <w:t>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35"/>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pacing w:val="-2"/>
                <w:sz w:val="24"/>
                <w:szCs w:val="24"/>
              </w:rPr>
              <w:t>总投资（万元）</w:t>
            </w:r>
          </w:p>
        </w:tc>
        <w:tc>
          <w:tcPr>
            <w:tcW w:w="1227" w:type="pct"/>
            <w:vAlign w:val="center"/>
          </w:tcPr>
          <w:p>
            <w:pPr>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10000</w:t>
            </w:r>
          </w:p>
        </w:tc>
        <w:tc>
          <w:tcPr>
            <w:tcW w:w="1129" w:type="pct"/>
            <w:vAlign w:val="center"/>
          </w:tcPr>
          <w:p>
            <w:pPr>
              <w:pStyle w:val="35"/>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pacing w:val="-2"/>
                <w:sz w:val="24"/>
                <w:szCs w:val="24"/>
              </w:rPr>
              <w:t>环保投资（万元）</w:t>
            </w:r>
          </w:p>
        </w:tc>
        <w:tc>
          <w:tcPr>
            <w:tcW w:w="1625" w:type="pct"/>
            <w:vAlign w:val="center"/>
          </w:tcPr>
          <w:p>
            <w:pPr>
              <w:jc w:val="center"/>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35"/>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pacing w:val="-1"/>
                <w:sz w:val="24"/>
                <w:szCs w:val="24"/>
              </w:rPr>
              <w:t>环保投资占</w:t>
            </w:r>
            <w:r>
              <w:rPr>
                <w:rFonts w:hint="default" w:ascii="Times New Roman" w:hAnsi="Times New Roman" w:eastAsia="宋体" w:cs="Times New Roman"/>
                <w:color w:val="auto"/>
                <w:spacing w:val="-1"/>
                <w:sz w:val="24"/>
                <w:szCs w:val="24"/>
                <w:lang w:eastAsia="zh-CN"/>
              </w:rPr>
              <w:t>比(</w:t>
            </w:r>
            <w:r>
              <w:rPr>
                <w:rFonts w:hint="default" w:ascii="Times New Roman" w:hAnsi="Times New Roman" w:eastAsia="宋体" w:cs="Times New Roman"/>
                <w:color w:val="auto"/>
                <w:spacing w:val="-1"/>
                <w:sz w:val="24"/>
                <w:szCs w:val="24"/>
              </w:rPr>
              <w:t>%</w:t>
            </w:r>
            <w:r>
              <w:rPr>
                <w:rFonts w:hint="default" w:ascii="Times New Roman" w:hAnsi="Times New Roman" w:eastAsia="宋体" w:cs="Times New Roman"/>
                <w:color w:val="auto"/>
                <w:spacing w:val="-1"/>
                <w:sz w:val="24"/>
                <w:szCs w:val="24"/>
                <w:lang w:eastAsia="zh-CN"/>
              </w:rPr>
              <w:t>)</w:t>
            </w:r>
          </w:p>
        </w:tc>
        <w:tc>
          <w:tcPr>
            <w:tcW w:w="1227" w:type="pct"/>
            <w:vAlign w:val="center"/>
          </w:tcPr>
          <w:p>
            <w:pPr>
              <w:jc w:val="center"/>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0.115%</w:t>
            </w:r>
          </w:p>
        </w:tc>
        <w:tc>
          <w:tcPr>
            <w:tcW w:w="1129" w:type="pct"/>
            <w:vAlign w:val="center"/>
          </w:tcPr>
          <w:p>
            <w:pPr>
              <w:pStyle w:val="35"/>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pacing w:val="-1"/>
                <w:sz w:val="24"/>
                <w:szCs w:val="24"/>
              </w:rPr>
              <w:t>施工工期</w:t>
            </w:r>
          </w:p>
        </w:tc>
        <w:tc>
          <w:tcPr>
            <w:tcW w:w="1625" w:type="pct"/>
            <w:vAlign w:val="center"/>
          </w:tcPr>
          <w:p>
            <w:pPr>
              <w:pStyle w:val="35"/>
              <w:jc w:val="center"/>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2个月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35"/>
              <w:jc w:val="center"/>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是否开工建设</w:t>
            </w:r>
          </w:p>
        </w:tc>
        <w:tc>
          <w:tcPr>
            <w:tcW w:w="1227" w:type="pct"/>
            <w:vAlign w:val="center"/>
          </w:tcPr>
          <w:p>
            <w:pPr>
              <w:pStyle w:val="35"/>
              <w:jc w:val="left"/>
              <w:rPr>
                <w:rFonts w:hint="default" w:ascii="Times New Roman" w:hAnsi="Times New Roman" w:eastAsia="宋体" w:cs="Times New Roman"/>
                <w:sz w:val="24"/>
                <w:szCs w:val="24"/>
              </w:rPr>
            </w:pPr>
            <w:r>
              <w:rPr>
                <w:rFonts w:hint="default" w:ascii="Times New Roman" w:hAnsi="Times New Roman" w:eastAsia="宋体" w:cs="Times New Roman"/>
                <w:spacing w:val="-2"/>
                <w:sz w:val="24"/>
                <w:szCs w:val="24"/>
                <w:lang w:eastAsia="zh-CN"/>
              </w:rPr>
              <w:t>☑</w:t>
            </w:r>
            <w:r>
              <w:rPr>
                <w:rFonts w:hint="default" w:ascii="Times New Roman" w:hAnsi="Times New Roman" w:eastAsia="宋体" w:cs="Times New Roman"/>
                <w:spacing w:val="-1"/>
                <w:sz w:val="24"/>
                <w:szCs w:val="24"/>
              </w:rPr>
              <w:t>否</w:t>
            </w:r>
          </w:p>
          <w:p>
            <w:pPr>
              <w:jc w:val="left"/>
              <w:rPr>
                <w:rFonts w:hint="default" w:ascii="Times New Roman" w:hAnsi="Times New Roman" w:eastAsia="宋体" w:cs="Times New Roman"/>
                <w:sz w:val="24"/>
              </w:rPr>
            </w:pPr>
            <w:r>
              <w:rPr>
                <w:rFonts w:hint="default" w:ascii="Times New Roman" w:hAnsi="Times New Roman" w:eastAsia="宋体" w:cs="Times New Roman"/>
                <w:spacing w:val="-2"/>
                <w:sz w:val="24"/>
                <w:szCs w:val="24"/>
                <w:lang w:eastAsia="zh-CN"/>
              </w:rPr>
              <w:t>□</w:t>
            </w:r>
            <w:r>
              <w:rPr>
                <w:rFonts w:hint="default" w:ascii="Times New Roman" w:hAnsi="Times New Roman" w:eastAsia="宋体" w:cs="Times New Roman"/>
                <w:spacing w:val="-1"/>
                <w:sz w:val="24"/>
                <w:szCs w:val="24"/>
              </w:rPr>
              <w:t>是：</w:t>
            </w:r>
            <w:r>
              <w:rPr>
                <w:rFonts w:hint="default" w:ascii="Times New Roman" w:hAnsi="Times New Roman" w:eastAsia="宋体" w:cs="Times New Roman"/>
                <w:spacing w:val="-1"/>
                <w:sz w:val="24"/>
                <w:szCs w:val="24"/>
                <w:u w:val="single"/>
                <w:lang w:eastAsia="zh-CN"/>
              </w:rPr>
              <w:t xml:space="preserve">                               </w:t>
            </w:r>
          </w:p>
        </w:tc>
        <w:tc>
          <w:tcPr>
            <w:tcW w:w="1129" w:type="pct"/>
            <w:vAlign w:val="center"/>
          </w:tcPr>
          <w:p>
            <w:pPr>
              <w:pStyle w:val="35"/>
              <w:jc w:val="center"/>
              <w:rPr>
                <w:rFonts w:hint="default" w:ascii="Times New Roman" w:hAnsi="Times New Roman" w:eastAsia="宋体" w:cs="Times New Roman"/>
                <w:spacing w:val="22"/>
                <w:sz w:val="24"/>
                <w:szCs w:val="24"/>
                <w:lang w:eastAsia="zh-CN"/>
              </w:rPr>
            </w:pPr>
            <w:r>
              <w:rPr>
                <w:rFonts w:hint="default" w:ascii="Times New Roman" w:hAnsi="Times New Roman" w:eastAsia="宋体" w:cs="Times New Roman"/>
                <w:spacing w:val="-12"/>
                <w:sz w:val="24"/>
                <w:szCs w:val="24"/>
                <w:lang w:eastAsia="zh-CN"/>
              </w:rPr>
              <w:t>用地（用海）</w:t>
            </w:r>
          </w:p>
          <w:p>
            <w:pPr>
              <w:pStyle w:val="35"/>
              <w:jc w:val="center"/>
              <w:rPr>
                <w:rFonts w:hint="default" w:ascii="Times New Roman" w:hAnsi="Times New Roman" w:eastAsia="宋体" w:cs="Times New Roman"/>
                <w:spacing w:val="-1"/>
                <w:sz w:val="24"/>
                <w:szCs w:val="24"/>
                <w:lang w:eastAsia="zh-CN"/>
              </w:rPr>
            </w:pPr>
            <w:r>
              <w:rPr>
                <w:rFonts w:hint="default" w:ascii="Times New Roman" w:hAnsi="Times New Roman" w:eastAsia="宋体" w:cs="Times New Roman"/>
                <w:spacing w:val="-10"/>
                <w:sz w:val="24"/>
                <w:szCs w:val="24"/>
                <w:lang w:eastAsia="zh-CN"/>
              </w:rPr>
              <w:t>面积（m</w:t>
            </w:r>
            <w:r>
              <w:rPr>
                <w:rFonts w:hint="default" w:ascii="Times New Roman" w:hAnsi="Times New Roman" w:eastAsia="宋体" w:cs="Times New Roman"/>
                <w:spacing w:val="-10"/>
                <w:sz w:val="24"/>
                <w:szCs w:val="24"/>
                <w:vertAlign w:val="superscript"/>
                <w:lang w:eastAsia="zh-CN"/>
              </w:rPr>
              <w:t>2</w:t>
            </w:r>
            <w:r>
              <w:rPr>
                <w:rFonts w:hint="default" w:ascii="Times New Roman" w:hAnsi="Times New Roman" w:eastAsia="宋体" w:cs="Times New Roman"/>
                <w:spacing w:val="-10"/>
                <w:sz w:val="24"/>
                <w:szCs w:val="24"/>
                <w:lang w:eastAsia="zh-CN"/>
              </w:rPr>
              <w:t>）</w:t>
            </w:r>
          </w:p>
        </w:tc>
        <w:tc>
          <w:tcPr>
            <w:tcW w:w="1625" w:type="pct"/>
            <w:vAlign w:val="center"/>
          </w:tcPr>
          <w:p>
            <w:pPr>
              <w:pStyle w:val="35"/>
              <w:jc w:val="center"/>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1700m</w:t>
            </w:r>
            <w:r>
              <w:rPr>
                <w:rFonts w:hint="eastAsia" w:ascii="Times New Roman" w:hAnsi="Times New Roman" w:cs="Times New Roman"/>
                <w:sz w:val="24"/>
                <w:szCs w:val="24"/>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pStyle w:val="35"/>
              <w:jc w:val="center"/>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专项评价</w:t>
            </w:r>
          </w:p>
          <w:p>
            <w:pPr>
              <w:pStyle w:val="35"/>
              <w:jc w:val="center"/>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设</w:t>
            </w:r>
            <w:r>
              <w:rPr>
                <w:rFonts w:hint="default" w:ascii="Times New Roman" w:hAnsi="Times New Roman" w:eastAsia="宋体" w:cs="Times New Roman"/>
                <w:sz w:val="24"/>
                <w:szCs w:val="24"/>
              </w:rPr>
              <w:t>置情况</w:t>
            </w:r>
          </w:p>
        </w:tc>
        <w:tc>
          <w:tcPr>
            <w:tcW w:w="3981" w:type="pct"/>
            <w:gridSpan w:val="3"/>
            <w:vAlign w:val="center"/>
          </w:tcPr>
          <w:p>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jc w:val="center"/>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rPr>
              <w:t>规划情况</w:t>
            </w:r>
          </w:p>
        </w:tc>
        <w:tc>
          <w:tcPr>
            <w:tcW w:w="3981" w:type="pct"/>
            <w:gridSpan w:val="3"/>
            <w:vAlign w:val="center"/>
          </w:tcPr>
          <w:p>
            <w:pPr>
              <w:pStyle w:val="18"/>
              <w:keepNext w:val="0"/>
              <w:keepLines w:val="0"/>
              <w:widowControl/>
              <w:suppressLineNumbers w:val="0"/>
              <w:spacing w:before="0" w:beforeAutospacing="0" w:after="0" w:afterAutospacing="0"/>
              <w:ind w:left="0" w:right="0" w:firstLine="0"/>
              <w:jc w:val="both"/>
              <w:rPr>
                <w:rFonts w:hint="default" w:ascii="Times New Roman" w:hAnsi="Times New Roman" w:eastAsia="宋体" w:cs="Times New Roman"/>
                <w:sz w:val="24"/>
                <w:szCs w:val="24"/>
                <w:lang w:eastAsia="zh-CN"/>
              </w:rPr>
            </w:pPr>
            <w:r>
              <w:rPr>
                <w:rFonts w:hint="default" w:ascii="Times New Roman" w:hAnsi="Times New Roman" w:cs="Times New Roman"/>
                <w:sz w:val="24"/>
                <w:szCs w:val="24"/>
              </w:rPr>
              <w:t>规划名称：《连云港经济技术开发区发展规划》</w:t>
            </w:r>
            <w:r>
              <w:rPr>
                <w:rFonts w:hint="default" w:ascii="Times New Roman" w:hAnsi="Times New Roman" w:eastAsia="宋体" w:cs="Times New Roman"/>
                <w:sz w:val="24"/>
                <w:szCs w:val="24"/>
                <w:lang w:eastAsia="zh-CN"/>
              </w:rPr>
              <w:t>；</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eastAsia="宋体" w:cs="Times New Roman"/>
                <w:sz w:val="24"/>
                <w:szCs w:val="24"/>
                <w:lang w:eastAsia="zh-CN"/>
              </w:rPr>
            </w:pPr>
            <w:r>
              <w:rPr>
                <w:rFonts w:hint="default" w:ascii="Times New Roman" w:hAnsi="Times New Roman" w:cs="Times New Roman"/>
                <w:sz w:val="24"/>
                <w:szCs w:val="24"/>
              </w:rPr>
              <w:t>审批机关：-</w:t>
            </w:r>
            <w:r>
              <w:rPr>
                <w:rFonts w:hint="default" w:ascii="Times New Roman" w:hAnsi="Times New Roman" w:eastAsia="宋体" w:cs="Times New Roman"/>
                <w:sz w:val="24"/>
                <w:szCs w:val="24"/>
                <w:lang w:eastAsia="zh-CN"/>
              </w:rPr>
              <w:t>；</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4"/>
                <w:szCs w:val="24"/>
              </w:rPr>
            </w:pPr>
            <w:r>
              <w:rPr>
                <w:rFonts w:hint="default" w:ascii="Times New Roman" w:hAnsi="Times New Roman" w:cs="Times New Roman"/>
                <w:sz w:val="24"/>
                <w:szCs w:val="24"/>
              </w:rPr>
              <w:t>审批文件文号：</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rPr>
              <w:t>。</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eastAsia="宋体" w:cs="Times New Roman"/>
                <w:sz w:val="24"/>
                <w:szCs w:val="24"/>
                <w:lang w:val="en-US" w:eastAsia="zh-CN" w:bidi="ar-SA"/>
              </w:rPr>
            </w:pPr>
            <w:r>
              <w:rPr>
                <w:rFonts w:hint="default" w:ascii="Times New Roman" w:hAnsi="Times New Roman" w:eastAsia="宋体" w:cs="Times New Roman"/>
                <w:sz w:val="24"/>
                <w:szCs w:val="24"/>
                <w:lang w:val="en-US" w:eastAsia="en-US" w:bidi="ar-SA"/>
              </w:rPr>
              <w:t>规划名称：《连云港经济技术开发区总体规划》</w:t>
            </w:r>
            <w:r>
              <w:rPr>
                <w:rFonts w:hint="default" w:ascii="Times New Roman" w:hAnsi="Times New Roman" w:eastAsia="宋体" w:cs="Times New Roman"/>
                <w:sz w:val="24"/>
                <w:szCs w:val="24"/>
                <w:lang w:val="en-US" w:eastAsia="zh-CN" w:bidi="ar-SA"/>
              </w:rPr>
              <w:t>；</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eastAsia="宋体" w:cs="Times New Roman"/>
                <w:sz w:val="24"/>
                <w:szCs w:val="24"/>
                <w:lang w:val="en-US" w:eastAsia="zh-CN" w:bidi="ar-SA"/>
              </w:rPr>
            </w:pPr>
            <w:r>
              <w:rPr>
                <w:rFonts w:hint="default" w:ascii="Times New Roman" w:hAnsi="Times New Roman" w:eastAsia="宋体" w:cs="Times New Roman"/>
                <w:sz w:val="24"/>
                <w:szCs w:val="24"/>
                <w:lang w:val="en-US" w:eastAsia="en-US" w:bidi="ar-SA"/>
              </w:rPr>
              <w:t>审批机关：</w:t>
            </w:r>
            <w:r>
              <w:rPr>
                <w:rFonts w:hint="default" w:ascii="Times New Roman" w:hAnsi="Times New Roman" w:cs="Times New Roman"/>
                <w:sz w:val="24"/>
                <w:szCs w:val="24"/>
              </w:rPr>
              <w:t>-</w:t>
            </w:r>
            <w:r>
              <w:rPr>
                <w:rFonts w:hint="default" w:ascii="Times New Roman" w:hAnsi="Times New Roman" w:eastAsia="宋体" w:cs="Times New Roman"/>
                <w:sz w:val="24"/>
                <w:szCs w:val="24"/>
                <w:lang w:val="en-US" w:eastAsia="zh-CN" w:bidi="ar-SA"/>
              </w:rPr>
              <w:t>；</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eastAsia="宋体" w:cs="Times New Roman"/>
                <w:sz w:val="24"/>
                <w:szCs w:val="24"/>
                <w:lang w:val="en-US" w:eastAsia="en-US" w:bidi="ar-SA"/>
              </w:rPr>
            </w:pPr>
            <w:r>
              <w:rPr>
                <w:rFonts w:hint="default" w:ascii="Times New Roman" w:hAnsi="Times New Roman" w:eastAsia="宋体" w:cs="Times New Roman"/>
                <w:sz w:val="24"/>
                <w:szCs w:val="24"/>
                <w:lang w:val="en-US" w:eastAsia="en-US" w:bidi="ar-SA"/>
              </w:rPr>
              <w:t>审批文件文号：</w:t>
            </w:r>
            <w:r>
              <w:rPr>
                <w:rFonts w:hint="default" w:ascii="Times New Roman" w:hAnsi="Times New Roman" w:cs="Times New Roman"/>
                <w:sz w:val="24"/>
                <w:szCs w:val="24"/>
              </w:rPr>
              <w:t>-</w:t>
            </w:r>
            <w:r>
              <w:rPr>
                <w:rFonts w:hint="default" w:ascii="Times New Roman" w:hAnsi="Times New Roman" w:eastAsia="宋体" w:cs="Times New Roman"/>
                <w:sz w:val="24"/>
                <w:szCs w:val="24"/>
                <w:lang w:val="en-US" w:eastAsia="en-US" w:bidi="ar-SA"/>
              </w:rPr>
              <w:t>。</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eastAsia="宋体" w:cs="Times New Roman"/>
                <w:sz w:val="24"/>
                <w:szCs w:val="24"/>
                <w:lang w:val="en-US" w:eastAsia="zh-CN" w:bidi="ar-SA"/>
              </w:rPr>
            </w:pPr>
            <w:r>
              <w:rPr>
                <w:rFonts w:hint="default" w:ascii="Times New Roman" w:hAnsi="Times New Roman" w:eastAsia="宋体" w:cs="Times New Roman"/>
                <w:sz w:val="24"/>
                <w:szCs w:val="24"/>
                <w:lang w:val="en-US" w:eastAsia="en-US" w:bidi="ar-SA"/>
              </w:rPr>
              <w:t>规划名称：《连云港经济技术开发区总体发展概念规划》</w:t>
            </w:r>
            <w:r>
              <w:rPr>
                <w:rFonts w:hint="default" w:ascii="Times New Roman" w:hAnsi="Times New Roman" w:eastAsia="宋体" w:cs="Times New Roman"/>
                <w:sz w:val="24"/>
                <w:szCs w:val="24"/>
                <w:lang w:val="en-US" w:eastAsia="zh-CN" w:bidi="ar-SA"/>
              </w:rPr>
              <w:t>；</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eastAsia="宋体" w:cs="Times New Roman"/>
                <w:sz w:val="24"/>
                <w:szCs w:val="24"/>
                <w:lang w:val="en-US" w:eastAsia="en-US" w:bidi="ar-SA"/>
              </w:rPr>
            </w:pPr>
            <w:r>
              <w:rPr>
                <w:rFonts w:hint="default" w:ascii="Times New Roman" w:hAnsi="Times New Roman" w:eastAsia="宋体" w:cs="Times New Roman"/>
                <w:sz w:val="24"/>
                <w:szCs w:val="24"/>
                <w:lang w:val="en-US" w:eastAsia="en-US" w:bidi="ar-SA"/>
              </w:rPr>
              <w:t>审批机关：国务院批准，商务部、国土资源部、建设部；</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4"/>
                <w:szCs w:val="24"/>
                <w:lang w:val="en-US" w:eastAsia="zh-CN"/>
              </w:rPr>
            </w:pPr>
            <w:r>
              <w:rPr>
                <w:rFonts w:hint="default" w:ascii="Times New Roman" w:hAnsi="Times New Roman" w:eastAsia="宋体" w:cs="Times New Roman"/>
                <w:sz w:val="24"/>
                <w:szCs w:val="24"/>
                <w:lang w:val="en-US" w:eastAsia="en-US" w:bidi="ar-SA"/>
              </w:rPr>
              <w:t>审批文件文号：商资函[2005]73号。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1018" w:type="pct"/>
            <w:gridSpan w:val="2"/>
            <w:vAlign w:val="center"/>
          </w:tcPr>
          <w:p>
            <w:pPr>
              <w:pStyle w:val="35"/>
              <w:jc w:val="center"/>
              <w:rPr>
                <w:rFonts w:hint="default" w:ascii="Times New Roman" w:hAnsi="Times New Roman" w:eastAsia="宋体" w:cs="Times New Roman"/>
                <w:sz w:val="24"/>
                <w:szCs w:val="24"/>
                <w:lang w:eastAsia="zh-CN"/>
              </w:rPr>
            </w:pPr>
            <w:r>
              <w:rPr>
                <w:rFonts w:hint="default" w:ascii="Times New Roman" w:hAnsi="Times New Roman" w:eastAsia="宋体" w:cs="Times New Roman"/>
                <w:spacing w:val="-1"/>
                <w:sz w:val="24"/>
                <w:szCs w:val="24"/>
                <w:lang w:eastAsia="zh-CN"/>
              </w:rPr>
              <w:t>规划环境影</w:t>
            </w:r>
            <w:r>
              <w:rPr>
                <w:rFonts w:hint="default" w:ascii="Times New Roman" w:hAnsi="Times New Roman" w:eastAsia="宋体" w:cs="Times New Roman"/>
                <w:sz w:val="24"/>
                <w:szCs w:val="24"/>
                <w:lang w:eastAsia="zh-CN"/>
              </w:rPr>
              <w:t>响</w:t>
            </w:r>
          </w:p>
          <w:p>
            <w:pPr>
              <w:jc w:val="center"/>
              <w:rPr>
                <w:rFonts w:hint="default" w:ascii="Times New Roman" w:hAnsi="Times New Roman" w:eastAsia="宋体" w:cs="Times New Roman"/>
                <w:spacing w:val="-1"/>
                <w:sz w:val="24"/>
                <w:szCs w:val="24"/>
                <w:lang w:eastAsia="zh-CN"/>
              </w:rPr>
            </w:pPr>
            <w:r>
              <w:rPr>
                <w:rFonts w:hint="default" w:ascii="Times New Roman" w:hAnsi="Times New Roman" w:eastAsia="宋体" w:cs="Times New Roman"/>
                <w:spacing w:val="-1"/>
                <w:sz w:val="24"/>
                <w:szCs w:val="24"/>
                <w:lang w:eastAsia="zh-CN"/>
              </w:rPr>
              <w:t>评价情况</w:t>
            </w:r>
          </w:p>
        </w:tc>
        <w:tc>
          <w:tcPr>
            <w:tcW w:w="3981" w:type="pct"/>
            <w:gridSpan w:val="3"/>
            <w:vAlign w:val="center"/>
          </w:tcPr>
          <w:p>
            <w:pPr>
              <w:pStyle w:val="1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4"/>
                <w:szCs w:val="24"/>
              </w:rPr>
            </w:pPr>
            <w:r>
              <w:rPr>
                <w:rFonts w:hint="default" w:ascii="Times New Roman" w:hAnsi="Times New Roman" w:cs="Times New Roman"/>
                <w:sz w:val="24"/>
                <w:szCs w:val="24"/>
              </w:rPr>
              <w:t>规划名称：《连云港经济技术开发区环境影响报告》</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4"/>
                <w:szCs w:val="24"/>
              </w:rPr>
            </w:pPr>
            <w:r>
              <w:rPr>
                <w:rFonts w:hint="default" w:ascii="Times New Roman" w:hAnsi="Times New Roman" w:cs="Times New Roman"/>
                <w:sz w:val="24"/>
                <w:szCs w:val="24"/>
              </w:rPr>
              <w:t>审批机关：原江苏省环境保护局；</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4"/>
                <w:szCs w:val="24"/>
              </w:rPr>
            </w:pPr>
            <w:r>
              <w:rPr>
                <w:rFonts w:hint="default" w:ascii="Times New Roman" w:hAnsi="Times New Roman" w:cs="Times New Roman"/>
                <w:sz w:val="24"/>
                <w:szCs w:val="24"/>
              </w:rPr>
              <w:t>审批文件文号：苏环计</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rPr>
              <w:t>96</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rPr>
              <w:t>39号。</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4"/>
                <w:szCs w:val="24"/>
              </w:rPr>
            </w:pPr>
            <w:r>
              <w:rPr>
                <w:rFonts w:hint="default" w:ascii="Times New Roman" w:hAnsi="Times New Roman" w:cs="Times New Roman"/>
                <w:sz w:val="24"/>
                <w:szCs w:val="24"/>
              </w:rPr>
              <w:t>规划名称：《连云港经济技术开发区扩大建设用地规划环境影响报告书》</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4"/>
                <w:szCs w:val="24"/>
              </w:rPr>
            </w:pPr>
            <w:r>
              <w:rPr>
                <w:rFonts w:hint="default" w:ascii="Times New Roman" w:hAnsi="Times New Roman" w:cs="Times New Roman"/>
                <w:sz w:val="24"/>
                <w:szCs w:val="24"/>
              </w:rPr>
              <w:t>审批机关：环境保护部；</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4"/>
                <w:szCs w:val="24"/>
              </w:rPr>
            </w:pPr>
            <w:r>
              <w:rPr>
                <w:rFonts w:hint="default" w:ascii="Times New Roman" w:hAnsi="Times New Roman" w:cs="Times New Roman"/>
                <w:sz w:val="24"/>
                <w:szCs w:val="24"/>
              </w:rPr>
              <w:t>审批文件文号：环审(2009)112号。</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eastAsia="宋体" w:cs="Times New Roman"/>
                <w:sz w:val="24"/>
                <w:szCs w:val="24"/>
                <w:lang w:eastAsia="zh-CN"/>
              </w:rPr>
            </w:pPr>
            <w:r>
              <w:rPr>
                <w:rFonts w:hint="default" w:ascii="Times New Roman" w:hAnsi="Times New Roman" w:cs="Times New Roman"/>
                <w:sz w:val="24"/>
                <w:szCs w:val="24"/>
              </w:rPr>
              <w:t>规划名称：《连云港经济技术开发区</w:t>
            </w:r>
            <w:r>
              <w:rPr>
                <w:rFonts w:hint="default" w:ascii="Times New Roman" w:hAnsi="Times New Roman" w:eastAsia="宋体" w:cs="Times New Roman"/>
                <w:sz w:val="24"/>
                <w:szCs w:val="24"/>
                <w:lang w:eastAsia="zh-CN"/>
              </w:rPr>
              <w:t>（</w:t>
            </w:r>
            <w:r>
              <w:rPr>
                <w:rFonts w:hint="default" w:ascii="Times New Roman" w:hAnsi="Times New Roman" w:cs="Times New Roman"/>
                <w:sz w:val="24"/>
                <w:szCs w:val="24"/>
              </w:rPr>
              <w:t>中心区、出口加工区、扩区</w:t>
            </w:r>
            <w:r>
              <w:rPr>
                <w:rFonts w:hint="default" w:ascii="Times New Roman" w:hAnsi="Times New Roman" w:eastAsia="宋体" w:cs="Times New Roman"/>
                <w:sz w:val="24"/>
                <w:szCs w:val="24"/>
                <w:lang w:eastAsia="zh-CN"/>
              </w:rPr>
              <w:t>）</w:t>
            </w:r>
            <w:r>
              <w:rPr>
                <w:rFonts w:hint="default" w:ascii="Times New Roman" w:hAnsi="Times New Roman" w:cs="Times New Roman"/>
                <w:sz w:val="24"/>
                <w:szCs w:val="24"/>
              </w:rPr>
              <w:t>规划环境影响跟踪评价》</w:t>
            </w:r>
            <w:r>
              <w:rPr>
                <w:rFonts w:hint="default" w:ascii="Times New Roman" w:hAnsi="Times New Roman" w:eastAsia="宋体" w:cs="Times New Roman"/>
                <w:sz w:val="24"/>
                <w:szCs w:val="24"/>
                <w:lang w:eastAsia="zh-CN"/>
              </w:rPr>
              <w:t>；</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4"/>
                <w:szCs w:val="24"/>
              </w:rPr>
            </w:pPr>
            <w:r>
              <w:rPr>
                <w:rFonts w:hint="default" w:ascii="Times New Roman" w:hAnsi="Times New Roman" w:cs="Times New Roman"/>
                <w:sz w:val="24"/>
                <w:szCs w:val="24"/>
              </w:rPr>
              <w:t>审批机关：生态环境部；</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4"/>
                <w:szCs w:val="24"/>
                <w:lang w:eastAsia="zh-CN"/>
              </w:rPr>
            </w:pPr>
            <w:r>
              <w:rPr>
                <w:rFonts w:hint="default" w:ascii="Times New Roman" w:hAnsi="Times New Roman" w:cs="Times New Roman"/>
                <w:sz w:val="24"/>
                <w:szCs w:val="24"/>
              </w:rPr>
              <w:t>审批文件文号：环办环评函</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rPr>
              <w:t>2019</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szCs w:val="24"/>
              </w:rPr>
              <w:t>529号。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18" w:type="pct"/>
            <w:gridSpan w:val="2"/>
            <w:vAlign w:val="center"/>
          </w:tcPr>
          <w:p>
            <w:pPr>
              <w:jc w:val="center"/>
              <w:rPr>
                <w:rFonts w:hint="default" w:ascii="Times New Roman" w:hAnsi="Times New Roman" w:eastAsia="宋体" w:cs="Times New Roman"/>
                <w:spacing w:val="-1"/>
                <w:sz w:val="24"/>
                <w:szCs w:val="24"/>
                <w:lang w:eastAsia="zh-CN"/>
              </w:rPr>
            </w:pPr>
            <w:r>
              <w:rPr>
                <w:rFonts w:hint="default" w:ascii="Times New Roman" w:hAnsi="Times New Roman" w:eastAsia="宋体" w:cs="Times New Roman"/>
                <w:spacing w:val="-1"/>
                <w:sz w:val="24"/>
                <w:szCs w:val="24"/>
                <w:lang w:eastAsia="zh-CN"/>
              </w:rPr>
              <w:t>规划及规划环境影响评价符合性分析</w:t>
            </w:r>
          </w:p>
        </w:tc>
        <w:tc>
          <w:tcPr>
            <w:tcW w:w="3981" w:type="pct"/>
            <w:gridSpan w:val="3"/>
            <w:vAlign w:val="center"/>
          </w:tcPr>
          <w:p>
            <w:pPr>
              <w:pStyle w:val="18"/>
              <w:keepNext w:val="0"/>
              <w:keepLines w:val="0"/>
              <w:widowControl/>
              <w:suppressLineNumbers w:val="0"/>
              <w:spacing w:before="0" w:beforeAutospacing="0" w:after="0" w:afterAutospacing="0"/>
              <w:ind w:left="0" w:right="0" w:firstLine="0"/>
              <w:jc w:val="both"/>
              <w:rPr>
                <w:rFonts w:hint="default" w:ascii="Times New Roman" w:hAnsi="Times New Roman" w:cs="Times New Roman"/>
                <w:b/>
                <w:bCs/>
                <w:sz w:val="24"/>
                <w:szCs w:val="24"/>
              </w:rPr>
            </w:pPr>
            <w:r>
              <w:rPr>
                <w:rFonts w:hint="default" w:ascii="Times New Roman" w:hAnsi="Times New Roman" w:cs="Times New Roman"/>
                <w:b/>
                <w:bCs/>
                <w:sz w:val="24"/>
                <w:szCs w:val="24"/>
              </w:rPr>
              <w:t>1、与《连云港经济技术开发区总体发展概念规划》相符性分析</w:t>
            </w:r>
          </w:p>
          <w:p>
            <w:pPr>
              <w:pStyle w:val="18"/>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rPr>
              <w:t>连云港经济技术开发区产业定位以发展医药产业、食品工业、机械工业、纺织工业为主，同时开展电子信息产业、新材料产业及相关配套服务。</w:t>
            </w:r>
          </w:p>
          <w:p>
            <w:pPr>
              <w:pStyle w:val="18"/>
              <w:keepNext w:val="0"/>
              <w:keepLines w:val="0"/>
              <w:widowControl/>
              <w:suppressLineNumbers w:val="0"/>
              <w:spacing w:before="0" w:beforeAutospacing="0" w:after="0" w:afterAutospacing="0"/>
              <w:ind w:left="0" w:right="0"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rPr>
              <w:t>本项目位于连云港市经济技术开发区扩区，用地规划为工业用地。本项目不属于连云港经济技术开发区禁止进入行业，与连云港经济技术开发区总体发展规划相符。</w:t>
            </w:r>
          </w:p>
          <w:p>
            <w:pPr>
              <w:pStyle w:val="18"/>
              <w:keepNext w:val="0"/>
              <w:keepLines w:val="0"/>
              <w:widowControl/>
              <w:suppressLineNumbers w:val="0"/>
              <w:spacing w:before="0" w:beforeAutospacing="0" w:after="0" w:afterAutospacing="0"/>
              <w:ind w:left="0" w:right="0" w:firstLine="0"/>
              <w:jc w:val="both"/>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2、与</w:t>
            </w:r>
            <w:r>
              <w:rPr>
                <w:rFonts w:hint="default" w:ascii="Times New Roman" w:hAnsi="Times New Roman" w:cs="Times New Roman"/>
                <w:b/>
                <w:bCs/>
                <w:sz w:val="24"/>
                <w:szCs w:val="24"/>
              </w:rPr>
              <w:t>《连云港经济技术开发区</w:t>
            </w:r>
            <w:r>
              <w:rPr>
                <w:rFonts w:hint="default" w:ascii="Times New Roman" w:hAnsi="Times New Roman" w:cs="Times New Roman"/>
                <w:b/>
                <w:bCs/>
                <w:sz w:val="24"/>
                <w:szCs w:val="24"/>
                <w:lang w:eastAsia="zh-CN"/>
              </w:rPr>
              <w:t>（</w:t>
            </w:r>
            <w:r>
              <w:rPr>
                <w:rFonts w:hint="default" w:ascii="Times New Roman" w:hAnsi="Times New Roman" w:cs="Times New Roman"/>
                <w:b/>
                <w:bCs/>
                <w:sz w:val="24"/>
                <w:szCs w:val="24"/>
              </w:rPr>
              <w:t>中心区、出口加工区、扩区</w:t>
            </w:r>
            <w:r>
              <w:rPr>
                <w:rFonts w:hint="default" w:ascii="Times New Roman" w:hAnsi="Times New Roman" w:cs="Times New Roman"/>
                <w:b/>
                <w:bCs/>
                <w:sz w:val="24"/>
                <w:szCs w:val="24"/>
                <w:lang w:eastAsia="zh-CN"/>
              </w:rPr>
              <w:t>）</w:t>
            </w:r>
            <w:r>
              <w:rPr>
                <w:rFonts w:hint="default" w:ascii="Times New Roman" w:hAnsi="Times New Roman" w:cs="Times New Roman"/>
                <w:b/>
                <w:bCs/>
                <w:sz w:val="24"/>
                <w:szCs w:val="24"/>
              </w:rPr>
              <w:t>规划环境影响跟踪评价》</w:t>
            </w:r>
            <w:r>
              <w:rPr>
                <w:rFonts w:hint="default" w:ascii="Times New Roman" w:hAnsi="Times New Roman" w:cs="Times New Roman"/>
                <w:b/>
                <w:bCs/>
                <w:sz w:val="24"/>
                <w:szCs w:val="24"/>
                <w:lang w:val="en-US" w:eastAsia="zh-CN"/>
              </w:rPr>
              <w:t>及其审查意见相符性分析</w:t>
            </w:r>
          </w:p>
          <w:p>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表1-1  与跟踪评价意见相符性分析</w:t>
            </w:r>
          </w:p>
          <w:tbl>
            <w:tblPr>
              <w:tblStyle w:val="24"/>
              <w:tblW w:w="73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69"/>
              <w:gridCol w:w="1535"/>
              <w:gridCol w:w="8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9" w:type="dxa"/>
                  <w:vAlign w:val="center"/>
                </w:tcPr>
                <w:p>
                  <w:pPr>
                    <w:pStyle w:val="35"/>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跟踪评价意见</w:t>
                  </w:r>
                </w:p>
              </w:tc>
              <w:tc>
                <w:tcPr>
                  <w:tcW w:w="1535" w:type="dxa"/>
                  <w:vAlign w:val="center"/>
                </w:tcPr>
                <w:p>
                  <w:pPr>
                    <w:pStyle w:val="35"/>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本项目情况</w:t>
                  </w:r>
                </w:p>
              </w:tc>
              <w:tc>
                <w:tcPr>
                  <w:tcW w:w="889" w:type="dxa"/>
                  <w:vAlign w:val="center"/>
                </w:tcPr>
                <w:p>
                  <w:pPr>
                    <w:pStyle w:val="35"/>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9" w:type="dxa"/>
                  <w:vAlign w:val="center"/>
                </w:tcPr>
                <w:p>
                  <w:pPr>
                    <w:pStyle w:val="35"/>
                    <w:jc w:val="both"/>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一）落实长江经济带“共抓大保护，不搞大开发”的总体要求，加强与江苏省“三线一单”和连云港市战略环境影响评价成果的衔接，结合连云港市城市总体规划对连云港经济技术开发区的发展定位和目标，进一步优化开发区产业定位、结构、规模等，积极推进产业绿色化转型升级，持续改善和提升区域环境质量。</w:t>
                  </w:r>
                </w:p>
              </w:tc>
              <w:tc>
                <w:tcPr>
                  <w:tcW w:w="1535" w:type="dxa"/>
                  <w:vAlign w:val="center"/>
                </w:tcPr>
                <w:p>
                  <w:pPr>
                    <w:pStyle w:val="35"/>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本项目符合“三线一单”要求，符合区域产业定位，符合区域发展规划</w:t>
                  </w:r>
                </w:p>
              </w:tc>
              <w:tc>
                <w:tcPr>
                  <w:tcW w:w="889" w:type="dxa"/>
                  <w:vAlign w:val="center"/>
                </w:tcPr>
                <w:p>
                  <w:pPr>
                    <w:pStyle w:val="35"/>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9" w:type="dxa"/>
                  <w:vAlign w:val="center"/>
                </w:tcPr>
                <w:p>
                  <w:pPr>
                    <w:pStyle w:val="35"/>
                    <w:jc w:val="both"/>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二）按照“优先保障生态空间，集约利用生产空间”的原则，进一步优化开发区布局，做好规划控制，提高土地集约利用水平。优化生产、生活、生态等功能的空间布局，强化开发边界管制。加快推进云台山风景名胜区生态环境保护定位和要求不符的企业搬迁，中心区剩余空间和企业搬迁后的空间优先化为生态空间，后续开发建设行为应符合云台山风景名胜区的相关保护要求。严格落实规划与建设项目环境影响评价的联动机制，加强生态环境准入管理。</w:t>
                  </w:r>
                </w:p>
              </w:tc>
              <w:tc>
                <w:tcPr>
                  <w:tcW w:w="1535" w:type="dxa"/>
                  <w:vAlign w:val="center"/>
                </w:tcPr>
                <w:p>
                  <w:pPr>
                    <w:pStyle w:val="35"/>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项目所在地用地性质为工业用地，不在云台山风景名胜区</w:t>
                  </w:r>
                  <w:r>
                    <w:rPr>
                      <w:rFonts w:hint="eastAsia" w:ascii="Times New Roman" w:hAnsi="Times New Roman" w:cs="Times New Roman"/>
                      <w:sz w:val="21"/>
                      <w:szCs w:val="21"/>
                      <w:vertAlign w:val="baseline"/>
                      <w:lang w:val="en-US" w:eastAsia="zh-CN"/>
                    </w:rPr>
                    <w:t>等</w:t>
                  </w:r>
                  <w:r>
                    <w:rPr>
                      <w:rFonts w:hint="default" w:ascii="Times New Roman" w:hAnsi="Times New Roman" w:eastAsia="宋体" w:cs="Times New Roman"/>
                      <w:sz w:val="21"/>
                      <w:szCs w:val="21"/>
                      <w:vertAlign w:val="baseline"/>
                      <w:lang w:val="en-US" w:eastAsia="zh-CN"/>
                    </w:rPr>
                    <w:t>生态管控区内。</w:t>
                  </w:r>
                </w:p>
              </w:tc>
              <w:tc>
                <w:tcPr>
                  <w:tcW w:w="889" w:type="dxa"/>
                  <w:vAlign w:val="center"/>
                </w:tcPr>
                <w:p>
                  <w:pPr>
                    <w:pStyle w:val="35"/>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9" w:type="dxa"/>
                  <w:vAlign w:val="center"/>
                </w:tcPr>
                <w:p>
                  <w:pPr>
                    <w:pStyle w:val="35"/>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（三）深入推进开发区循环化改造，加强工业水循环利用和节能降耗。加快中水回用工程建设，提高能源、资源利用效率，提升开发区集中供热水平，清洁生产需达到国际先进水平。</w:t>
                  </w:r>
                </w:p>
              </w:tc>
              <w:tc>
                <w:tcPr>
                  <w:tcW w:w="1535" w:type="dxa"/>
                  <w:vAlign w:val="center"/>
                </w:tcPr>
                <w:p>
                  <w:pPr>
                    <w:pStyle w:val="35"/>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本项目不新增新鲜水用量。</w:t>
                  </w:r>
                </w:p>
              </w:tc>
              <w:tc>
                <w:tcPr>
                  <w:tcW w:w="889" w:type="dxa"/>
                  <w:vAlign w:val="center"/>
                </w:tcPr>
                <w:p>
                  <w:pPr>
                    <w:pStyle w:val="35"/>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9" w:type="dxa"/>
                  <w:vAlign w:val="center"/>
                </w:tcPr>
                <w:p>
                  <w:pPr>
                    <w:pStyle w:val="35"/>
                    <w:jc w:val="both"/>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四）组织制定生态环境保护规划，统筹考虑区内污染防治、生态恢复与建设、环境风险防范、环境管理等事宜。按照“分类管理，分级响应，区域联动”的原则，建立健全区域风险防范和生态安全保障体系，加强区内重要环境风险源的管控，建立环境应急响应联动机制。健全开发区大气、地表水及地下水监测体系。</w:t>
                  </w:r>
                </w:p>
              </w:tc>
              <w:tc>
                <w:tcPr>
                  <w:tcW w:w="1535" w:type="dxa"/>
                  <w:vAlign w:val="center"/>
                </w:tcPr>
                <w:p>
                  <w:pPr>
                    <w:pStyle w:val="35"/>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企业将按照要求建立环境风险防范体系，编制突发环境事件应急预案并进行备案</w:t>
                  </w:r>
                </w:p>
              </w:tc>
              <w:tc>
                <w:tcPr>
                  <w:tcW w:w="889" w:type="dxa"/>
                  <w:vAlign w:val="center"/>
                </w:tcPr>
                <w:p>
                  <w:pPr>
                    <w:pStyle w:val="35"/>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相符</w:t>
                  </w:r>
                </w:p>
              </w:tc>
            </w:tr>
          </w:tbl>
          <w:p>
            <w:pPr>
              <w:pStyle w:val="35"/>
              <w:jc w:val="both"/>
              <w:rPr>
                <w:rFonts w:hint="default" w:ascii="Times New Roman" w:hAnsi="Times New Roman" w:cs="Times New Roman"/>
                <w:sz w:val="24"/>
                <w:szCs w:val="24"/>
              </w:rPr>
            </w:pPr>
          </w:p>
          <w:p>
            <w:pPr>
              <w:pStyle w:val="35"/>
              <w:jc w:val="both"/>
              <w:rPr>
                <w:rFonts w:hint="default" w:ascii="Times New Roman" w:hAnsi="Times New Roman"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85" w:hRule="atLeast"/>
          <w:jc w:val="center"/>
        </w:trPr>
        <w:tc>
          <w:tcPr>
            <w:tcW w:w="318" w:type="pct"/>
            <w:vAlign w:val="center"/>
          </w:tcPr>
          <w:p>
            <w:pPr>
              <w:jc w:val="center"/>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lang w:eastAsia="zh-CN"/>
              </w:rPr>
              <w:t>其他符合性分析</w:t>
            </w:r>
          </w:p>
        </w:tc>
        <w:tc>
          <w:tcPr>
            <w:tcW w:w="4681" w:type="pct"/>
            <w:gridSpan w:val="4"/>
            <w:vAlign w:val="center"/>
          </w:tcPr>
          <w:p>
            <w:pPr>
              <w:widowControl/>
              <w:spacing w:line="460" w:lineRule="exact"/>
              <w:jc w:val="both"/>
              <w:rPr>
                <w:rFonts w:hint="default" w:ascii="Times New Roman" w:hAnsi="Times New Roman" w:cs="Times New Roman"/>
                <w:b/>
                <w:bCs/>
                <w:sz w:val="24"/>
                <w:szCs w:val="24"/>
                <w:lang w:eastAsia="zh-CN"/>
              </w:rPr>
            </w:pPr>
            <w:r>
              <w:rPr>
                <w:rFonts w:hint="default" w:ascii="Times New Roman" w:hAnsi="Times New Roman" w:cs="Times New Roman"/>
                <w:b/>
                <w:bCs/>
                <w:sz w:val="24"/>
                <w:szCs w:val="24"/>
                <w:lang w:eastAsia="zh-CN"/>
              </w:rPr>
              <w:t>1、与产业政策相符性分析</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项目与相关国家和地方产业政策相符性分析见表1-</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表1-</w:t>
            </w:r>
            <w:r>
              <w:rPr>
                <w:rFonts w:hint="default" w:ascii="Times New Roman" w:hAnsi="Times New Roman" w:cs="Times New Roman"/>
                <w:b/>
                <w:bCs/>
                <w:sz w:val="21"/>
                <w:szCs w:val="21"/>
                <w:lang w:val="en-US" w:eastAsia="zh-CN"/>
              </w:rPr>
              <w:t>2</w:t>
            </w:r>
            <w:r>
              <w:rPr>
                <w:rFonts w:hint="default" w:ascii="Times New Roman" w:hAnsi="Times New Roman" w:cs="Times New Roman"/>
                <w:b/>
                <w:bCs/>
                <w:sz w:val="21"/>
                <w:szCs w:val="21"/>
                <w:lang w:eastAsia="zh-CN"/>
              </w:rPr>
              <w:t xml:space="preserve"> 相关产业政策相符性分析表</w:t>
            </w:r>
          </w:p>
          <w:tbl>
            <w:tblPr>
              <w:tblStyle w:val="23"/>
              <w:tblW w:w="496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30"/>
              <w:gridCol w:w="3600"/>
              <w:gridCol w:w="3441"/>
              <w:gridCol w:w="89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20"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序号</w:t>
                  </w:r>
                </w:p>
              </w:tc>
              <w:tc>
                <w:tcPr>
                  <w:tcW w:w="2077"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产业政策</w:t>
                  </w:r>
                </w:p>
              </w:tc>
              <w:tc>
                <w:tcPr>
                  <w:tcW w:w="1985" w:type="pct"/>
                  <w:vAlign w:val="center"/>
                </w:tcPr>
                <w:p>
                  <w:pPr>
                    <w:pStyle w:val="10"/>
                    <w:autoSpaceDE/>
                    <w:autoSpaceDN/>
                    <w:adjustRightInd/>
                    <w:spacing w:line="240" w:lineRule="auto"/>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本项目情况</w:t>
                  </w:r>
                </w:p>
              </w:tc>
              <w:tc>
                <w:tcPr>
                  <w:tcW w:w="516" w:type="pct"/>
                  <w:vAlign w:val="center"/>
                </w:tcPr>
                <w:p>
                  <w:pPr>
                    <w:pStyle w:val="10"/>
                    <w:autoSpaceDE/>
                    <w:autoSpaceDN/>
                    <w:adjustRightInd/>
                    <w:spacing w:line="240" w:lineRule="auto"/>
                    <w:ind w:firstLine="0"/>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相符性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20"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207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《产业结构调整指导目录（20</w:t>
                  </w:r>
                  <w:r>
                    <w:rPr>
                      <w:rFonts w:hint="default" w:ascii="Times New Roman" w:hAnsi="Times New Roman" w:cs="Times New Roman"/>
                      <w:sz w:val="21"/>
                      <w:szCs w:val="21"/>
                      <w:lang w:val="en-US" w:eastAsia="zh-CN"/>
                    </w:rPr>
                    <w:t>19</w:t>
                  </w:r>
                  <w:r>
                    <w:rPr>
                      <w:rFonts w:hint="default" w:ascii="Times New Roman" w:hAnsi="Times New Roman" w:cs="Times New Roman"/>
                      <w:sz w:val="21"/>
                      <w:szCs w:val="21"/>
                    </w:rPr>
                    <w:t>年本）》（</w:t>
                  </w:r>
                  <w:r>
                    <w:rPr>
                      <w:rFonts w:hint="default" w:ascii="Times New Roman" w:hAnsi="Times New Roman" w:cs="Times New Roman"/>
                      <w:sz w:val="21"/>
                      <w:szCs w:val="21"/>
                      <w:lang w:val="en-US" w:eastAsia="zh-CN"/>
                    </w:rPr>
                    <w:t>2021年修正</w:t>
                  </w:r>
                  <w:r>
                    <w:rPr>
                      <w:rFonts w:hint="default" w:ascii="Times New Roman" w:hAnsi="Times New Roman" w:cs="Times New Roman"/>
                      <w:sz w:val="21"/>
                      <w:szCs w:val="21"/>
                    </w:rPr>
                    <w:t>）</w:t>
                  </w:r>
                </w:p>
              </w:tc>
              <w:tc>
                <w:tcPr>
                  <w:tcW w:w="1985" w:type="pct"/>
                  <w:vAlign w:val="center"/>
                </w:tcPr>
                <w:p>
                  <w:pPr>
                    <w:pStyle w:val="10"/>
                    <w:autoSpaceDE/>
                    <w:autoSpaceDN/>
                    <w:adjustRightInd/>
                    <w:spacing w:line="240" w:lineRule="auto"/>
                    <w:ind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本项目属于</w:t>
                  </w:r>
                  <w:r>
                    <w:rPr>
                      <w:rFonts w:hint="default" w:ascii="Times New Roman" w:hAnsi="Times New Roman" w:cs="Times New Roman"/>
                      <w:sz w:val="21"/>
                      <w:szCs w:val="21"/>
                      <w:lang w:eastAsia="zh-CN"/>
                    </w:rPr>
                    <w:t>C2923 塑料丝、绳及编织品制造</w:t>
                  </w:r>
                  <w:r>
                    <w:rPr>
                      <w:rFonts w:hint="default" w:ascii="Times New Roman" w:hAnsi="Times New Roman" w:cs="Times New Roman"/>
                      <w:sz w:val="21"/>
                      <w:szCs w:val="21"/>
                    </w:rPr>
                    <w:t>，不属于鼓励类、限制类和淘汰类项目。</w:t>
                  </w:r>
                </w:p>
              </w:tc>
              <w:tc>
                <w:tcPr>
                  <w:tcW w:w="516" w:type="pct"/>
                  <w:vAlign w:val="center"/>
                </w:tcPr>
                <w:p>
                  <w:pPr>
                    <w:pStyle w:val="10"/>
                    <w:autoSpaceDE/>
                    <w:autoSpaceDN/>
                    <w:adjustRightInd/>
                    <w:spacing w:line="240" w:lineRule="auto"/>
                    <w:ind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20"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207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《江苏省产业结构调整限制、淘汰和禁止目录》（2018 年）</w:t>
                  </w:r>
                </w:p>
              </w:tc>
              <w:tc>
                <w:tcPr>
                  <w:tcW w:w="1985" w:type="pct"/>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本项目不属于限制、淘汰和禁止类</w:t>
                  </w:r>
                </w:p>
              </w:tc>
              <w:tc>
                <w:tcPr>
                  <w:tcW w:w="516" w:type="pct"/>
                  <w:vAlign w:val="center"/>
                </w:tcPr>
                <w:p>
                  <w:pPr>
                    <w:pStyle w:val="10"/>
                    <w:autoSpaceDE/>
                    <w:autoSpaceDN/>
                    <w:adjustRightInd/>
                    <w:spacing w:line="240" w:lineRule="auto"/>
                    <w:ind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20"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207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《长江经济带发展负面清单指南》（试行，2022年版）</w:t>
                  </w:r>
                </w:p>
              </w:tc>
              <w:tc>
                <w:tcPr>
                  <w:tcW w:w="1985" w:type="pct"/>
                  <w:vAlign w:val="center"/>
                </w:tcPr>
                <w:p>
                  <w:pPr>
                    <w:pStyle w:val="10"/>
                    <w:autoSpaceDE/>
                    <w:autoSpaceDN/>
                    <w:adjustRightInd/>
                    <w:spacing w:line="240" w:lineRule="auto"/>
                    <w:ind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本项目不在2022年版长江经济带发展负面清单提出的禁止建设的项目中。</w:t>
                  </w:r>
                </w:p>
              </w:tc>
              <w:tc>
                <w:tcPr>
                  <w:tcW w:w="516" w:type="pct"/>
                  <w:vAlign w:val="center"/>
                </w:tcPr>
                <w:p>
                  <w:pPr>
                    <w:pStyle w:val="10"/>
                    <w:autoSpaceDE/>
                    <w:autoSpaceDN/>
                    <w:adjustRightInd/>
                    <w:spacing w:line="240" w:lineRule="auto"/>
                    <w:ind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20"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4</w:t>
                  </w:r>
                </w:p>
              </w:tc>
              <w:tc>
                <w:tcPr>
                  <w:tcW w:w="2077"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rPr>
                    <w:t>《市场准入负面清单（2022年版）》</w:t>
                  </w:r>
                  <w:r>
                    <w:rPr>
                      <w:rFonts w:hint="default" w:ascii="Times New Roman" w:hAnsi="Times New Roman" w:cs="Times New Roman"/>
                      <w:sz w:val="21"/>
                      <w:szCs w:val="21"/>
                      <w:lang w:eastAsia="zh-CN"/>
                    </w:rPr>
                    <w:t>（</w:t>
                  </w:r>
                  <w:r>
                    <w:rPr>
                      <w:rFonts w:hint="default" w:ascii="Times New Roman" w:hAnsi="Times New Roman" w:cs="Times New Roman"/>
                      <w:sz w:val="21"/>
                      <w:szCs w:val="21"/>
                    </w:rPr>
                    <w:t>发改体改规</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2022</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397号</w:t>
                  </w:r>
                  <w:r>
                    <w:rPr>
                      <w:rFonts w:hint="default" w:ascii="Times New Roman" w:hAnsi="Times New Roman" w:cs="Times New Roman"/>
                      <w:sz w:val="21"/>
                      <w:szCs w:val="21"/>
                      <w:lang w:eastAsia="zh-CN"/>
                    </w:rPr>
                    <w:t>）</w:t>
                  </w:r>
                </w:p>
              </w:tc>
              <w:tc>
                <w:tcPr>
                  <w:tcW w:w="1985" w:type="pct"/>
                  <w:vAlign w:val="center"/>
                </w:tcPr>
                <w:p>
                  <w:pPr>
                    <w:pStyle w:val="10"/>
                    <w:autoSpaceDE/>
                    <w:autoSpaceDN/>
                    <w:adjustRightInd/>
                    <w:spacing w:line="240" w:lineRule="auto"/>
                    <w:ind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本项目不在市场准入负面清单中。</w:t>
                  </w:r>
                </w:p>
              </w:tc>
              <w:tc>
                <w:tcPr>
                  <w:tcW w:w="516" w:type="pct"/>
                  <w:vAlign w:val="center"/>
                </w:tcPr>
                <w:p>
                  <w:pPr>
                    <w:pStyle w:val="10"/>
                    <w:autoSpaceDE/>
                    <w:autoSpaceDN/>
                    <w:adjustRightInd/>
                    <w:spacing w:line="240" w:lineRule="auto"/>
                    <w:ind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20"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w:t>
                  </w:r>
                </w:p>
              </w:tc>
              <w:tc>
                <w:tcPr>
                  <w:tcW w:w="207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《长江经济带发展负面清单指南（试行，2022年版）江苏省实施细则》（苏长江办发[2022]55号）</w:t>
                  </w:r>
                </w:p>
              </w:tc>
              <w:tc>
                <w:tcPr>
                  <w:tcW w:w="1985" w:type="pct"/>
                  <w:vAlign w:val="center"/>
                </w:tcPr>
                <w:p>
                  <w:pPr>
                    <w:pStyle w:val="10"/>
                    <w:autoSpaceDE/>
                    <w:autoSpaceDN/>
                    <w:adjustRightInd/>
                    <w:spacing w:line="240" w:lineRule="auto"/>
                    <w:ind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本项目不在2022年版长江经济带发展负面清单指南江苏省实施细则提出的禁止建设的项目中。</w:t>
                  </w:r>
                </w:p>
              </w:tc>
              <w:tc>
                <w:tcPr>
                  <w:tcW w:w="516" w:type="pct"/>
                  <w:vAlign w:val="center"/>
                </w:tcPr>
                <w:p>
                  <w:pPr>
                    <w:pStyle w:val="10"/>
                    <w:autoSpaceDE/>
                    <w:autoSpaceDN/>
                    <w:adjustRightInd/>
                    <w:spacing w:line="240" w:lineRule="auto"/>
                    <w:ind w:firstLine="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20" w:type="pct"/>
                  <w:vAlign w:val="center"/>
                </w:tcPr>
                <w:p>
                  <w:pPr>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6</w:t>
                  </w:r>
                </w:p>
              </w:tc>
              <w:tc>
                <w:tcPr>
                  <w:tcW w:w="2077" w:type="pct"/>
                  <w:vAlign w:val="center"/>
                </w:tcPr>
                <w:p>
                  <w:pPr>
                    <w:pStyle w:val="18"/>
                    <w:keepNext w:val="0"/>
                    <w:keepLines w:val="0"/>
                    <w:widowControl/>
                    <w:suppressLineNumbers w:val="0"/>
                    <w:spacing w:before="0" w:beforeAutospacing="0" w:after="0" w:afterAutospacing="0"/>
                    <w:ind w:left="0" w:right="0" w:firstLine="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val="en-US" w:eastAsia="zh-CN" w:bidi="ar-SA"/>
                    </w:rPr>
                    <w:t>《</w:t>
                  </w:r>
                  <w:r>
                    <w:rPr>
                      <w:rFonts w:hint="default" w:ascii="Times New Roman" w:hAnsi="Times New Roman" w:eastAsia="宋体" w:cs="Times New Roman"/>
                      <w:sz w:val="21"/>
                      <w:szCs w:val="21"/>
                      <w:lang w:val="en-US" w:eastAsia="en-US" w:bidi="ar-SA"/>
                    </w:rPr>
                    <w:t>连云港经济技术开发区产业投资项目负面清单</w:t>
                  </w:r>
                  <w:r>
                    <w:rPr>
                      <w:rFonts w:hint="eastAsia" w:ascii="Times New Roman" w:hAnsi="Times New Roman" w:cs="Times New Roman"/>
                      <w:sz w:val="21"/>
                      <w:szCs w:val="21"/>
                      <w:lang w:val="en-US" w:eastAsia="zh-CN" w:bidi="ar-SA"/>
                    </w:rPr>
                    <w:t>》（</w:t>
                  </w:r>
                  <w:r>
                    <w:rPr>
                      <w:rFonts w:hint="default" w:ascii="Times New Roman" w:hAnsi="Times New Roman" w:eastAsia="宋体" w:cs="Times New Roman"/>
                      <w:sz w:val="21"/>
                      <w:szCs w:val="21"/>
                      <w:lang w:val="en-US" w:eastAsia="en-US" w:bidi="ar-SA"/>
                    </w:rPr>
                    <w:t>2019年版</w:t>
                  </w:r>
                  <w:r>
                    <w:rPr>
                      <w:rFonts w:hint="eastAsia" w:ascii="Times New Roman" w:hAnsi="Times New Roman" w:cs="Times New Roman"/>
                      <w:sz w:val="21"/>
                      <w:szCs w:val="21"/>
                      <w:lang w:val="en-US" w:eastAsia="zh-CN" w:bidi="ar-SA"/>
                    </w:rPr>
                    <w:t>）</w:t>
                  </w:r>
                </w:p>
              </w:tc>
              <w:tc>
                <w:tcPr>
                  <w:tcW w:w="1985" w:type="pct"/>
                  <w:vAlign w:val="center"/>
                </w:tcPr>
                <w:p>
                  <w:pPr>
                    <w:pStyle w:val="10"/>
                    <w:autoSpaceDE/>
                    <w:autoSpaceDN/>
                    <w:adjustRightInd/>
                    <w:spacing w:line="240" w:lineRule="auto"/>
                    <w:ind w:firstLine="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本项目属于</w:t>
                  </w:r>
                  <w:r>
                    <w:rPr>
                      <w:rFonts w:hint="default" w:ascii="Times New Roman" w:hAnsi="Times New Roman" w:cs="Times New Roman"/>
                      <w:sz w:val="21"/>
                      <w:szCs w:val="21"/>
                      <w:lang w:eastAsia="zh-CN"/>
                    </w:rPr>
                    <w:t>C2923 塑料丝、绳及编织品制造</w:t>
                  </w: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在《</w:t>
                  </w:r>
                  <w:r>
                    <w:rPr>
                      <w:rFonts w:hint="default" w:ascii="Times New Roman" w:hAnsi="Times New Roman" w:eastAsia="宋体" w:cs="Times New Roman"/>
                      <w:sz w:val="21"/>
                      <w:szCs w:val="21"/>
                      <w:lang w:val="en-US" w:eastAsia="en-US" w:bidi="ar-SA"/>
                    </w:rPr>
                    <w:t>连云港经济技术开发区产业投资项目负面清单</w:t>
                  </w:r>
                  <w:r>
                    <w:rPr>
                      <w:rFonts w:hint="eastAsia" w:ascii="Times New Roman" w:hAnsi="Times New Roman" w:cs="Times New Roman"/>
                      <w:sz w:val="21"/>
                      <w:szCs w:val="21"/>
                      <w:lang w:val="en-US" w:eastAsia="zh-CN" w:bidi="ar-SA"/>
                    </w:rPr>
                    <w:t>》中，但本项目是对现有项目进行技术改造，且不新增产能</w:t>
                  </w:r>
                </w:p>
              </w:tc>
              <w:tc>
                <w:tcPr>
                  <w:tcW w:w="516" w:type="pct"/>
                  <w:vAlign w:val="center"/>
                </w:tcPr>
                <w:p>
                  <w:pPr>
                    <w:pStyle w:val="10"/>
                    <w:autoSpaceDE/>
                    <w:autoSpaceDN/>
                    <w:adjustRightInd/>
                    <w:spacing w:line="240" w:lineRule="auto"/>
                    <w:ind w:firstLine="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相符</w:t>
                  </w:r>
                </w:p>
              </w:tc>
            </w:tr>
          </w:tbl>
          <w:p>
            <w:pPr>
              <w:spacing w:line="460" w:lineRule="exact"/>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rPr>
              <w:t>综上所述，本项目的建设符合国家及地方的产业政策。</w:t>
            </w:r>
          </w:p>
          <w:p>
            <w:pPr>
              <w:pStyle w:val="35"/>
              <w:spacing w:line="460" w:lineRule="exact"/>
              <w:jc w:val="both"/>
              <w:rPr>
                <w:rFonts w:hint="default" w:ascii="Times New Roman" w:hAnsi="Times New Roman" w:cs="Times New Roman"/>
                <w:b/>
                <w:bCs/>
                <w:sz w:val="24"/>
                <w:szCs w:val="24"/>
                <w:lang w:eastAsia="zh-CN"/>
              </w:rPr>
            </w:pPr>
            <w:r>
              <w:rPr>
                <w:rFonts w:hint="default" w:ascii="Times New Roman" w:hAnsi="Times New Roman" w:cs="Times New Roman"/>
                <w:b/>
                <w:bCs/>
                <w:sz w:val="24"/>
                <w:szCs w:val="24"/>
                <w:lang w:eastAsia="zh-CN"/>
              </w:rPr>
              <w:t>2、选址相符性分析</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本项目</w:t>
            </w:r>
            <w:r>
              <w:rPr>
                <w:rFonts w:hint="default" w:ascii="Times New Roman" w:hAnsi="Times New Roman" w:cs="Times New Roman"/>
                <w:sz w:val="24"/>
                <w:szCs w:val="24"/>
              </w:rPr>
              <w:t>位于连云港市经济技术开发区扩区，用地规划为工业用地</w:t>
            </w:r>
            <w:r>
              <w:rPr>
                <w:rFonts w:hint="default" w:ascii="Times New Roman" w:hAnsi="Times New Roman" w:cs="Times New Roman"/>
                <w:sz w:val="24"/>
                <w:szCs w:val="24"/>
                <w:lang w:eastAsia="zh-CN"/>
              </w:rPr>
              <w:t>。本项目的建设与周围的环境相容，项目卫生防护距离范围内无居民等敏感目标，且项目投入运行后，污染治理措施有效，污染物可以达标排放，本项目的建设不会改变当地周边的环境质量，因此项目选址合理。</w:t>
            </w:r>
          </w:p>
          <w:p>
            <w:pPr>
              <w:pStyle w:val="35"/>
              <w:spacing w:line="460" w:lineRule="exact"/>
              <w:jc w:val="both"/>
              <w:rPr>
                <w:rFonts w:hint="default" w:ascii="Times New Roman" w:hAnsi="Times New Roman" w:cs="Times New Roman"/>
                <w:b/>
                <w:bCs/>
                <w:sz w:val="24"/>
                <w:szCs w:val="24"/>
                <w:lang w:eastAsia="zh-CN"/>
              </w:rPr>
            </w:pPr>
            <w:r>
              <w:rPr>
                <w:rFonts w:hint="default" w:ascii="Times New Roman" w:hAnsi="Times New Roman" w:cs="Times New Roman"/>
                <w:b/>
                <w:bCs/>
                <w:sz w:val="24"/>
                <w:szCs w:val="24"/>
                <w:lang w:val="en-US" w:eastAsia="zh-CN"/>
              </w:rPr>
              <w:t>3</w:t>
            </w:r>
            <w:r>
              <w:rPr>
                <w:rFonts w:hint="default" w:ascii="Times New Roman" w:hAnsi="Times New Roman" w:cs="Times New Roman"/>
                <w:b/>
                <w:bCs/>
                <w:sz w:val="24"/>
                <w:szCs w:val="24"/>
                <w:lang w:eastAsia="zh-CN"/>
              </w:rPr>
              <w:t>、与“三线一单”相符性分析</w:t>
            </w:r>
          </w:p>
          <w:p>
            <w:pPr>
              <w:widowControl/>
              <w:spacing w:line="460" w:lineRule="exact"/>
              <w:ind w:firstLine="482" w:firstLineChars="200"/>
              <w:jc w:val="both"/>
              <w:rPr>
                <w:rFonts w:hint="default" w:ascii="Times New Roman" w:hAnsi="Times New Roman" w:cs="Times New Roman"/>
                <w:b/>
                <w:bCs/>
                <w:sz w:val="24"/>
                <w:szCs w:val="24"/>
                <w:lang w:eastAsia="zh-CN"/>
              </w:rPr>
            </w:pPr>
            <w:r>
              <w:rPr>
                <w:rFonts w:hint="default" w:ascii="Times New Roman" w:hAnsi="Times New Roman" w:cs="Times New Roman"/>
                <w:b/>
                <w:bCs/>
                <w:sz w:val="24"/>
                <w:szCs w:val="24"/>
                <w:lang w:eastAsia="zh-CN"/>
              </w:rPr>
              <w:t>（1）</w:t>
            </w:r>
            <w:r>
              <w:rPr>
                <w:rFonts w:hint="default" w:ascii="Times New Roman" w:hAnsi="Times New Roman" w:cs="Times New Roman"/>
                <w:b/>
                <w:bCs/>
                <w:sz w:val="24"/>
                <w:szCs w:val="24"/>
                <w:lang w:val="en-US" w:eastAsia="zh-CN"/>
              </w:rPr>
              <w:t>与相关生态保护红线、生态空间管控区域保护规划的相符性</w:t>
            </w:r>
          </w:p>
          <w:p>
            <w:pPr>
              <w:widowControl/>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eastAsia="zh-CN"/>
              </w:rPr>
              <w:t>根据《江苏省生态空间管控区域规划》（苏政发</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lang w:eastAsia="zh-CN"/>
              </w:rPr>
              <w:t>2020</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lang w:eastAsia="zh-CN"/>
              </w:rPr>
              <w:t>1号）和《省政府关于印发江苏省国家级生态保护红线规划的通知》（苏政发[2018]74号），与本项目距离较近的生态管控区域为连云港云台山风景名胜区，距离本项目</w:t>
            </w:r>
            <w:r>
              <w:rPr>
                <w:rFonts w:hint="default" w:ascii="Times New Roman" w:hAnsi="Times New Roman" w:cs="Times New Roman"/>
                <w:sz w:val="24"/>
                <w:szCs w:val="24"/>
                <w:lang w:val="en-US" w:eastAsia="zh-CN"/>
              </w:rPr>
              <w:t>南</w:t>
            </w:r>
            <w:r>
              <w:rPr>
                <w:rFonts w:hint="default" w:ascii="Times New Roman" w:hAnsi="Times New Roman" w:cs="Times New Roman"/>
                <w:sz w:val="24"/>
                <w:szCs w:val="24"/>
                <w:lang w:eastAsia="zh-CN"/>
              </w:rPr>
              <w:t>侧</w:t>
            </w:r>
            <w:r>
              <w:rPr>
                <w:rFonts w:hint="eastAsia" w:ascii="Times New Roman" w:hAnsi="Times New Roman" w:cs="Times New Roman"/>
                <w:sz w:val="24"/>
                <w:szCs w:val="24"/>
                <w:lang w:val="en-US" w:eastAsia="zh-CN"/>
              </w:rPr>
              <w:t>约</w:t>
            </w:r>
            <w:r>
              <w:rPr>
                <w:rFonts w:hint="default" w:ascii="Times New Roman" w:hAnsi="Times New Roman" w:cs="Times New Roman"/>
                <w:sz w:val="24"/>
                <w:szCs w:val="24"/>
                <w:lang w:eastAsia="zh-CN"/>
              </w:rPr>
              <w:t>2.54km，与本项目距离较近的国家级生态保护区为云台山国家级森林公园，距离本项目东</w:t>
            </w:r>
            <w:r>
              <w:rPr>
                <w:rFonts w:hint="default" w:ascii="Times New Roman" w:hAnsi="Times New Roman" w:cs="Times New Roman"/>
                <w:sz w:val="24"/>
                <w:szCs w:val="24"/>
                <w:lang w:val="en-US" w:eastAsia="zh-CN"/>
              </w:rPr>
              <w:t>南</w:t>
            </w:r>
            <w:r>
              <w:rPr>
                <w:rFonts w:hint="default" w:ascii="Times New Roman" w:hAnsi="Times New Roman" w:cs="Times New Roman"/>
                <w:sz w:val="24"/>
                <w:szCs w:val="24"/>
                <w:lang w:eastAsia="zh-CN"/>
              </w:rPr>
              <w:t>侧</w:t>
            </w:r>
            <w:r>
              <w:rPr>
                <w:rFonts w:hint="eastAsia" w:ascii="Times New Roman" w:hAnsi="Times New Roman" w:cs="Times New Roman"/>
                <w:sz w:val="24"/>
                <w:szCs w:val="24"/>
                <w:lang w:val="en-US" w:eastAsia="zh-CN"/>
              </w:rPr>
              <w:t>约</w:t>
            </w:r>
            <w:r>
              <w:rPr>
                <w:rFonts w:hint="default" w:ascii="Times New Roman" w:hAnsi="Times New Roman" w:cs="Times New Roman"/>
                <w:sz w:val="24"/>
                <w:szCs w:val="24"/>
                <w:lang w:eastAsia="zh-CN"/>
              </w:rPr>
              <w:t>5.23km，本项目不在生态空间管控区内。</w:t>
            </w:r>
            <w:r>
              <w:rPr>
                <w:rFonts w:hint="default" w:ascii="Times New Roman" w:hAnsi="Times New Roman" w:cs="Times New Roman"/>
                <w:sz w:val="24"/>
                <w:szCs w:val="24"/>
                <w:lang w:val="en-US" w:eastAsia="zh-CN"/>
              </w:rPr>
              <w:t>因此，项目的建设符合《省政府关于印发江苏省生态空间管控区域规划的通知》（苏政发[2020]1 号）、《江苏省国家级生 态保护红线规划》（苏政发[2018]74 号）的要求。</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val="en-US" w:eastAsia="zh-CN"/>
              </w:rPr>
              <w:t>距离本项目较近的生态红线区域见表 1-3，生态红线区域分布图</w:t>
            </w:r>
            <w:r>
              <w:rPr>
                <w:rFonts w:hint="default" w:ascii="Times New Roman" w:hAnsi="Times New Roman" w:cs="Times New Roman"/>
                <w:sz w:val="24"/>
                <w:szCs w:val="24"/>
                <w:lang w:eastAsia="zh-CN"/>
              </w:rPr>
              <w:t>详见附图4。</w:t>
            </w:r>
          </w:p>
          <w:p>
            <w:pPr>
              <w:spacing w:line="460" w:lineRule="exact"/>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表1-</w:t>
            </w:r>
            <w:r>
              <w:rPr>
                <w:rFonts w:hint="default" w:ascii="Times New Roman" w:hAnsi="Times New Roman" w:cs="Times New Roman"/>
                <w:b/>
                <w:bCs/>
                <w:sz w:val="21"/>
                <w:szCs w:val="21"/>
                <w:lang w:val="en-US" w:eastAsia="zh-CN"/>
              </w:rPr>
              <w:t>3</w:t>
            </w:r>
            <w:r>
              <w:rPr>
                <w:rFonts w:hint="default" w:ascii="Times New Roman" w:hAnsi="Times New Roman" w:cs="Times New Roman"/>
                <w:b/>
                <w:bCs/>
                <w:sz w:val="21"/>
                <w:szCs w:val="21"/>
                <w:lang w:eastAsia="zh-CN"/>
              </w:rPr>
              <w:t xml:space="preserve">  项目附近生态空间保护区域规划范围</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2"/>
              <w:gridCol w:w="555"/>
              <w:gridCol w:w="1515"/>
              <w:gridCol w:w="2422"/>
              <w:gridCol w:w="878"/>
              <w:gridCol w:w="733"/>
              <w:gridCol w:w="689"/>
              <w:gridCol w:w="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5" w:hRule="atLeast"/>
              </w:trPr>
              <w:tc>
                <w:tcPr>
                  <w:tcW w:w="649" w:type="pct"/>
                  <w:vMerge w:val="restart"/>
                  <w:vAlign w:val="center"/>
                </w:tcPr>
                <w:p>
                  <w:pPr>
                    <w:widowControl/>
                    <w:adjustRightInd w:val="0"/>
                    <w:snapToGrid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生态空间保护区域</w:t>
                  </w:r>
                </w:p>
                <w:p>
                  <w:pPr>
                    <w:widowControl/>
                    <w:adjustRightInd w:val="0"/>
                    <w:snapToGrid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名称</w:t>
                  </w:r>
                </w:p>
              </w:tc>
              <w:tc>
                <w:tcPr>
                  <w:tcW w:w="318" w:type="pct"/>
                  <w:vMerge w:val="restart"/>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主导</w:t>
                  </w:r>
                </w:p>
                <w:p>
                  <w:pPr>
                    <w:widowControl/>
                    <w:adjustRightInd w:val="0"/>
                    <w:snapToGrid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生态</w:t>
                  </w:r>
                </w:p>
                <w:p>
                  <w:pPr>
                    <w:widowControl/>
                    <w:adjustRightInd w:val="0"/>
                    <w:snapToGrid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功能</w:t>
                  </w:r>
                </w:p>
              </w:tc>
              <w:tc>
                <w:tcPr>
                  <w:tcW w:w="2257" w:type="pct"/>
                  <w:gridSpan w:val="2"/>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保护区范围</w:t>
                  </w:r>
                </w:p>
              </w:tc>
              <w:tc>
                <w:tcPr>
                  <w:tcW w:w="1318" w:type="pct"/>
                  <w:gridSpan w:val="3"/>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b/>
                      <w:bCs/>
                      <w:sz w:val="21"/>
                      <w:szCs w:val="21"/>
                    </w:rPr>
                  </w:pPr>
                  <w:r>
                    <w:rPr>
                      <w:rFonts w:hint="default" w:ascii="Times New Roman" w:hAnsi="Times New Roman" w:cs="Times New Roman"/>
                      <w:b/>
                      <w:bCs/>
                      <w:sz w:val="21"/>
                      <w:szCs w:val="21"/>
                    </w:rPr>
                    <w:t>面积（平方公里）</w:t>
                  </w:r>
                </w:p>
              </w:tc>
              <w:tc>
                <w:tcPr>
                  <w:tcW w:w="456" w:type="pct"/>
                  <w:vMerge w:val="restart"/>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val="en-US" w:eastAsia="zh-CN"/>
                    </w:rPr>
                    <w:t>距本项</w:t>
                  </w:r>
                </w:p>
                <w:p>
                  <w:pPr>
                    <w:widowControl/>
                    <w:adjustRightInd w:val="0"/>
                    <w:snapToGrid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val="en-US" w:eastAsia="zh-CN"/>
                    </w:rPr>
                    <w:t>目最近</w:t>
                  </w:r>
                </w:p>
                <w:p>
                  <w:pPr>
                    <w:widowControl/>
                    <w:adjustRightInd w:val="0"/>
                    <w:snapToGrid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val="en-US" w:eastAsia="zh-CN"/>
                    </w:rPr>
                    <w:t>距离</w:t>
                  </w:r>
                </w:p>
                <w:p>
                  <w:pPr>
                    <w:widowControl/>
                    <w:adjustRightInd w:val="0"/>
                    <w:snapToGrid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val="en-US" w:eastAsia="zh-CN"/>
                    </w:rPr>
                    <w:t>(km)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0" w:hRule="atLeast"/>
              </w:trPr>
              <w:tc>
                <w:tcPr>
                  <w:tcW w:w="649" w:type="pct"/>
                  <w:vMerge w:val="continue"/>
                  <w:vAlign w:val="center"/>
                </w:tcPr>
                <w:p>
                  <w:pPr>
                    <w:widowControl/>
                    <w:jc w:val="center"/>
                    <w:rPr>
                      <w:rFonts w:hint="default" w:ascii="Times New Roman" w:hAnsi="Times New Roman" w:cs="Times New Roman"/>
                      <w:sz w:val="21"/>
                      <w:szCs w:val="21"/>
                    </w:rPr>
                  </w:pPr>
                </w:p>
              </w:tc>
              <w:tc>
                <w:tcPr>
                  <w:tcW w:w="318" w:type="pct"/>
                  <w:vMerge w:val="continue"/>
                  <w:vAlign w:val="center"/>
                </w:tcPr>
                <w:p>
                  <w:pPr>
                    <w:widowControl/>
                    <w:jc w:val="center"/>
                    <w:rPr>
                      <w:rFonts w:hint="default" w:ascii="Times New Roman" w:hAnsi="Times New Roman" w:cs="Times New Roman"/>
                      <w:sz w:val="21"/>
                      <w:szCs w:val="21"/>
                    </w:rPr>
                  </w:pPr>
                </w:p>
              </w:tc>
              <w:tc>
                <w:tcPr>
                  <w:tcW w:w="868" w:type="pct"/>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国家级生态保护红线范围</w:t>
                  </w:r>
                </w:p>
              </w:tc>
              <w:tc>
                <w:tcPr>
                  <w:tcW w:w="1388" w:type="pct"/>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生态空间管控区域范围</w:t>
                  </w:r>
                </w:p>
              </w:tc>
              <w:tc>
                <w:tcPr>
                  <w:tcW w:w="503" w:type="pct"/>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国家级生态保护红线范围</w:t>
                  </w:r>
                </w:p>
              </w:tc>
              <w:tc>
                <w:tcPr>
                  <w:tcW w:w="420" w:type="pct"/>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生态空间管控区域</w:t>
                  </w:r>
                </w:p>
                <w:p>
                  <w:pPr>
                    <w:widowControl/>
                    <w:adjustRightInd w:val="0"/>
                    <w:snapToGrid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范围</w:t>
                  </w:r>
                </w:p>
              </w:tc>
              <w:tc>
                <w:tcPr>
                  <w:tcW w:w="395" w:type="pct"/>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总面积</w:t>
                  </w:r>
                </w:p>
              </w:tc>
              <w:tc>
                <w:tcPr>
                  <w:tcW w:w="456" w:type="pct"/>
                  <w:vMerge w:val="continue"/>
                  <w:tcMar>
                    <w:top w:w="0" w:type="dxa"/>
                    <w:left w:w="28" w:type="dxa"/>
                    <w:bottom w:w="0" w:type="dxa"/>
                    <w:right w:w="28" w:type="dxa"/>
                  </w:tcMar>
                  <w:vAlign w:val="center"/>
                </w:tcPr>
                <w:p>
                  <w:pPr>
                    <w:widowControl/>
                    <w:adjustRightInd w:val="0"/>
                    <w:snapToGrid w:val="0"/>
                    <w:jc w:val="center"/>
                    <w:rPr>
                      <w:rFonts w:hint="default" w:ascii="Times New Roman" w:hAnsi="Times New Roman" w:cs="Times New Roman"/>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15" w:hRule="atLeast"/>
              </w:trPr>
              <w:tc>
                <w:tcPr>
                  <w:tcW w:w="649" w:type="pct"/>
                  <w:vAlign w:val="center"/>
                </w:tcPr>
                <w:p>
                  <w:pPr>
                    <w:keepNext w:val="0"/>
                    <w:keepLines w:val="0"/>
                    <w:widowControl/>
                    <w:suppressLineNumbers w:val="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连云港云台山风景名胜区</w:t>
                  </w:r>
                </w:p>
              </w:tc>
              <w:tc>
                <w:tcPr>
                  <w:tcW w:w="318" w:type="pct"/>
                  <w:tcMar>
                    <w:top w:w="0" w:type="dxa"/>
                    <w:left w:w="28" w:type="dxa"/>
                    <w:bottom w:w="0" w:type="dxa"/>
                    <w:right w:w="28" w:type="dxa"/>
                  </w:tcMar>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自然与人</w:t>
                  </w:r>
                </w:p>
                <w:p>
                  <w:pPr>
                    <w:keepNext w:val="0"/>
                    <w:keepLines w:val="0"/>
                    <w:widowControl/>
                    <w:suppressLineNumbers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文景观保 护</w:t>
                  </w:r>
                </w:p>
              </w:tc>
              <w:tc>
                <w:tcPr>
                  <w:tcW w:w="868" w:type="pct"/>
                  <w:tcMar>
                    <w:top w:w="0" w:type="dxa"/>
                    <w:left w:w="28" w:type="dxa"/>
                    <w:bottom w:w="0" w:type="dxa"/>
                    <w:right w:w="28" w:type="dxa"/>
                  </w:tcMar>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c>
                <w:tcPr>
                  <w:tcW w:w="1388" w:type="pct"/>
                  <w:tcMar>
                    <w:top w:w="0" w:type="dxa"/>
                    <w:left w:w="28" w:type="dxa"/>
                    <w:bottom w:w="0" w:type="dxa"/>
                    <w:right w:w="28" w:type="dxa"/>
                  </w:tcMar>
                  <w:vAlign w:val="center"/>
                </w:tcPr>
                <w:p>
                  <w:pPr>
                    <w:keepNext w:val="0"/>
                    <w:keepLines w:val="0"/>
                    <w:widowControl/>
                    <w:suppressLineNumbers w:val="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包括云台山森林自然保护区，风景区其他部分（包括锦屏山及白虎山、前云台山、中云台山、后云台山、北固山及竹岛、连岛及前三岛、其他海域等七部分）。含云台山森林自然保护区、连云港云台山国家森林公园、锦屏山省级森林公园、北固山森林公园、连云港花果山省级森林公园</w:t>
                  </w:r>
                </w:p>
              </w:tc>
              <w:tc>
                <w:tcPr>
                  <w:tcW w:w="503" w:type="pct"/>
                  <w:tcMar>
                    <w:top w:w="0" w:type="dxa"/>
                    <w:left w:w="28" w:type="dxa"/>
                    <w:bottom w:w="0" w:type="dxa"/>
                    <w:right w:w="28" w:type="dxa"/>
                  </w:tcMar>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c>
                <w:tcPr>
                  <w:tcW w:w="420" w:type="pct"/>
                  <w:tcMar>
                    <w:top w:w="0" w:type="dxa"/>
                    <w:left w:w="28" w:type="dxa"/>
                    <w:bottom w:w="0" w:type="dxa"/>
                    <w:right w:w="28" w:type="dxa"/>
                  </w:tcMar>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167.38（含</w:t>
                  </w:r>
                </w:p>
                <w:p>
                  <w:pPr>
                    <w:keepNext w:val="0"/>
                    <w:keepLines w:val="0"/>
                    <w:widowControl/>
                    <w:suppressLineNumbers w:val="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海域）</w:t>
                  </w:r>
                </w:p>
              </w:tc>
              <w:tc>
                <w:tcPr>
                  <w:tcW w:w="395" w:type="pct"/>
                  <w:tcMar>
                    <w:top w:w="0" w:type="dxa"/>
                    <w:left w:w="28" w:type="dxa"/>
                    <w:bottom w:w="0" w:type="dxa"/>
                    <w:right w:w="28" w:type="dxa"/>
                  </w:tcMar>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167.38（含</w:t>
                  </w:r>
                </w:p>
                <w:p>
                  <w:pPr>
                    <w:keepNext w:val="0"/>
                    <w:keepLines w:val="0"/>
                    <w:widowControl/>
                    <w:suppressLineNumbers w:val="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海域）</w:t>
                  </w:r>
                </w:p>
              </w:tc>
              <w:tc>
                <w:tcPr>
                  <w:tcW w:w="456" w:type="pct"/>
                  <w:tcMar>
                    <w:top w:w="0" w:type="dxa"/>
                    <w:left w:w="28" w:type="dxa"/>
                    <w:bottom w:w="0" w:type="dxa"/>
                    <w:right w:w="28" w:type="dxa"/>
                  </w:tcMar>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S</w:t>
                  </w:r>
                </w:p>
                <w:p>
                  <w:pPr>
                    <w:pStyle w:val="28"/>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43" w:hRule="atLeast"/>
              </w:trPr>
              <w:tc>
                <w:tcPr>
                  <w:tcW w:w="649"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云台山国家级森林公园</w:t>
                  </w:r>
                </w:p>
              </w:tc>
              <w:tc>
                <w:tcPr>
                  <w:tcW w:w="318" w:type="pct"/>
                  <w:tcMar>
                    <w:top w:w="0" w:type="dxa"/>
                    <w:left w:w="28" w:type="dxa"/>
                    <w:bottom w:w="0" w:type="dxa"/>
                    <w:right w:w="28" w:type="dxa"/>
                  </w:tcMar>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自然与人</w:t>
                  </w:r>
                </w:p>
                <w:p>
                  <w:pPr>
                    <w:keepNext w:val="0"/>
                    <w:keepLines w:val="0"/>
                    <w:widowControl/>
                    <w:suppressLineNumbers w:val="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文景观保 护</w:t>
                  </w:r>
                </w:p>
              </w:tc>
              <w:tc>
                <w:tcPr>
                  <w:tcW w:w="868" w:type="pct"/>
                  <w:tcMar>
                    <w:top w:w="0" w:type="dxa"/>
                    <w:left w:w="28" w:type="dxa"/>
                    <w:bottom w:w="0" w:type="dxa"/>
                    <w:right w:w="28" w:type="dxa"/>
                  </w:tcMar>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云台山国家级森林公园总体规划中</w:t>
                  </w:r>
                </w:p>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确定的范围（包含生态保育区和核</w:t>
                  </w:r>
                </w:p>
                <w:p>
                  <w:pPr>
                    <w:keepNext w:val="0"/>
                    <w:keepLines w:val="0"/>
                    <w:widowControl/>
                    <w:suppressLineNumbers w:val="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心景观区等）</w:t>
                  </w:r>
                </w:p>
              </w:tc>
              <w:tc>
                <w:tcPr>
                  <w:tcW w:w="1388" w:type="pct"/>
                  <w:tcMar>
                    <w:top w:w="0" w:type="dxa"/>
                    <w:left w:w="28" w:type="dxa"/>
                    <w:bottom w:w="0" w:type="dxa"/>
                    <w:right w:w="28" w:type="dxa"/>
                  </w:tcMar>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w:t>
                  </w:r>
                </w:p>
              </w:tc>
              <w:tc>
                <w:tcPr>
                  <w:tcW w:w="503" w:type="pct"/>
                  <w:tcMar>
                    <w:top w:w="0" w:type="dxa"/>
                    <w:left w:w="28" w:type="dxa"/>
                    <w:bottom w:w="0" w:type="dxa"/>
                    <w:right w:w="28" w:type="dxa"/>
                  </w:tcMar>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20.00</w:t>
                  </w:r>
                </w:p>
              </w:tc>
              <w:tc>
                <w:tcPr>
                  <w:tcW w:w="420" w:type="pct"/>
                  <w:tcMar>
                    <w:top w:w="0" w:type="dxa"/>
                    <w:left w:w="28" w:type="dxa"/>
                    <w:bottom w:w="0" w:type="dxa"/>
                    <w:right w:w="28" w:type="dxa"/>
                  </w:tcMar>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w:t>
                  </w:r>
                </w:p>
              </w:tc>
              <w:tc>
                <w:tcPr>
                  <w:tcW w:w="395" w:type="pct"/>
                  <w:tcMar>
                    <w:top w:w="0" w:type="dxa"/>
                    <w:left w:w="28" w:type="dxa"/>
                    <w:bottom w:w="0" w:type="dxa"/>
                    <w:right w:w="28" w:type="dxa"/>
                  </w:tcMar>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20</w:t>
                  </w:r>
                  <w:r>
                    <w:rPr>
                      <w:rFonts w:hint="default" w:ascii="Times New Roman" w:hAnsi="Times New Roman" w:cs="Times New Roman"/>
                      <w:sz w:val="21"/>
                      <w:szCs w:val="21"/>
                      <w:lang w:eastAsia="zh-CN"/>
                    </w:rPr>
                    <w:t>.00</w:t>
                  </w:r>
                </w:p>
              </w:tc>
              <w:tc>
                <w:tcPr>
                  <w:tcW w:w="456" w:type="pct"/>
                  <w:tcMar>
                    <w:top w:w="0" w:type="dxa"/>
                    <w:left w:w="28" w:type="dxa"/>
                    <w:bottom w:w="0" w:type="dxa"/>
                    <w:right w:w="28" w:type="dxa"/>
                  </w:tcMar>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SE</w:t>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5.23</w:t>
                  </w:r>
                </w:p>
              </w:tc>
            </w:tr>
          </w:tbl>
          <w:p>
            <w:pPr>
              <w:widowControl/>
              <w:spacing w:line="460" w:lineRule="exact"/>
              <w:ind w:firstLine="482" w:firstLineChars="200"/>
              <w:jc w:val="both"/>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eastAsia="zh-CN"/>
              </w:rPr>
              <w:t>（2）</w:t>
            </w:r>
            <w:r>
              <w:rPr>
                <w:rFonts w:hint="default" w:ascii="Times New Roman" w:hAnsi="Times New Roman" w:cs="Times New Roman"/>
                <w:b/>
                <w:bCs/>
                <w:sz w:val="24"/>
                <w:szCs w:val="24"/>
                <w:lang w:val="en-US" w:eastAsia="zh-CN"/>
              </w:rPr>
              <w:t>与</w:t>
            </w:r>
            <w:r>
              <w:rPr>
                <w:rFonts w:hint="default" w:ascii="Times New Roman" w:hAnsi="Times New Roman" w:cs="Times New Roman"/>
                <w:b/>
                <w:bCs/>
                <w:sz w:val="24"/>
                <w:szCs w:val="24"/>
                <w:lang w:eastAsia="zh-CN"/>
              </w:rPr>
              <w:t>环境质量底线</w:t>
            </w:r>
            <w:r>
              <w:rPr>
                <w:rFonts w:hint="default" w:ascii="Times New Roman" w:hAnsi="Times New Roman" w:cs="Times New Roman"/>
                <w:b/>
                <w:bCs/>
                <w:sz w:val="24"/>
                <w:szCs w:val="24"/>
                <w:lang w:val="en-US" w:eastAsia="zh-CN"/>
              </w:rPr>
              <w:t>相符性</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val="en-US" w:eastAsia="zh-CN"/>
              </w:rPr>
              <w:t>《国家发展改革委等 9 部委印发&lt;关于加强资源环境生态红线管控的指导意见&gt;的通知》（发改环资[2016]1162 号）中明确提出了“环境质量底线”管控内涵及指标设置要求，本环评对照该文件进行符合性分析，具体分析结果见表 1-4所示。</w:t>
            </w:r>
          </w:p>
          <w:p>
            <w:pPr>
              <w:spacing w:line="460" w:lineRule="exact"/>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val="en-US" w:eastAsia="zh-CN"/>
              </w:rPr>
              <w:t>表 1-4 项目与当地环境质量底线的相符性分析表</w:t>
            </w:r>
          </w:p>
          <w:tbl>
            <w:tblPr>
              <w:tblStyle w:val="23"/>
              <w:tblW w:w="493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01"/>
              <w:gridCol w:w="3200"/>
              <w:gridCol w:w="3754"/>
              <w:gridCol w:w="75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23" w:type="pct"/>
                  <w:tcBorders>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b/>
                      <w:bCs/>
                      <w:sz w:val="21"/>
                      <w:szCs w:val="21"/>
                    </w:rPr>
                  </w:pPr>
                  <w:r>
                    <w:rPr>
                      <w:rFonts w:hint="default" w:ascii="Times New Roman" w:hAnsi="Times New Roman" w:cs="Times New Roman"/>
                      <w:b/>
                      <w:bCs/>
                      <w:sz w:val="21"/>
                      <w:szCs w:val="21"/>
                    </w:rPr>
                    <w:t>指标设置</w:t>
                  </w:r>
                </w:p>
              </w:tc>
              <w:tc>
                <w:tcPr>
                  <w:tcW w:w="1858" w:type="pct"/>
                  <w:tcBorders>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b/>
                      <w:bCs/>
                      <w:sz w:val="21"/>
                      <w:szCs w:val="21"/>
                    </w:rPr>
                  </w:pPr>
                  <w:r>
                    <w:rPr>
                      <w:rFonts w:hint="default" w:ascii="Times New Roman" w:hAnsi="Times New Roman" w:cs="Times New Roman"/>
                      <w:b/>
                      <w:bCs/>
                      <w:sz w:val="21"/>
                      <w:szCs w:val="21"/>
                    </w:rPr>
                    <w:t>管控要求</w:t>
                  </w:r>
                </w:p>
              </w:tc>
              <w:tc>
                <w:tcPr>
                  <w:tcW w:w="2180" w:type="pct"/>
                  <w:tcBorders>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b/>
                      <w:bCs/>
                      <w:sz w:val="21"/>
                      <w:szCs w:val="21"/>
                    </w:rPr>
                  </w:pPr>
                  <w:r>
                    <w:rPr>
                      <w:rFonts w:hint="default" w:ascii="Times New Roman" w:hAnsi="Times New Roman" w:cs="Times New Roman"/>
                      <w:b/>
                      <w:bCs/>
                      <w:sz w:val="21"/>
                      <w:szCs w:val="21"/>
                    </w:rPr>
                    <w:t>本项目情况</w:t>
                  </w:r>
                </w:p>
              </w:tc>
              <w:tc>
                <w:tcPr>
                  <w:tcW w:w="437" w:type="pct"/>
                  <w:tcBorders>
                    <w:left w:val="single" w:color="000000" w:sz="6" w:space="0"/>
                    <w:bottom w:val="single" w:color="000000" w:sz="6" w:space="0"/>
                  </w:tcBorders>
                  <w:vAlign w:val="center"/>
                </w:tcPr>
                <w:p>
                  <w:pPr>
                    <w:spacing w:line="280" w:lineRule="exact"/>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相符性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23" w:type="pct"/>
                  <w:tcBorders>
                    <w:top w:val="single" w:color="000000" w:sz="6" w:space="0"/>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rPr>
                    <w:t>大气环境质量</w:t>
                  </w:r>
                </w:p>
              </w:tc>
              <w:tc>
                <w:tcPr>
                  <w:tcW w:w="1858" w:type="pct"/>
                  <w:tcBorders>
                    <w:top w:val="single" w:color="000000" w:sz="6" w:space="0"/>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以 达 到 《 环 境 空 气 质 量 标 准 》(GB3095-2012)为主要目标，与《大气污染防治行动计划》相衔接，地区和区域大气环境质量不低于现状，向更好转变。 </w:t>
                  </w:r>
                </w:p>
                <w:p>
                  <w:pPr>
                    <w:spacing w:line="280" w:lineRule="exact"/>
                    <w:jc w:val="center"/>
                    <w:rPr>
                      <w:rFonts w:hint="default" w:ascii="Times New Roman" w:hAnsi="Times New Roman" w:cs="Times New Roman"/>
                      <w:sz w:val="21"/>
                      <w:szCs w:val="21"/>
                    </w:rPr>
                  </w:pPr>
                </w:p>
              </w:tc>
              <w:tc>
                <w:tcPr>
                  <w:tcW w:w="2180" w:type="pct"/>
                  <w:tcBorders>
                    <w:top w:val="single" w:color="000000" w:sz="6" w:space="0"/>
                    <w:left w:val="single" w:color="000000" w:sz="6" w:space="0"/>
                    <w:bottom w:val="single" w:color="000000" w:sz="6" w:space="0"/>
                    <w:right w:val="single" w:color="000000" w:sz="6" w:space="0"/>
                  </w:tcBorders>
                  <w:vAlign w:val="center"/>
                </w:tcPr>
                <w:p>
                  <w:pPr>
                    <w:spacing w:line="280" w:lineRule="exact"/>
                    <w:jc w:val="both"/>
                    <w:rPr>
                      <w:rFonts w:hint="default" w:ascii="Times New Roman" w:hAnsi="Times New Roman" w:cs="Times New Roman"/>
                      <w:sz w:val="21"/>
                      <w:szCs w:val="21"/>
                    </w:rPr>
                  </w:pPr>
                  <w:r>
                    <w:rPr>
                      <w:rFonts w:hint="default" w:ascii="Times New Roman" w:hAnsi="Times New Roman" w:cs="Times New Roman"/>
                      <w:sz w:val="21"/>
                      <w:szCs w:val="21"/>
                      <w:lang w:val="en-US" w:eastAsia="zh-CN"/>
                    </w:rPr>
                    <w:t>根据《2022年度连云港市生态环境质量状况公报》，2022年市区环境空气二氧化硫、二氧化氮、可吸入颗粒物（PM</w:t>
                  </w:r>
                  <w:r>
                    <w:rPr>
                      <w:rFonts w:hint="default" w:ascii="Times New Roman" w:hAnsi="Times New Roman" w:cs="Times New Roman"/>
                      <w:sz w:val="21"/>
                      <w:szCs w:val="21"/>
                      <w:vertAlign w:val="subscript"/>
                      <w:lang w:val="en-US" w:eastAsia="zh-CN"/>
                    </w:rPr>
                    <w:t>10</w:t>
                  </w:r>
                  <w:r>
                    <w:rPr>
                      <w:rFonts w:hint="default" w:ascii="Times New Roman" w:hAnsi="Times New Roman" w:cs="Times New Roman"/>
                      <w:sz w:val="21"/>
                      <w:szCs w:val="21"/>
                      <w:lang w:val="en-US" w:eastAsia="zh-CN"/>
                    </w:rPr>
                    <w:t>） 和细颗粒物（PM</w:t>
                  </w:r>
                  <w:r>
                    <w:rPr>
                      <w:rFonts w:hint="default" w:ascii="Times New Roman" w:hAnsi="Times New Roman" w:cs="Times New Roman"/>
                      <w:sz w:val="21"/>
                      <w:szCs w:val="21"/>
                      <w:vertAlign w:val="subscript"/>
                      <w:lang w:val="en-US" w:eastAsia="zh-CN"/>
                    </w:rPr>
                    <w:t>2.5</w:t>
                  </w:r>
                  <w:r>
                    <w:rPr>
                      <w:rFonts w:hint="default" w:ascii="Times New Roman" w:hAnsi="Times New Roman" w:cs="Times New Roman"/>
                      <w:sz w:val="21"/>
                      <w:szCs w:val="21"/>
                      <w:lang w:val="en-US" w:eastAsia="zh-CN"/>
                    </w:rPr>
                    <w:t>）的年均浓度分别为 7 微克/立方米、22 微克/立方米、54 微克/立方米和 30 微克/立方米，同比下降 30.0%、18.5%、5.3%、6.2%；臭氧日最大 8 小时均值第 90 百分位浓度为 159 微克/立方米，同比上升 6.0%；一氧化碳日均值第 95 百分位浓度为 0.9 毫克/立方米，同比下降 18.2%。二氧化硫、二氧化氮、可吸入颗粒物（PM</w:t>
                  </w:r>
                  <w:r>
                    <w:rPr>
                      <w:rFonts w:hint="default" w:ascii="Times New Roman" w:hAnsi="Times New Roman" w:cs="Times New Roman"/>
                      <w:sz w:val="21"/>
                      <w:szCs w:val="21"/>
                      <w:vertAlign w:val="subscript"/>
                      <w:lang w:val="en-US" w:eastAsia="zh-CN"/>
                    </w:rPr>
                    <w:t>10</w:t>
                  </w:r>
                  <w:r>
                    <w:rPr>
                      <w:rFonts w:hint="default" w:ascii="Times New Roman" w:hAnsi="Times New Roman" w:cs="Times New Roman"/>
                      <w:sz w:val="21"/>
                      <w:szCs w:val="21"/>
                      <w:lang w:val="en-US" w:eastAsia="zh-CN"/>
                    </w:rPr>
                    <w:t>）、细颗粒物（PM</w:t>
                  </w:r>
                  <w:r>
                    <w:rPr>
                      <w:rFonts w:hint="default" w:ascii="Times New Roman" w:hAnsi="Times New Roman" w:cs="Times New Roman"/>
                      <w:sz w:val="21"/>
                      <w:szCs w:val="21"/>
                      <w:vertAlign w:val="subscript"/>
                      <w:lang w:val="en-US" w:eastAsia="zh-CN"/>
                    </w:rPr>
                    <w:t>2.5</w:t>
                  </w:r>
                  <w:r>
                    <w:rPr>
                      <w:rFonts w:hint="default" w:ascii="Times New Roman" w:hAnsi="Times New Roman" w:cs="Times New Roman"/>
                      <w:sz w:val="21"/>
                      <w:szCs w:val="21"/>
                      <w:lang w:val="en-US" w:eastAsia="zh-CN"/>
                    </w:rPr>
                    <w:t>）年平均浓度和 CO 日均值的第 95 百分位浓度、臭氧 8 小时第 90 百分位浓度 6 项指标全部达到《环境空气质量标准》（GB3095-2012）二级标准要求。</w:t>
                  </w:r>
                </w:p>
              </w:tc>
              <w:tc>
                <w:tcPr>
                  <w:tcW w:w="437" w:type="pct"/>
                  <w:tcBorders>
                    <w:top w:val="single" w:color="000000" w:sz="6" w:space="0"/>
                    <w:left w:val="single" w:color="000000" w:sz="6" w:space="0"/>
                    <w:bottom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23" w:type="pct"/>
                  <w:tcBorders>
                    <w:top w:val="single" w:color="000000" w:sz="6" w:space="0"/>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rPr>
                    <w:t>水环境质量</w:t>
                  </w:r>
                </w:p>
              </w:tc>
              <w:tc>
                <w:tcPr>
                  <w:tcW w:w="1858" w:type="pct"/>
                  <w:tcBorders>
                    <w:top w:val="single" w:color="000000" w:sz="6" w:space="0"/>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以水环境质量持续改善为目标，与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《水污染防治行动计划》、《国务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院关于实行最严格水资源管理制度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的意见》相衔接，各地区、各流域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水质优良比例不低于现状，向更好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转变。 </w:t>
                  </w:r>
                </w:p>
              </w:tc>
              <w:tc>
                <w:tcPr>
                  <w:tcW w:w="2180" w:type="pct"/>
                  <w:tcBorders>
                    <w:top w:val="single" w:color="000000" w:sz="6" w:space="0"/>
                    <w:left w:val="single" w:color="000000" w:sz="6" w:space="0"/>
                    <w:bottom w:val="single" w:color="000000" w:sz="6" w:space="0"/>
                    <w:right w:val="single" w:color="000000" w:sz="6" w:space="0"/>
                  </w:tcBorders>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lang w:val="en-US" w:eastAsia="zh-CN"/>
                    </w:rPr>
                    <w:t>本项目相关的水体是运盐河和排淡河，</w:t>
                  </w:r>
                  <w:r>
                    <w:rPr>
                      <w:rFonts w:hint="default" w:ascii="Times New Roman" w:hAnsi="Times New Roman" w:cs="Times New Roman"/>
                      <w:sz w:val="21"/>
                      <w:szCs w:val="21"/>
                    </w:rPr>
                    <w:t>地表水根据连云港市生态环境局发布的《202</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年</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月连云港市水环境质量状况》，</w:t>
                  </w:r>
                  <w:r>
                    <w:rPr>
                      <w:rFonts w:hint="default" w:ascii="Times New Roman" w:hAnsi="Times New Roman" w:cs="Times New Roman"/>
                      <w:sz w:val="21"/>
                      <w:szCs w:val="21"/>
                      <w:lang w:val="en-US" w:eastAsia="zh-CN"/>
                    </w:rPr>
                    <w:t>排淡河（大板跳闸断面）2023年5月</w:t>
                  </w:r>
                  <w:r>
                    <w:rPr>
                      <w:rFonts w:hint="default" w:ascii="Times New Roman" w:hAnsi="Times New Roman" w:cs="Times New Roman"/>
                      <w:sz w:val="21"/>
                      <w:szCs w:val="21"/>
                    </w:rPr>
                    <w:t>水质类别</w:t>
                  </w:r>
                  <w:r>
                    <w:rPr>
                      <w:rFonts w:hint="default" w:ascii="Times New Roman" w:hAnsi="Times New Roman" w:cs="Times New Roman"/>
                      <w:sz w:val="21"/>
                      <w:szCs w:val="21"/>
                      <w:lang w:val="en-US" w:eastAsia="zh-CN"/>
                    </w:rPr>
                    <w:t>可</w:t>
                  </w:r>
                  <w:r>
                    <w:rPr>
                      <w:rFonts w:hint="default" w:ascii="Times New Roman" w:hAnsi="Times New Roman" w:cs="Times New Roman"/>
                      <w:sz w:val="21"/>
                      <w:szCs w:val="21"/>
                    </w:rPr>
                    <w:t>达到《地表水环境质量标准》（GB3838-2002）Ⅲ类水标准。</w:t>
                  </w:r>
                </w:p>
              </w:tc>
              <w:tc>
                <w:tcPr>
                  <w:tcW w:w="437" w:type="pct"/>
                  <w:tcBorders>
                    <w:top w:val="single" w:color="000000" w:sz="6" w:space="0"/>
                    <w:left w:val="single" w:color="000000" w:sz="6" w:space="0"/>
                    <w:bottom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23" w:type="pct"/>
                  <w:tcBorders>
                    <w:top w:val="single" w:color="000000" w:sz="6" w:space="0"/>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土壤环境</w:t>
                  </w:r>
                  <w:r>
                    <w:rPr>
                      <w:rFonts w:hint="default" w:ascii="Times New Roman" w:hAnsi="Times New Roman" w:cs="Times New Roman"/>
                      <w:sz w:val="21"/>
                      <w:szCs w:val="21"/>
                      <w:lang w:val="en-US" w:eastAsia="zh-CN"/>
                    </w:rPr>
                    <w:t>质量</w:t>
                  </w:r>
                </w:p>
              </w:tc>
              <w:tc>
                <w:tcPr>
                  <w:tcW w:w="1858" w:type="pct"/>
                  <w:tcBorders>
                    <w:top w:val="single" w:color="000000" w:sz="6" w:space="0"/>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以农用地土壤镉(Cd)、汞(Hg)、砷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(As)、铅(Pb)、铬(Cr)等重金属和多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环芳烃、石油烃等有机污染物含量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为主要指标，设置农用地土壤环境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质量底线指标，与国家有关土壤污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染防治计划规划相衔接，各地区农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用地土壤环境质量达标率不低于现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状，向更好转变。条件成熟地区，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应将城市、工矿等污染地块环境质 </w:t>
                  </w:r>
                </w:p>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量纳入底线管理。 </w:t>
                  </w:r>
                </w:p>
              </w:tc>
              <w:tc>
                <w:tcPr>
                  <w:tcW w:w="2180" w:type="pct"/>
                  <w:tcBorders>
                    <w:top w:val="single" w:color="000000" w:sz="6" w:space="0"/>
                    <w:left w:val="single" w:color="000000" w:sz="6" w:space="0"/>
                    <w:bottom w:val="single" w:color="000000" w:sz="6" w:space="0"/>
                    <w:right w:val="single" w:color="000000" w:sz="6" w:space="0"/>
                  </w:tcBorders>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本项目</w:t>
                  </w:r>
                  <w:r>
                    <w:rPr>
                      <w:rFonts w:hint="default" w:ascii="Times New Roman" w:hAnsi="Times New Roman" w:cs="Times New Roman"/>
                      <w:sz w:val="21"/>
                      <w:szCs w:val="21"/>
                      <w:lang w:val="en-US" w:eastAsia="zh-CN"/>
                    </w:rPr>
                    <w:t>租赁</w:t>
                  </w:r>
                  <w:r>
                    <w:rPr>
                      <w:rFonts w:hint="default" w:ascii="Times New Roman" w:hAnsi="Times New Roman" w:cs="Times New Roman"/>
                      <w:sz w:val="21"/>
                      <w:szCs w:val="21"/>
                    </w:rPr>
                    <w:t>现有</w:t>
                  </w:r>
                  <w:r>
                    <w:rPr>
                      <w:rFonts w:hint="default" w:ascii="Times New Roman" w:hAnsi="Times New Roman" w:cs="Times New Roman"/>
                      <w:sz w:val="21"/>
                      <w:szCs w:val="21"/>
                      <w:lang w:val="en-US" w:eastAsia="zh-CN"/>
                    </w:rPr>
                    <w:t>厂房</w:t>
                  </w:r>
                  <w:r>
                    <w:rPr>
                      <w:rFonts w:hint="default" w:ascii="Times New Roman" w:hAnsi="Times New Roman" w:cs="Times New Roman"/>
                      <w:sz w:val="21"/>
                      <w:szCs w:val="21"/>
                    </w:rPr>
                    <w:t>，所在地不涉及农用地土壤环境，同时，正常生产情况下，本项目不涉及重金属、多环芳烃、石油烃等土壤污染物的排放，项目实施后不会改变土壤环境功能类别。</w:t>
                  </w:r>
                </w:p>
              </w:tc>
              <w:tc>
                <w:tcPr>
                  <w:tcW w:w="437" w:type="pct"/>
                  <w:tcBorders>
                    <w:top w:val="single" w:color="000000" w:sz="6" w:space="0"/>
                    <w:left w:val="single" w:color="000000" w:sz="6" w:space="0"/>
                    <w:bottom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bl>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根据《关于印发连云港市环境质量底线管理办法（试行）的通知》（连政办发</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lang w:eastAsia="zh-CN"/>
              </w:rPr>
              <w:t>2018</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lang w:eastAsia="zh-CN"/>
              </w:rPr>
              <w:t>38号）要求，分析本项目与该文的相符性，具体分析结果见表1-</w:t>
            </w:r>
            <w:r>
              <w:rPr>
                <w:rFonts w:hint="default" w:ascii="Times New Roman" w:hAnsi="Times New Roman" w:cs="Times New Roman"/>
                <w:sz w:val="24"/>
                <w:szCs w:val="24"/>
                <w:lang w:val="en-US" w:eastAsia="zh-CN"/>
              </w:rPr>
              <w:t>5</w:t>
            </w:r>
            <w:r>
              <w:rPr>
                <w:rFonts w:hint="default" w:ascii="Times New Roman" w:hAnsi="Times New Roman" w:cs="Times New Roman"/>
                <w:sz w:val="24"/>
                <w:szCs w:val="24"/>
                <w:lang w:eastAsia="zh-CN"/>
              </w:rPr>
              <w:t>。</w:t>
            </w:r>
          </w:p>
          <w:p>
            <w:pPr>
              <w:spacing w:line="460" w:lineRule="exact"/>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表1-</w:t>
            </w:r>
            <w:r>
              <w:rPr>
                <w:rFonts w:hint="default" w:ascii="Times New Roman" w:hAnsi="Times New Roman" w:cs="Times New Roman"/>
                <w:b/>
                <w:bCs/>
                <w:sz w:val="21"/>
                <w:szCs w:val="21"/>
                <w:lang w:val="en-US" w:eastAsia="zh-CN"/>
              </w:rPr>
              <w:t xml:space="preserve">5 </w:t>
            </w:r>
            <w:r>
              <w:rPr>
                <w:rFonts w:hint="default" w:ascii="Times New Roman" w:hAnsi="Times New Roman" w:cs="Times New Roman"/>
                <w:b/>
                <w:bCs/>
                <w:sz w:val="21"/>
                <w:szCs w:val="21"/>
                <w:lang w:eastAsia="zh-CN"/>
              </w:rPr>
              <w:t>与当地环境质量底线相符性分析表</w:t>
            </w:r>
          </w:p>
          <w:tbl>
            <w:tblPr>
              <w:tblStyle w:val="23"/>
              <w:tblW w:w="860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01"/>
              <w:gridCol w:w="3200"/>
              <w:gridCol w:w="3754"/>
              <w:gridCol w:w="75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23" w:type="pct"/>
                  <w:tcBorders>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b/>
                      <w:bCs/>
                      <w:sz w:val="21"/>
                      <w:szCs w:val="21"/>
                    </w:rPr>
                  </w:pPr>
                  <w:r>
                    <w:rPr>
                      <w:rFonts w:hint="default" w:ascii="Times New Roman" w:hAnsi="Times New Roman" w:cs="Times New Roman"/>
                      <w:b/>
                      <w:bCs/>
                      <w:sz w:val="21"/>
                      <w:szCs w:val="21"/>
                    </w:rPr>
                    <w:t>指标设置</w:t>
                  </w:r>
                </w:p>
              </w:tc>
              <w:tc>
                <w:tcPr>
                  <w:tcW w:w="1858" w:type="pct"/>
                  <w:tcBorders>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b/>
                      <w:bCs/>
                      <w:sz w:val="21"/>
                      <w:szCs w:val="21"/>
                    </w:rPr>
                  </w:pPr>
                  <w:r>
                    <w:rPr>
                      <w:rFonts w:hint="default" w:ascii="Times New Roman" w:hAnsi="Times New Roman" w:cs="Times New Roman"/>
                      <w:b/>
                      <w:bCs/>
                      <w:sz w:val="21"/>
                      <w:szCs w:val="21"/>
                    </w:rPr>
                    <w:t>管控要求</w:t>
                  </w:r>
                </w:p>
              </w:tc>
              <w:tc>
                <w:tcPr>
                  <w:tcW w:w="2180" w:type="pct"/>
                  <w:tcBorders>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b/>
                      <w:bCs/>
                      <w:sz w:val="21"/>
                      <w:szCs w:val="21"/>
                    </w:rPr>
                  </w:pPr>
                  <w:r>
                    <w:rPr>
                      <w:rFonts w:hint="default" w:ascii="Times New Roman" w:hAnsi="Times New Roman" w:cs="Times New Roman"/>
                      <w:b/>
                      <w:bCs/>
                      <w:sz w:val="21"/>
                      <w:szCs w:val="21"/>
                    </w:rPr>
                    <w:t>本项目情况</w:t>
                  </w:r>
                </w:p>
              </w:tc>
              <w:tc>
                <w:tcPr>
                  <w:tcW w:w="437" w:type="pct"/>
                  <w:tcBorders>
                    <w:left w:val="single" w:color="000000" w:sz="6" w:space="0"/>
                    <w:bottom w:val="single" w:color="000000" w:sz="6" w:space="0"/>
                  </w:tcBorders>
                  <w:vAlign w:val="center"/>
                </w:tcPr>
                <w:p>
                  <w:pPr>
                    <w:spacing w:line="280" w:lineRule="exact"/>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相符性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23" w:type="pct"/>
                  <w:tcBorders>
                    <w:top w:val="single" w:color="000000" w:sz="6" w:space="0"/>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rPr>
                    <w:t>大气环境质量管控要求</w:t>
                  </w:r>
                </w:p>
              </w:tc>
              <w:tc>
                <w:tcPr>
                  <w:tcW w:w="1858" w:type="pct"/>
                  <w:tcBorders>
                    <w:top w:val="single" w:color="000000" w:sz="6" w:space="0"/>
                    <w:left w:val="single" w:color="000000" w:sz="6" w:space="0"/>
                    <w:bottom w:val="single" w:color="000000" w:sz="6" w:space="0"/>
                    <w:right w:val="single" w:color="000000" w:sz="6" w:space="0"/>
                  </w:tcBorders>
                  <w:vAlign w:val="center"/>
                </w:tcPr>
                <w:p>
                  <w:pPr>
                    <w:jc w:val="left"/>
                    <w:rPr>
                      <w:rFonts w:hint="default" w:ascii="Times New Roman" w:hAnsi="Times New Roman" w:cs="Times New Roman"/>
                      <w:sz w:val="21"/>
                      <w:szCs w:val="21"/>
                    </w:rPr>
                  </w:pPr>
                  <w:r>
                    <w:rPr>
                      <w:rFonts w:hint="default" w:ascii="Times New Roman" w:hAnsi="Times New Roman" w:cs="Times New Roman"/>
                      <w:sz w:val="21"/>
                      <w:szCs w:val="21"/>
                    </w:rPr>
                    <w:t>到2030年，我市PM</w:t>
                  </w:r>
                  <w:r>
                    <w:rPr>
                      <w:rFonts w:hint="default" w:ascii="Times New Roman" w:hAnsi="Times New Roman" w:cs="Times New Roman"/>
                      <w:sz w:val="21"/>
                      <w:szCs w:val="21"/>
                      <w:vertAlign w:val="subscript"/>
                    </w:rPr>
                    <w:t>2.5</w:t>
                  </w:r>
                  <w:r>
                    <w:rPr>
                      <w:rFonts w:hint="default" w:ascii="Times New Roman" w:hAnsi="Times New Roman" w:cs="Times New Roman"/>
                      <w:sz w:val="21"/>
                      <w:szCs w:val="21"/>
                    </w:rPr>
                    <w:t>浓度稳定达到二级标准要求。主要污染物总量减排目标： 2030年，大气环境污染物排放总量（不含船舶）SO2控制在2.6万吨，NOx控制在4.4万吨，一次PM2.5控制在1.6万吨，VOCs控制在6.1万吨。</w:t>
                  </w:r>
                </w:p>
              </w:tc>
              <w:tc>
                <w:tcPr>
                  <w:tcW w:w="2180" w:type="pct"/>
                  <w:tcBorders>
                    <w:top w:val="single" w:color="000000" w:sz="6" w:space="0"/>
                    <w:left w:val="single" w:color="000000" w:sz="6" w:space="0"/>
                    <w:bottom w:val="single" w:color="000000" w:sz="6" w:space="0"/>
                    <w:right w:val="single" w:color="000000" w:sz="6" w:space="0"/>
                  </w:tcBorders>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lang w:val="en-US" w:eastAsia="zh-CN"/>
                    </w:rPr>
                    <w:t>根据《2022年度连云港市生态环境质量状况公报》，2022年市区环境空气二氧化硫、二氧化氮、可吸入颗粒物（PM</w:t>
                  </w:r>
                  <w:r>
                    <w:rPr>
                      <w:rFonts w:hint="default" w:ascii="Times New Roman" w:hAnsi="Times New Roman" w:cs="Times New Roman"/>
                      <w:sz w:val="21"/>
                      <w:szCs w:val="21"/>
                      <w:vertAlign w:val="subscript"/>
                      <w:lang w:val="en-US" w:eastAsia="zh-CN"/>
                    </w:rPr>
                    <w:t>10</w:t>
                  </w:r>
                  <w:r>
                    <w:rPr>
                      <w:rFonts w:hint="default" w:ascii="Times New Roman" w:hAnsi="Times New Roman" w:cs="Times New Roman"/>
                      <w:sz w:val="21"/>
                      <w:szCs w:val="21"/>
                      <w:lang w:val="en-US" w:eastAsia="zh-CN"/>
                    </w:rPr>
                    <w:t>） 和细颗粒物（PM</w:t>
                  </w:r>
                  <w:r>
                    <w:rPr>
                      <w:rFonts w:hint="default" w:ascii="Times New Roman" w:hAnsi="Times New Roman" w:cs="Times New Roman"/>
                      <w:sz w:val="21"/>
                      <w:szCs w:val="21"/>
                      <w:vertAlign w:val="subscript"/>
                      <w:lang w:val="en-US" w:eastAsia="zh-CN"/>
                    </w:rPr>
                    <w:t>2.5</w:t>
                  </w:r>
                  <w:r>
                    <w:rPr>
                      <w:rFonts w:hint="default" w:ascii="Times New Roman" w:hAnsi="Times New Roman" w:cs="Times New Roman"/>
                      <w:sz w:val="21"/>
                      <w:szCs w:val="21"/>
                      <w:lang w:val="en-US" w:eastAsia="zh-CN"/>
                    </w:rPr>
                    <w:t>）的年均浓度分别为 7 微克/立方米、22 微克/立方米、54 微克/立方米和 30 微克/立方米，同比下降 30.0%、18.5%、5.3%、6.2%；臭氧日最大 8 小时均值第 90 百分位浓度为 159 微克/立方米，同比上升 6.0%；一氧化碳日均值第 95 百分位浓度为 0.9 毫克/立方米，同比下降 18.2%。二氧化硫、二氧化氮、可吸入颗粒物（PM</w:t>
                  </w:r>
                  <w:r>
                    <w:rPr>
                      <w:rFonts w:hint="default" w:ascii="Times New Roman" w:hAnsi="Times New Roman" w:cs="Times New Roman"/>
                      <w:sz w:val="21"/>
                      <w:szCs w:val="21"/>
                      <w:vertAlign w:val="subscript"/>
                      <w:lang w:val="en-US" w:eastAsia="zh-CN"/>
                    </w:rPr>
                    <w:t>10</w:t>
                  </w:r>
                  <w:r>
                    <w:rPr>
                      <w:rFonts w:hint="default" w:ascii="Times New Roman" w:hAnsi="Times New Roman" w:cs="Times New Roman"/>
                      <w:sz w:val="21"/>
                      <w:szCs w:val="21"/>
                      <w:lang w:val="en-US" w:eastAsia="zh-CN"/>
                    </w:rPr>
                    <w:t>）、细颗粒物（PM</w:t>
                  </w:r>
                  <w:r>
                    <w:rPr>
                      <w:rFonts w:hint="default" w:ascii="Times New Roman" w:hAnsi="Times New Roman" w:cs="Times New Roman"/>
                      <w:sz w:val="21"/>
                      <w:szCs w:val="21"/>
                      <w:vertAlign w:val="subscript"/>
                      <w:lang w:val="en-US" w:eastAsia="zh-CN"/>
                    </w:rPr>
                    <w:t>2.5</w:t>
                  </w:r>
                  <w:r>
                    <w:rPr>
                      <w:rFonts w:hint="default" w:ascii="Times New Roman" w:hAnsi="Times New Roman" w:cs="Times New Roman"/>
                      <w:sz w:val="21"/>
                      <w:szCs w:val="21"/>
                      <w:lang w:val="en-US" w:eastAsia="zh-CN"/>
                    </w:rPr>
                    <w:t>）年平均浓度和 CO 日均值的第 95 百分位浓度、臭氧 8 小时第 90 百分位浓度 6 项指标全部达到《环境空气质量标准》（GB3095-2012）二级标准要求。</w:t>
                  </w:r>
                </w:p>
              </w:tc>
              <w:tc>
                <w:tcPr>
                  <w:tcW w:w="437" w:type="pct"/>
                  <w:tcBorders>
                    <w:top w:val="single" w:color="000000" w:sz="6" w:space="0"/>
                    <w:left w:val="single" w:color="000000" w:sz="6" w:space="0"/>
                    <w:bottom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23" w:type="pct"/>
                  <w:tcBorders>
                    <w:top w:val="single" w:color="000000" w:sz="6" w:space="0"/>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rPr>
                    <w:t>水环境质量管控要求</w:t>
                  </w:r>
                </w:p>
              </w:tc>
              <w:tc>
                <w:tcPr>
                  <w:tcW w:w="1858" w:type="pct"/>
                  <w:tcBorders>
                    <w:top w:val="single" w:color="000000" w:sz="6" w:space="0"/>
                    <w:left w:val="single" w:color="000000" w:sz="6" w:space="0"/>
                    <w:bottom w:val="single" w:color="000000" w:sz="6" w:space="0"/>
                    <w:right w:val="single" w:color="000000" w:sz="6" w:space="0"/>
                  </w:tcBorders>
                  <w:vAlign w:val="center"/>
                </w:tcPr>
                <w:p>
                  <w:pPr>
                    <w:jc w:val="left"/>
                    <w:rPr>
                      <w:rFonts w:hint="default" w:ascii="Times New Roman" w:hAnsi="Times New Roman" w:cs="Times New Roman"/>
                      <w:sz w:val="21"/>
                      <w:szCs w:val="21"/>
                    </w:rPr>
                  </w:pPr>
                  <w:r>
                    <w:rPr>
                      <w:rFonts w:hint="default" w:ascii="Times New Roman" w:hAnsi="Times New Roman" w:cs="Times New Roman"/>
                      <w:sz w:val="21"/>
                      <w:szCs w:val="21"/>
                    </w:rPr>
                    <w:t>到2030年，地表水省级以上考核断面水质优良（达到或优于Ⅲ类）比例达到77.3%以上，县级以上集中式饮用水水源水质达到或优于Ⅲ类比例保持100%，水生态系统功能基本恢复。2030年全市COD控制在15.61万吨,氨氮控制在1.03万吨。</w:t>
                  </w:r>
                </w:p>
              </w:tc>
              <w:tc>
                <w:tcPr>
                  <w:tcW w:w="2180" w:type="pct"/>
                  <w:tcBorders>
                    <w:top w:val="single" w:color="000000" w:sz="6" w:space="0"/>
                    <w:left w:val="single" w:color="000000" w:sz="6" w:space="0"/>
                    <w:bottom w:val="single" w:color="000000" w:sz="6" w:space="0"/>
                    <w:right w:val="single" w:color="000000" w:sz="6" w:space="0"/>
                  </w:tcBorders>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lang w:val="en-US" w:eastAsia="zh-CN"/>
                    </w:rPr>
                    <w:t>本项目相关的水体是运盐河和排淡河，</w:t>
                  </w:r>
                  <w:r>
                    <w:rPr>
                      <w:rFonts w:hint="default" w:ascii="Times New Roman" w:hAnsi="Times New Roman" w:cs="Times New Roman"/>
                      <w:sz w:val="21"/>
                      <w:szCs w:val="21"/>
                    </w:rPr>
                    <w:t>地表水根据连云港市生态环境局发布的《202</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年</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月连云港市水环境质量状况》，</w:t>
                  </w:r>
                  <w:r>
                    <w:rPr>
                      <w:rFonts w:hint="default" w:ascii="Times New Roman" w:hAnsi="Times New Roman" w:cs="Times New Roman"/>
                      <w:sz w:val="21"/>
                      <w:szCs w:val="21"/>
                      <w:lang w:val="en-US" w:eastAsia="zh-CN"/>
                    </w:rPr>
                    <w:t>排淡河（大板跳闸断面）2023年5月</w:t>
                  </w:r>
                  <w:r>
                    <w:rPr>
                      <w:rFonts w:hint="default" w:ascii="Times New Roman" w:hAnsi="Times New Roman" w:cs="Times New Roman"/>
                      <w:sz w:val="21"/>
                      <w:szCs w:val="21"/>
                    </w:rPr>
                    <w:t>水质类别</w:t>
                  </w:r>
                  <w:r>
                    <w:rPr>
                      <w:rFonts w:hint="default" w:ascii="Times New Roman" w:hAnsi="Times New Roman" w:cs="Times New Roman"/>
                      <w:sz w:val="21"/>
                      <w:szCs w:val="21"/>
                      <w:lang w:val="en-US" w:eastAsia="zh-CN"/>
                    </w:rPr>
                    <w:t>可</w:t>
                  </w:r>
                  <w:r>
                    <w:rPr>
                      <w:rFonts w:hint="default" w:ascii="Times New Roman" w:hAnsi="Times New Roman" w:cs="Times New Roman"/>
                      <w:sz w:val="21"/>
                      <w:szCs w:val="21"/>
                    </w:rPr>
                    <w:t>达到《地表水环境质量标准》（GB3838-2002）Ⅲ类水标准。</w:t>
                  </w:r>
                </w:p>
              </w:tc>
              <w:tc>
                <w:tcPr>
                  <w:tcW w:w="437" w:type="pct"/>
                  <w:tcBorders>
                    <w:top w:val="single" w:color="000000" w:sz="6" w:space="0"/>
                    <w:left w:val="single" w:color="000000" w:sz="6" w:space="0"/>
                    <w:bottom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23" w:type="pct"/>
                  <w:tcBorders>
                    <w:top w:val="single" w:color="000000" w:sz="6" w:space="0"/>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rPr>
                    <w:t>土壤环境质量管控要求</w:t>
                  </w:r>
                </w:p>
              </w:tc>
              <w:tc>
                <w:tcPr>
                  <w:tcW w:w="1858" w:type="pct"/>
                  <w:tcBorders>
                    <w:top w:val="single" w:color="000000" w:sz="6" w:space="0"/>
                    <w:left w:val="single" w:color="000000" w:sz="6" w:space="0"/>
                    <w:bottom w:val="single" w:color="000000" w:sz="6" w:space="0"/>
                    <w:right w:val="single" w:color="000000" w:sz="6" w:space="0"/>
                  </w:tcBorders>
                  <w:vAlign w:val="center"/>
                </w:tcPr>
                <w:p>
                  <w:pPr>
                    <w:jc w:val="left"/>
                    <w:rPr>
                      <w:rFonts w:hint="default" w:ascii="Times New Roman" w:hAnsi="Times New Roman" w:cs="Times New Roman"/>
                      <w:sz w:val="21"/>
                      <w:szCs w:val="21"/>
                    </w:rPr>
                  </w:pPr>
                  <w:r>
                    <w:rPr>
                      <w:rFonts w:hint="default" w:ascii="Times New Roman" w:hAnsi="Times New Roman" w:cs="Times New Roman"/>
                      <w:sz w:val="21"/>
                      <w:szCs w:val="21"/>
                    </w:rPr>
                    <w:t>利用国土、农业、环保等部门的土壤环境监测调查数据，结合土壤污染状况详查，确定土壤环境风险重点管控区域和管控要求。</w:t>
                  </w:r>
                </w:p>
              </w:tc>
              <w:tc>
                <w:tcPr>
                  <w:tcW w:w="2180" w:type="pct"/>
                  <w:tcBorders>
                    <w:top w:val="single" w:color="000000" w:sz="6" w:space="0"/>
                    <w:left w:val="single" w:color="000000" w:sz="6" w:space="0"/>
                    <w:bottom w:val="single" w:color="000000" w:sz="6" w:space="0"/>
                    <w:right w:val="single" w:color="000000" w:sz="6" w:space="0"/>
                  </w:tcBorders>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本项目</w:t>
                  </w:r>
                  <w:r>
                    <w:rPr>
                      <w:rFonts w:hint="default" w:ascii="Times New Roman" w:hAnsi="Times New Roman" w:cs="Times New Roman"/>
                      <w:sz w:val="21"/>
                      <w:szCs w:val="21"/>
                      <w:lang w:val="en-US" w:eastAsia="zh-CN"/>
                    </w:rPr>
                    <w:t>租赁</w:t>
                  </w:r>
                  <w:r>
                    <w:rPr>
                      <w:rFonts w:hint="default" w:ascii="Times New Roman" w:hAnsi="Times New Roman" w:cs="Times New Roman"/>
                      <w:sz w:val="21"/>
                      <w:szCs w:val="21"/>
                    </w:rPr>
                    <w:t>现有</w:t>
                  </w:r>
                  <w:r>
                    <w:rPr>
                      <w:rFonts w:hint="default" w:ascii="Times New Roman" w:hAnsi="Times New Roman" w:cs="Times New Roman"/>
                      <w:sz w:val="21"/>
                      <w:szCs w:val="21"/>
                      <w:lang w:val="en-US" w:eastAsia="zh-CN"/>
                    </w:rPr>
                    <w:t>厂房</w:t>
                  </w:r>
                  <w:r>
                    <w:rPr>
                      <w:rFonts w:hint="default" w:ascii="Times New Roman" w:hAnsi="Times New Roman" w:cs="Times New Roman"/>
                      <w:sz w:val="21"/>
                      <w:szCs w:val="21"/>
                    </w:rPr>
                    <w:t>，所在地不涉及农用地土壤环境，同时，正常生产情况下，本项目不涉及重金属、多环芳烃、石油烃等土壤污染物的排放，项目实施后不会改变土壤环境功能类别。</w:t>
                  </w:r>
                </w:p>
              </w:tc>
              <w:tc>
                <w:tcPr>
                  <w:tcW w:w="437" w:type="pct"/>
                  <w:tcBorders>
                    <w:top w:val="single" w:color="000000" w:sz="6" w:space="0"/>
                    <w:left w:val="single" w:color="000000" w:sz="6" w:space="0"/>
                    <w:bottom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523" w:type="pct"/>
                  <w:tcBorders>
                    <w:top w:val="single" w:color="000000" w:sz="6" w:space="0"/>
                    <w:left w:val="single" w:color="000000" w:sz="6" w:space="0"/>
                    <w:bottom w:val="single" w:color="000000" w:sz="6" w:space="0"/>
                    <w:right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rPr>
                    <w:t>管理与实施</w:t>
                  </w:r>
                </w:p>
              </w:tc>
              <w:tc>
                <w:tcPr>
                  <w:tcW w:w="1858" w:type="pct"/>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sz w:val="21"/>
                      <w:szCs w:val="21"/>
                    </w:rPr>
                  </w:pPr>
                  <w:r>
                    <w:rPr>
                      <w:rFonts w:hint="default" w:ascii="Times New Roman" w:hAnsi="Times New Roman" w:cs="Times New Roman"/>
                      <w:sz w:val="21"/>
                      <w:szCs w:val="21"/>
                    </w:rPr>
                    <w:t>第七条：实行严格的小流域控制断面水质与建设项目新增排污指标挂钩制度。全市新建排放化学需氧量（COD）、氨氮（NH</w:t>
                  </w:r>
                  <w:r>
                    <w:rPr>
                      <w:rFonts w:hint="default" w:ascii="Times New Roman" w:hAnsi="Times New Roman" w:cs="Times New Roman"/>
                      <w:sz w:val="21"/>
                      <w:szCs w:val="21"/>
                      <w:vertAlign w:val="subscript"/>
                    </w:rPr>
                    <w:t>3</w:t>
                  </w:r>
                  <w:r>
                    <w:rPr>
                      <w:rFonts w:hint="default" w:ascii="Times New Roman" w:hAnsi="Times New Roman" w:cs="Times New Roman"/>
                      <w:sz w:val="21"/>
                      <w:szCs w:val="21"/>
                    </w:rPr>
                    <w:t>-N）、总磷（TP）、总氮（TN）主要水污染物的项目，控制断面水质指标为Ⅲ类水及以上的，其控制单元内行政区域新增建设项目水污染指标按1倍削减量替代；控制断面水质属于Ⅳ或Ⅴ类的，其控制单元内行政区域新增建设项目水污染指标按1.5倍削减量替代；控制断面水质与上年相比下降或属于劣Ⅴ类的，其控制单元内行政区域原则上不得新增主要水污染物指标，属市重大项目的，水污染指标按2倍削减量替代。</w:t>
                  </w:r>
                </w:p>
                <w:p>
                  <w:pPr>
                    <w:rPr>
                      <w:rFonts w:hint="default" w:ascii="Times New Roman" w:hAnsi="Times New Roman" w:cs="Times New Roman"/>
                      <w:sz w:val="21"/>
                      <w:szCs w:val="21"/>
                    </w:rPr>
                  </w:pPr>
                  <w:r>
                    <w:rPr>
                      <w:rFonts w:hint="default" w:ascii="Times New Roman" w:hAnsi="Times New Roman" w:cs="Times New Roman"/>
                      <w:sz w:val="21"/>
                      <w:szCs w:val="21"/>
                    </w:rPr>
                    <w:t>第八条：全市新建排放二氧化硫、氮氧化物、工业烟粉尘、挥发性有机物的项目及通过排污权交易形式获得的排污指标实行现役源2倍削减替代。火电机组“可替代总量指标”原则上不得用于其他行业建设项目。涉及丙烯、甲苯、苯、对二甲苯、间二甲苯、乙苯、正庚烷、正己烷、邻二甲苯、苯乙烯、1,2,4-三甲苯、环己烷、4-乙基甲苯、1,3,5-三甲苯等我市14种主要臭氧前驱物新建项目的，应实施主要臭氧前驱物2倍削减替代（市重大项目除外），主要臭氧前驱物有变化时，以市环保局公布的名单为准。</w:t>
                  </w:r>
                </w:p>
              </w:tc>
              <w:tc>
                <w:tcPr>
                  <w:tcW w:w="2180" w:type="pct"/>
                  <w:tcBorders>
                    <w:top w:val="single" w:color="000000" w:sz="6" w:space="0"/>
                    <w:left w:val="single" w:color="000000" w:sz="6" w:space="0"/>
                    <w:bottom w:val="single" w:color="000000" w:sz="6" w:space="0"/>
                    <w:right w:val="single" w:color="000000" w:sz="6" w:space="0"/>
                  </w:tcBorders>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本项目建成后，全厂</w:t>
                  </w:r>
                  <w:r>
                    <w:rPr>
                      <w:rFonts w:hint="default" w:ascii="Times New Roman" w:hAnsi="Times New Roman" w:cs="Times New Roman"/>
                      <w:sz w:val="21"/>
                      <w:szCs w:val="21"/>
                      <w:lang w:val="en-US" w:eastAsia="zh-CN"/>
                    </w:rPr>
                    <w:t>排放的</w:t>
                  </w:r>
                  <w:r>
                    <w:rPr>
                      <w:rFonts w:hint="eastAsia" w:ascii="Times New Roman" w:hAnsi="Times New Roman" w:cs="Times New Roman"/>
                      <w:sz w:val="21"/>
                      <w:szCs w:val="21"/>
                      <w:lang w:val="en-US" w:eastAsia="zh-CN"/>
                    </w:rPr>
                    <w:t>废气</w:t>
                  </w:r>
                  <w:r>
                    <w:rPr>
                      <w:rFonts w:hint="default" w:ascii="Times New Roman" w:hAnsi="Times New Roman" w:cs="Times New Roman"/>
                      <w:sz w:val="21"/>
                      <w:szCs w:val="21"/>
                    </w:rPr>
                    <w:t>污染物主要</w:t>
                  </w:r>
                  <w:r>
                    <w:rPr>
                      <w:rFonts w:hint="default" w:ascii="Times New Roman" w:hAnsi="Times New Roman" w:cs="Times New Roman"/>
                      <w:sz w:val="21"/>
                      <w:szCs w:val="21"/>
                      <w:lang w:val="en-US" w:eastAsia="zh-CN"/>
                    </w:rPr>
                    <w:t>有非甲烷总烃</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不新增水污染物，</w:t>
                  </w:r>
                  <w:r>
                    <w:rPr>
                      <w:rFonts w:hint="default" w:ascii="Times New Roman" w:hAnsi="Times New Roman" w:cs="Times New Roman"/>
                      <w:sz w:val="21"/>
                      <w:szCs w:val="21"/>
                    </w:rPr>
                    <w:t>新增的</w:t>
                  </w:r>
                  <w:r>
                    <w:rPr>
                      <w:rFonts w:hint="default" w:ascii="Times New Roman" w:hAnsi="Times New Roman" w:cs="Times New Roman"/>
                      <w:sz w:val="21"/>
                      <w:szCs w:val="21"/>
                      <w:lang w:val="en-US" w:eastAsia="zh-CN"/>
                    </w:rPr>
                    <w:t>污染物排放</w:t>
                  </w:r>
                  <w:r>
                    <w:rPr>
                      <w:rFonts w:hint="default" w:ascii="Times New Roman" w:hAnsi="Times New Roman" w:cs="Times New Roman"/>
                      <w:sz w:val="21"/>
                      <w:szCs w:val="21"/>
                    </w:rPr>
                    <w:t>总量</w:t>
                  </w:r>
                  <w:r>
                    <w:rPr>
                      <w:rFonts w:hint="default" w:ascii="Times New Roman" w:hAnsi="Times New Roman" w:cs="Times New Roman"/>
                      <w:sz w:val="21"/>
                      <w:szCs w:val="21"/>
                      <w:lang w:val="en-US" w:eastAsia="zh-CN"/>
                    </w:rPr>
                    <w:t>在开发区</w:t>
                  </w:r>
                  <w:r>
                    <w:rPr>
                      <w:rFonts w:hint="default" w:ascii="Times New Roman" w:hAnsi="Times New Roman" w:cs="Times New Roman"/>
                      <w:sz w:val="21"/>
                      <w:szCs w:val="21"/>
                    </w:rPr>
                    <w:t>区域内平衡。</w:t>
                  </w:r>
                </w:p>
              </w:tc>
              <w:tc>
                <w:tcPr>
                  <w:tcW w:w="437" w:type="pct"/>
                  <w:tcBorders>
                    <w:top w:val="single" w:color="000000" w:sz="6" w:space="0"/>
                    <w:left w:val="single" w:color="000000" w:sz="6" w:space="0"/>
                    <w:bottom w:val="single" w:color="000000" w:sz="6" w:space="0"/>
                  </w:tcBorders>
                  <w:vAlign w:val="center"/>
                </w:tcPr>
                <w:p>
                  <w:pPr>
                    <w:spacing w:line="280" w:lineRule="exact"/>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bl>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综上所述，本项目与当地环境质量底线要求相符。</w:t>
            </w:r>
          </w:p>
          <w:p>
            <w:pPr>
              <w:spacing w:line="460" w:lineRule="exact"/>
              <w:ind w:firstLine="482" w:firstLineChars="200"/>
              <w:jc w:val="both"/>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eastAsia="zh-CN"/>
              </w:rPr>
              <w:t>（3）</w:t>
            </w:r>
            <w:r>
              <w:rPr>
                <w:rFonts w:hint="default" w:ascii="Times New Roman" w:hAnsi="Times New Roman" w:cs="Times New Roman"/>
                <w:b/>
                <w:bCs/>
                <w:sz w:val="24"/>
                <w:szCs w:val="24"/>
                <w:lang w:val="en-US" w:eastAsia="zh-CN"/>
              </w:rPr>
              <w:t>与</w:t>
            </w:r>
            <w:r>
              <w:rPr>
                <w:rFonts w:hint="default" w:ascii="Times New Roman" w:hAnsi="Times New Roman" w:cs="Times New Roman"/>
                <w:b/>
                <w:bCs/>
                <w:sz w:val="24"/>
                <w:szCs w:val="24"/>
                <w:lang w:eastAsia="zh-CN"/>
              </w:rPr>
              <w:t>资源利用上线</w:t>
            </w:r>
            <w:r>
              <w:rPr>
                <w:rFonts w:hint="default" w:ascii="Times New Roman" w:hAnsi="Times New Roman" w:cs="Times New Roman"/>
                <w:b/>
                <w:bCs/>
                <w:sz w:val="24"/>
                <w:szCs w:val="24"/>
                <w:lang w:val="en-US" w:eastAsia="zh-CN"/>
              </w:rPr>
              <w:t>相符性</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根据《连云港市战略环境评价报告》（上报稿，2016年10月）中“5.3严控资源消耗上线”内容，其明确提出了“资源消耗上</w:t>
            </w:r>
            <w:r>
              <w:rPr>
                <w:rFonts w:hint="eastAsia" w:ascii="Times New Roman" w:hAnsi="Times New Roman" w:cs="Times New Roman"/>
                <w:sz w:val="24"/>
                <w:szCs w:val="24"/>
                <w:lang w:val="en-US" w:eastAsia="zh-CN"/>
              </w:rPr>
              <w:t>线</w:t>
            </w:r>
            <w:r>
              <w:rPr>
                <w:rFonts w:hint="default" w:ascii="Times New Roman" w:hAnsi="Times New Roman" w:cs="Times New Roman"/>
                <w:sz w:val="24"/>
                <w:szCs w:val="24"/>
                <w:lang w:eastAsia="zh-CN"/>
              </w:rPr>
              <w:t>”管控内涵及指标设置要求，本评价对照该文件进行相符性分析，具体分析结果见表1-</w:t>
            </w:r>
            <w:r>
              <w:rPr>
                <w:rFonts w:hint="eastAsia" w:ascii="Times New Roman" w:hAnsi="Times New Roman" w:cs="Times New Roman"/>
                <w:sz w:val="24"/>
                <w:szCs w:val="24"/>
                <w:lang w:val="en-US" w:eastAsia="zh-CN"/>
              </w:rPr>
              <w:t>6</w:t>
            </w:r>
            <w:r>
              <w:rPr>
                <w:rFonts w:hint="default" w:ascii="Times New Roman" w:hAnsi="Times New Roman" w:cs="Times New Roman"/>
                <w:sz w:val="24"/>
                <w:szCs w:val="24"/>
                <w:lang w:eastAsia="zh-CN"/>
              </w:rPr>
              <w:t>。</w:t>
            </w:r>
          </w:p>
          <w:p>
            <w:pPr>
              <w:spacing w:line="460" w:lineRule="exact"/>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表1-</w:t>
            </w:r>
            <w:r>
              <w:rPr>
                <w:rFonts w:hint="eastAsia" w:ascii="Times New Roman" w:hAnsi="Times New Roman" w:cs="Times New Roman"/>
                <w:b/>
                <w:bCs/>
                <w:sz w:val="21"/>
                <w:szCs w:val="21"/>
                <w:lang w:val="en-US" w:eastAsia="zh-CN"/>
              </w:rPr>
              <w:t xml:space="preserve">6  </w:t>
            </w:r>
            <w:r>
              <w:rPr>
                <w:rFonts w:hint="default" w:ascii="Times New Roman" w:hAnsi="Times New Roman" w:cs="Times New Roman"/>
                <w:b/>
                <w:bCs/>
                <w:sz w:val="21"/>
                <w:szCs w:val="21"/>
                <w:lang w:eastAsia="zh-CN"/>
              </w:rPr>
              <w:t>与当地资源消耗上</w:t>
            </w:r>
            <w:r>
              <w:rPr>
                <w:rFonts w:hint="eastAsia" w:ascii="Times New Roman" w:hAnsi="Times New Roman" w:cs="Times New Roman"/>
                <w:b/>
                <w:bCs/>
                <w:sz w:val="21"/>
                <w:szCs w:val="21"/>
                <w:lang w:val="en-US" w:eastAsia="zh-CN"/>
              </w:rPr>
              <w:t>线</w:t>
            </w:r>
            <w:r>
              <w:rPr>
                <w:rFonts w:hint="default" w:ascii="Times New Roman" w:hAnsi="Times New Roman" w:cs="Times New Roman"/>
                <w:b/>
                <w:bCs/>
                <w:sz w:val="21"/>
                <w:szCs w:val="21"/>
                <w:lang w:eastAsia="zh-CN"/>
              </w:rPr>
              <w:t>符合性分析表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8"/>
              <w:gridCol w:w="4596"/>
              <w:gridCol w:w="2612"/>
              <w:gridCol w:w="7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blHeader/>
                <w:jc w:val="center"/>
              </w:trPr>
              <w:tc>
                <w:tcPr>
                  <w:tcW w:w="737" w:type="dxa"/>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指标设置</w:t>
                  </w:r>
                </w:p>
              </w:tc>
              <w:tc>
                <w:tcPr>
                  <w:tcW w:w="4471" w:type="dxa"/>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管控内涵</w:t>
                  </w:r>
                </w:p>
              </w:tc>
              <w:tc>
                <w:tcPr>
                  <w:tcW w:w="2541" w:type="dxa"/>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项目情况</w:t>
                  </w:r>
                </w:p>
              </w:tc>
              <w:tc>
                <w:tcPr>
                  <w:tcW w:w="734" w:type="dxa"/>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2" w:hRule="atLeast"/>
                <w:jc w:val="center"/>
              </w:trPr>
              <w:tc>
                <w:tcPr>
                  <w:tcW w:w="737" w:type="dxa"/>
                  <w:vMerge w:val="restar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水资源总量红线</w:t>
                  </w:r>
                </w:p>
              </w:tc>
              <w:tc>
                <w:tcPr>
                  <w:tcW w:w="4471" w:type="dxa"/>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以水资源配置、节约和保护为重点，强化生活、生产和生态用水需求和用水过程管理，严格控制用水总量，全面提高用水效率，加快节水型社会建设，促进水资源可持续利用和经济发展方式转变，推动经济社会发展与水资源载能力相协调。</w:t>
                  </w:r>
                </w:p>
              </w:tc>
              <w:tc>
                <w:tcPr>
                  <w:tcW w:w="2541" w:type="dxa"/>
                  <w:vAlign w:val="center"/>
                </w:tcPr>
                <w:p>
                  <w:pPr>
                    <w:keepNext w:val="0"/>
                    <w:keepLines w:val="0"/>
                    <w:widowControl/>
                    <w:suppressLineNumbers w:val="0"/>
                    <w:jc w:val="both"/>
                    <w:rPr>
                      <w:rFonts w:hint="default" w:ascii="Times New Roman" w:hAnsi="Times New Roman" w:cs="Times New Roman"/>
                      <w:sz w:val="21"/>
                      <w:szCs w:val="21"/>
                      <w:lang w:val="en-US" w:eastAsia="zh-CN"/>
                    </w:rPr>
                  </w:pPr>
                  <w:r>
                    <w:rPr>
                      <w:rFonts w:hint="default" w:ascii="Times New Roman" w:hAnsi="Times New Roman" w:eastAsia="宋体" w:cs="Times New Roman"/>
                      <w:color w:val="000000"/>
                      <w:kern w:val="0"/>
                      <w:sz w:val="21"/>
                      <w:szCs w:val="21"/>
                      <w:lang w:val="en-US" w:eastAsia="zh-CN" w:bidi="ar"/>
                    </w:rPr>
                    <w:t xml:space="preserve">本项目不新增员工，也不新增生产用水，无新增用水。 </w:t>
                  </w:r>
                </w:p>
              </w:tc>
              <w:tc>
                <w:tcPr>
                  <w:tcW w:w="734" w:type="dxa"/>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737" w:type="dxa"/>
                  <w:vMerge w:val="continue"/>
                  <w:vAlign w:val="center"/>
                </w:tcPr>
                <w:p>
                  <w:pPr>
                    <w:jc w:val="center"/>
                    <w:rPr>
                      <w:rFonts w:hint="default" w:ascii="Times New Roman" w:hAnsi="Times New Roman" w:cs="Times New Roman"/>
                      <w:sz w:val="21"/>
                      <w:szCs w:val="21"/>
                    </w:rPr>
                  </w:pPr>
                </w:p>
              </w:tc>
              <w:tc>
                <w:tcPr>
                  <w:tcW w:w="4471" w:type="dxa"/>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严格设定地下水开采总量指标。</w:t>
                  </w:r>
                </w:p>
              </w:tc>
              <w:tc>
                <w:tcPr>
                  <w:tcW w:w="2541" w:type="dxa"/>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本项目不开采地下水。</w:t>
                  </w:r>
                </w:p>
              </w:tc>
              <w:tc>
                <w:tcPr>
                  <w:tcW w:w="734" w:type="dxa"/>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737" w:type="dxa"/>
                  <w:vMerge w:val="continue"/>
                  <w:vAlign w:val="center"/>
                </w:tcPr>
                <w:p>
                  <w:pPr>
                    <w:jc w:val="center"/>
                    <w:rPr>
                      <w:rFonts w:hint="default" w:ascii="Times New Roman" w:hAnsi="Times New Roman" w:cs="Times New Roman"/>
                      <w:sz w:val="21"/>
                      <w:szCs w:val="21"/>
                    </w:rPr>
                  </w:pPr>
                </w:p>
              </w:tc>
              <w:tc>
                <w:tcPr>
                  <w:tcW w:w="4471" w:type="dxa"/>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2030年，全市用水总量控制在31.4亿立方米以内，万元工业增加值用水量控制在12立方米以内。</w:t>
                  </w:r>
                </w:p>
              </w:tc>
              <w:tc>
                <w:tcPr>
                  <w:tcW w:w="2541" w:type="dxa"/>
                  <w:vAlign w:val="center"/>
                </w:tcPr>
                <w:p>
                  <w:pPr>
                    <w:keepNext w:val="0"/>
                    <w:keepLines w:val="0"/>
                    <w:widowControl/>
                    <w:suppressLineNumbers w:val="0"/>
                    <w:jc w:val="both"/>
                    <w:rPr>
                      <w:rFonts w:hint="default" w:ascii="Times New Roman" w:hAnsi="Times New Roman" w:cs="Times New Roman"/>
                      <w:sz w:val="21"/>
                      <w:szCs w:val="21"/>
                    </w:rPr>
                  </w:pPr>
                  <w:r>
                    <w:rPr>
                      <w:rFonts w:hint="default" w:ascii="Times New Roman" w:hAnsi="Times New Roman" w:eastAsia="宋体" w:cs="Times New Roman"/>
                      <w:color w:val="000000"/>
                      <w:kern w:val="0"/>
                      <w:sz w:val="21"/>
                      <w:szCs w:val="21"/>
                      <w:lang w:val="en-US" w:eastAsia="zh-CN" w:bidi="ar"/>
                    </w:rPr>
                    <w:t>本项目不新增用水，满足2030年的总量控制要求。</w:t>
                  </w:r>
                </w:p>
              </w:tc>
              <w:tc>
                <w:tcPr>
                  <w:tcW w:w="734" w:type="dxa"/>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4" w:hRule="atLeast"/>
                <w:jc w:val="center"/>
              </w:trPr>
              <w:tc>
                <w:tcPr>
                  <w:tcW w:w="737" w:type="dxa"/>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能源总量红线</w:t>
                  </w:r>
                </w:p>
              </w:tc>
              <w:tc>
                <w:tcPr>
                  <w:tcW w:w="4471" w:type="dxa"/>
                  <w:vAlign w:val="center"/>
                </w:tcPr>
                <w:p>
                  <w:pPr>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江苏省小康社会及基本现代化建设中，提出到2030年实现基本现代化，单位GDP能耗和碳排放分别控制在0.5吨标准/万元和1.2吨/万元。考虑到连云港市经济发展现状情况，以及石化基地、精品钢基地及大港口的发展战略需求，综合能源消耗总量将在较长一段时间内，保持较高的增速，因此综合能源消耗总量增速控制3.5%-5%，2030年综合能源消耗总量控制在3200万吨标准煤。</w:t>
                  </w:r>
                </w:p>
              </w:tc>
              <w:tc>
                <w:tcPr>
                  <w:tcW w:w="2541" w:type="dxa"/>
                  <w:vAlign w:val="center"/>
                </w:tcPr>
                <w:p>
                  <w:pPr>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本项目能源消耗为</w:t>
                  </w:r>
                  <w:r>
                    <w:rPr>
                      <w:rFonts w:hint="default" w:ascii="Times New Roman" w:hAnsi="Times New Roman" w:cs="Times New Roman"/>
                      <w:color w:val="auto"/>
                      <w:sz w:val="21"/>
                      <w:szCs w:val="21"/>
                      <w:lang w:val="en-US" w:eastAsia="zh-CN"/>
                    </w:rPr>
                    <w:t>6.145</w:t>
                  </w:r>
                  <w:r>
                    <w:rPr>
                      <w:rFonts w:hint="default" w:ascii="Times New Roman" w:hAnsi="Times New Roman" w:cs="Times New Roman"/>
                      <w:color w:val="auto"/>
                      <w:sz w:val="21"/>
                      <w:szCs w:val="21"/>
                      <w:lang w:eastAsia="zh-CN"/>
                    </w:rPr>
                    <w:t>吨标准煤/a（电耗），经计算，单位GDP能耗为0.</w:t>
                  </w:r>
                  <w:r>
                    <w:rPr>
                      <w:rFonts w:hint="default" w:ascii="Times New Roman" w:hAnsi="Times New Roman" w:cs="Times New Roman"/>
                      <w:color w:val="auto"/>
                      <w:sz w:val="21"/>
                      <w:szCs w:val="21"/>
                      <w:lang w:val="en-US" w:eastAsia="zh-CN"/>
                    </w:rPr>
                    <w:t>0307</w:t>
                  </w:r>
                  <w:r>
                    <w:rPr>
                      <w:rFonts w:hint="default" w:ascii="Times New Roman" w:hAnsi="Times New Roman" w:cs="Times New Roman"/>
                      <w:color w:val="auto"/>
                      <w:sz w:val="21"/>
                      <w:szCs w:val="21"/>
                      <w:lang w:eastAsia="zh-CN"/>
                    </w:rPr>
                    <w:t>吨/万元，能够满足2030年控制的单位GDP能耗要求。</w:t>
                  </w:r>
                </w:p>
              </w:tc>
              <w:tc>
                <w:tcPr>
                  <w:tcW w:w="734" w:type="dxa"/>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bl>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根据《市政府办公室关于印发连云港市资源利用上线管理办法（试行）的通知》（连政办发[2018]37号）中关于“资源消耗上</w:t>
            </w:r>
            <w:r>
              <w:rPr>
                <w:rFonts w:hint="eastAsia" w:ascii="Times New Roman" w:hAnsi="Times New Roman" w:cs="Times New Roman"/>
                <w:sz w:val="24"/>
                <w:szCs w:val="24"/>
                <w:lang w:val="en-US" w:eastAsia="zh-CN"/>
              </w:rPr>
              <w:t>线</w:t>
            </w:r>
            <w:r>
              <w:rPr>
                <w:rFonts w:hint="default" w:ascii="Times New Roman" w:hAnsi="Times New Roman" w:cs="Times New Roman"/>
                <w:sz w:val="24"/>
                <w:szCs w:val="24"/>
                <w:lang w:eastAsia="zh-CN"/>
              </w:rPr>
              <w:t>”管控内涵及指标设置要求，本评价对照该文件进行相符性分析，具体分析结果见表1-</w:t>
            </w:r>
            <w:r>
              <w:rPr>
                <w:rFonts w:hint="eastAsia" w:ascii="Times New Roman" w:hAnsi="Times New Roman" w:cs="Times New Roman"/>
                <w:sz w:val="24"/>
                <w:szCs w:val="24"/>
                <w:lang w:val="en-US" w:eastAsia="zh-CN"/>
              </w:rPr>
              <w:t>7</w:t>
            </w:r>
            <w:r>
              <w:rPr>
                <w:rFonts w:hint="default" w:ascii="Times New Roman" w:hAnsi="Times New Roman" w:cs="Times New Roman"/>
                <w:sz w:val="24"/>
                <w:szCs w:val="24"/>
                <w:lang w:eastAsia="zh-CN"/>
              </w:rPr>
              <w:t>。</w:t>
            </w:r>
          </w:p>
          <w:p>
            <w:pPr>
              <w:spacing w:line="460" w:lineRule="exact"/>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表1-</w:t>
            </w:r>
            <w:r>
              <w:rPr>
                <w:rFonts w:hint="eastAsia" w:ascii="Times New Roman" w:hAnsi="Times New Roman" w:cs="Times New Roman"/>
                <w:b/>
                <w:bCs/>
                <w:sz w:val="21"/>
                <w:szCs w:val="21"/>
                <w:lang w:val="en-US" w:eastAsia="zh-CN"/>
              </w:rPr>
              <w:t>7</w:t>
            </w:r>
            <w:r>
              <w:rPr>
                <w:rFonts w:hint="default" w:ascii="Times New Roman" w:hAnsi="Times New Roman" w:cs="Times New Roman"/>
                <w:b/>
                <w:bCs/>
                <w:sz w:val="21"/>
                <w:szCs w:val="21"/>
                <w:lang w:eastAsia="zh-CN"/>
              </w:rPr>
              <w:t xml:space="preserve">  与当地资源消耗上</w:t>
            </w:r>
            <w:r>
              <w:rPr>
                <w:rFonts w:hint="eastAsia" w:ascii="Times New Roman" w:hAnsi="Times New Roman" w:cs="Times New Roman"/>
                <w:b/>
                <w:bCs/>
                <w:sz w:val="21"/>
                <w:szCs w:val="21"/>
                <w:lang w:val="en-US" w:eastAsia="zh-CN"/>
              </w:rPr>
              <w:t>线</w:t>
            </w:r>
            <w:r>
              <w:rPr>
                <w:rFonts w:hint="default" w:ascii="Times New Roman" w:hAnsi="Times New Roman" w:cs="Times New Roman"/>
                <w:b/>
                <w:bCs/>
                <w:sz w:val="21"/>
                <w:szCs w:val="21"/>
                <w:lang w:eastAsia="zh-CN"/>
              </w:rPr>
              <w:t>符合性分析表</w:t>
            </w:r>
          </w:p>
          <w:tbl>
            <w:tblPr>
              <w:tblStyle w:val="23"/>
              <w:tblW w:w="85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4092"/>
              <w:gridCol w:w="2178"/>
              <w:gridCol w:w="1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blHeader/>
                <w:jc w:val="center"/>
              </w:trPr>
              <w:tc>
                <w:tcPr>
                  <w:tcW w:w="1140" w:type="dxa"/>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指标设置</w:t>
                  </w:r>
                </w:p>
              </w:tc>
              <w:tc>
                <w:tcPr>
                  <w:tcW w:w="4092" w:type="dxa"/>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管控内涵</w:t>
                  </w:r>
                </w:p>
              </w:tc>
              <w:tc>
                <w:tcPr>
                  <w:tcW w:w="2178" w:type="dxa"/>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项目情况</w:t>
                  </w:r>
                </w:p>
              </w:tc>
              <w:tc>
                <w:tcPr>
                  <w:tcW w:w="1187" w:type="dxa"/>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140" w:type="dxa"/>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水资源利用管控要求</w:t>
                  </w:r>
                </w:p>
              </w:tc>
              <w:tc>
                <w:tcPr>
                  <w:tcW w:w="4092" w:type="dxa"/>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lang w:val="en-US" w:eastAsia="zh-CN"/>
                    </w:rPr>
                    <w:t>严格控制全市水资源利用总量，到 2030 年，全市年用水总量控制在30.23亿立方米以内，提高河流生态流量保障力度。工业、服务业和生活用水严格按照《</w:t>
                  </w:r>
                  <w:r>
                    <w:rPr>
                      <w:rFonts w:hint="default" w:ascii="Times New Roman" w:hAnsi="Times New Roman" w:cs="Times New Roman"/>
                      <w:sz w:val="21"/>
                      <w:szCs w:val="21"/>
                    </w:rPr>
                    <w:t>江苏省林牧渔业、工业、服务业和生活用水定额</w:t>
                  </w:r>
                  <w:r>
                    <w:rPr>
                      <w:rFonts w:hint="default" w:ascii="Times New Roman" w:hAnsi="Times New Roman" w:cs="Times New Roman"/>
                      <w:sz w:val="21"/>
                      <w:szCs w:val="21"/>
                      <w:lang w:eastAsia="zh-CN"/>
                    </w:rPr>
                    <w:t>（</w:t>
                  </w:r>
                  <w:r>
                    <w:rPr>
                      <w:rFonts w:hint="default" w:ascii="Times New Roman" w:hAnsi="Times New Roman" w:cs="Times New Roman"/>
                      <w:sz w:val="21"/>
                      <w:szCs w:val="21"/>
                    </w:rPr>
                    <w:t>2019年修订</w:t>
                  </w: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》执行。</w:t>
                  </w:r>
                </w:p>
              </w:tc>
              <w:tc>
                <w:tcPr>
                  <w:tcW w:w="2178" w:type="dxa"/>
                  <w:vAlign w:val="center"/>
                </w:tcPr>
                <w:p>
                  <w:pPr>
                    <w:keepNext w:val="0"/>
                    <w:keepLines w:val="0"/>
                    <w:widowControl/>
                    <w:suppressLineNumbers w:val="0"/>
                    <w:jc w:val="left"/>
                    <w:rPr>
                      <w:rFonts w:hint="default" w:ascii="Times New Roman" w:hAnsi="Times New Roman" w:cs="Times New Roman"/>
                    </w:rPr>
                  </w:pPr>
                  <w:r>
                    <w:rPr>
                      <w:rFonts w:hint="default" w:ascii="Times New Roman" w:hAnsi="Times New Roman" w:eastAsia="宋体" w:cs="Times New Roman"/>
                      <w:color w:val="000000"/>
                      <w:kern w:val="0"/>
                      <w:sz w:val="21"/>
                      <w:szCs w:val="21"/>
                      <w:lang w:val="en-US" w:eastAsia="zh-CN" w:bidi="ar"/>
                    </w:rPr>
                    <w:t xml:space="preserve">本项目不新增用水 </w:t>
                  </w:r>
                </w:p>
                <w:p>
                  <w:pPr>
                    <w:jc w:val="both"/>
                    <w:rPr>
                      <w:rFonts w:hint="default" w:ascii="Times New Roman" w:hAnsi="Times New Roman" w:cs="Times New Roman"/>
                      <w:sz w:val="21"/>
                      <w:szCs w:val="21"/>
                    </w:rPr>
                  </w:pPr>
                </w:p>
              </w:tc>
              <w:tc>
                <w:tcPr>
                  <w:tcW w:w="1187" w:type="dxa"/>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0" w:hRule="atLeast"/>
                <w:jc w:val="center"/>
              </w:trPr>
              <w:tc>
                <w:tcPr>
                  <w:tcW w:w="1140" w:type="dxa"/>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土地利用管控要求</w:t>
                  </w:r>
                </w:p>
              </w:tc>
              <w:tc>
                <w:tcPr>
                  <w:tcW w:w="4092" w:type="dxa"/>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优化国土空间开展格局，完善土地节约利用体制，全面推进节约集约用地，控制土地开发总体强度。国家级开发区、省级开发区和市区、其他工业集中区新建工业项目平均投资强度分别不低于350万元/亩、280万元/亩、220万元/亩，项目达产后亩均产值分别不低于520万元/亩、400万元/亩、280万元/亩，亩均税收不低于3万元/亩、20万元/亩、15万元/亩。工业用地容积率不得低于1.0，特殊行业容积率不得低于0.8，化工行业用地容积率不得低于0.6，标准厂房用地容积率不得低于1.2，绿地率不得超过15%，工业用地中企业内部行政办公用生活服务设施用地面积不得超过总用地面积的7%，建筑面积不得超过总建筑面积的15%。</w:t>
                  </w:r>
                </w:p>
              </w:tc>
              <w:tc>
                <w:tcPr>
                  <w:tcW w:w="2178" w:type="dxa"/>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lang w:eastAsia="zh-CN"/>
                    </w:rPr>
                    <w:t>本项目</w:t>
                  </w:r>
                  <w:r>
                    <w:rPr>
                      <w:rFonts w:hint="default" w:ascii="Times New Roman" w:hAnsi="Times New Roman" w:cs="Times New Roman"/>
                      <w:sz w:val="21"/>
                      <w:szCs w:val="21"/>
                      <w:lang w:val="en-US" w:eastAsia="zh-CN"/>
                    </w:rPr>
                    <w:t>租赁现有厂房进行生产，</w:t>
                  </w:r>
                  <w:r>
                    <w:rPr>
                      <w:rFonts w:hint="default" w:ascii="Times New Roman" w:hAnsi="Times New Roman" w:cs="Times New Roman"/>
                      <w:sz w:val="21"/>
                      <w:szCs w:val="21"/>
                      <w:lang w:eastAsia="zh-CN"/>
                    </w:rPr>
                    <w:t>用地为工业用地，不占用基本农田，不属于用地供需矛盾特别突出地区。</w:t>
                  </w:r>
                </w:p>
                <w:p>
                  <w:pPr>
                    <w:jc w:val="both"/>
                    <w:rPr>
                      <w:rFonts w:hint="default" w:ascii="Times New Roman" w:hAnsi="Times New Roman" w:cs="Times New Roman"/>
                      <w:sz w:val="21"/>
                      <w:szCs w:val="21"/>
                    </w:rPr>
                  </w:pPr>
                </w:p>
              </w:tc>
              <w:tc>
                <w:tcPr>
                  <w:tcW w:w="1187" w:type="dxa"/>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9" w:hRule="atLeast"/>
                <w:jc w:val="center"/>
              </w:trPr>
              <w:tc>
                <w:tcPr>
                  <w:tcW w:w="1140" w:type="dxa"/>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能源消耗管控要求</w:t>
                  </w:r>
                </w:p>
              </w:tc>
              <w:tc>
                <w:tcPr>
                  <w:tcW w:w="4092" w:type="dxa"/>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加强对全市能源消耗总量和强度“双控”管理，提高清洁能源使用比例。各行业现有企业能耗严格按照相应行业国家（或省级）标准中对应的单位产品能源消耗限额执行，新建企业能耗严格按照相应行业国家（或省级）标准中对应的单位产品能源消耗准入值执行。</w:t>
                  </w:r>
                </w:p>
              </w:tc>
              <w:tc>
                <w:tcPr>
                  <w:tcW w:w="2178" w:type="dxa"/>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lang w:val="en-US" w:eastAsia="zh-CN"/>
                    </w:rPr>
                    <w:t>本项目主要使用能源为电能，不使用煤炭，因此不涉及煤炭消费减量控制等指标要求。本项目建成后，本项目能源消耗为6.145吨标准煤/a（电耗折算）。</w:t>
                  </w:r>
                </w:p>
              </w:tc>
              <w:tc>
                <w:tcPr>
                  <w:tcW w:w="1187" w:type="dxa"/>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bl>
          <w:p>
            <w:pPr>
              <w:keepNext w:val="0"/>
              <w:keepLines w:val="0"/>
              <w:widowControl/>
              <w:suppressLineNumbers w:val="0"/>
              <w:ind w:firstLine="420" w:firstLineChars="200"/>
              <w:jc w:val="left"/>
              <w:rPr>
                <w:rFonts w:hint="default" w:ascii="Times New Roman" w:hAnsi="Times New Roman" w:cs="Times New Roman"/>
                <w:sz w:val="21"/>
                <w:szCs w:val="21"/>
                <w:lang w:eastAsia="zh-CN"/>
              </w:rPr>
            </w:pPr>
            <w:r>
              <w:rPr>
                <w:rFonts w:hint="default" w:ascii="Times New Roman" w:hAnsi="Times New Roman" w:cs="Times New Roman"/>
                <w:sz w:val="21"/>
                <w:szCs w:val="21"/>
              </w:rPr>
              <w:t>注：</w:t>
            </w:r>
            <w:r>
              <w:rPr>
                <w:rFonts w:hint="default" w:ascii="Times New Roman" w:hAnsi="Times New Roman" w:cs="Times New Roman"/>
                <w:sz w:val="21"/>
                <w:szCs w:val="21"/>
                <w:lang w:eastAsia="zh-CN"/>
              </w:rPr>
              <w:t>本项目用电</w:t>
            </w:r>
            <w:r>
              <w:rPr>
                <w:rFonts w:hint="default" w:ascii="Times New Roman" w:hAnsi="Times New Roman" w:cs="Times New Roman"/>
                <w:sz w:val="21"/>
                <w:szCs w:val="21"/>
                <w:lang w:val="en-US" w:eastAsia="zh-CN"/>
              </w:rPr>
              <w:t>5万</w:t>
            </w:r>
            <w:r>
              <w:rPr>
                <w:rFonts w:hint="default" w:ascii="Times New Roman" w:hAnsi="Times New Roman" w:cs="Times New Roman"/>
                <w:sz w:val="21"/>
                <w:szCs w:val="21"/>
                <w:lang w:eastAsia="zh-CN"/>
              </w:rPr>
              <w:t>kwh/a，根据《综合能耗计算通则》（GB/T2589-2020）折标煤系数分别为：0.1229kgce/(kw·h)，则合计折标煤约</w:t>
            </w:r>
            <w:r>
              <w:rPr>
                <w:rFonts w:hint="default" w:ascii="Times New Roman" w:hAnsi="Times New Roman" w:cs="Times New Roman"/>
                <w:sz w:val="21"/>
                <w:szCs w:val="21"/>
                <w:lang w:val="en-US" w:eastAsia="zh-CN"/>
              </w:rPr>
              <w:t>6.145</w:t>
            </w:r>
            <w:r>
              <w:rPr>
                <w:rFonts w:hint="default" w:ascii="Times New Roman" w:hAnsi="Times New Roman" w:cs="Times New Roman"/>
                <w:sz w:val="21"/>
                <w:szCs w:val="21"/>
                <w:lang w:eastAsia="zh-CN"/>
              </w:rPr>
              <w:t>t/a。</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综上所述，本项目与当地资源消耗上限要求相符。</w:t>
            </w:r>
          </w:p>
          <w:p>
            <w:pPr>
              <w:spacing w:line="460" w:lineRule="exact"/>
              <w:ind w:firstLine="482" w:firstLineChars="200"/>
              <w:jc w:val="both"/>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eastAsia="zh-CN"/>
              </w:rPr>
              <w:t>（4）</w:t>
            </w:r>
            <w:r>
              <w:rPr>
                <w:rFonts w:hint="default" w:ascii="Times New Roman" w:hAnsi="Times New Roman" w:cs="Times New Roman"/>
                <w:b/>
                <w:bCs/>
                <w:sz w:val="24"/>
                <w:szCs w:val="24"/>
                <w:lang w:val="en-US" w:eastAsia="zh-CN"/>
              </w:rPr>
              <w:t>与</w:t>
            </w:r>
            <w:r>
              <w:rPr>
                <w:rFonts w:hint="default" w:ascii="Times New Roman" w:hAnsi="Times New Roman" w:cs="Times New Roman"/>
                <w:b/>
                <w:bCs/>
                <w:sz w:val="24"/>
                <w:szCs w:val="24"/>
                <w:lang w:eastAsia="zh-CN"/>
              </w:rPr>
              <w:t>生态环境准入清单</w:t>
            </w:r>
            <w:r>
              <w:rPr>
                <w:rFonts w:hint="default" w:ascii="Times New Roman" w:hAnsi="Times New Roman" w:cs="Times New Roman"/>
                <w:b/>
                <w:bCs/>
                <w:sz w:val="24"/>
                <w:szCs w:val="24"/>
                <w:lang w:val="en-US" w:eastAsia="zh-CN"/>
              </w:rPr>
              <w:t>相符性</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val="en-US" w:eastAsia="zh-CN"/>
              </w:rPr>
              <w:t xml:space="preserve">①与《市场准入负面清单（2022 年版）》对照分析 </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val="en-US" w:eastAsia="zh-CN"/>
              </w:rPr>
              <w:t>根据《国家发展改革委商务部关于印发〈市场准入负面清单（2022 年版）〉的通知》(发改体改规[2022]397号)，经分析，本项目不属于该负面清单中禁止准入 类。具体见表</w:t>
            </w:r>
            <w:r>
              <w:rPr>
                <w:rFonts w:hint="eastAsia" w:ascii="Times New Roman" w:hAnsi="Times New Roman" w:cs="Times New Roman"/>
                <w:sz w:val="24"/>
                <w:szCs w:val="24"/>
                <w:lang w:val="en-US" w:eastAsia="zh-CN"/>
              </w:rPr>
              <w:t>1-8</w:t>
            </w:r>
            <w:r>
              <w:rPr>
                <w:rFonts w:hint="default" w:ascii="Times New Roman" w:hAnsi="Times New Roman" w:cs="Times New Roman"/>
                <w:sz w:val="24"/>
                <w:szCs w:val="24"/>
                <w:lang w:val="en-US" w:eastAsia="zh-CN"/>
              </w:rPr>
              <w:t xml:space="preserve">。 </w:t>
            </w:r>
          </w:p>
          <w:p>
            <w:pPr>
              <w:spacing w:line="460" w:lineRule="exact"/>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val="en-US" w:eastAsia="zh-CN"/>
              </w:rPr>
              <w:t>表</w:t>
            </w:r>
            <w:r>
              <w:rPr>
                <w:rFonts w:hint="eastAsia" w:ascii="Times New Roman" w:hAnsi="Times New Roman" w:cs="Times New Roman"/>
                <w:b/>
                <w:bCs/>
                <w:sz w:val="21"/>
                <w:szCs w:val="21"/>
                <w:lang w:val="en-US" w:eastAsia="zh-CN"/>
              </w:rPr>
              <w:t xml:space="preserve">1-8 </w:t>
            </w:r>
            <w:r>
              <w:rPr>
                <w:rFonts w:hint="default" w:ascii="Times New Roman" w:hAnsi="Times New Roman" w:cs="Times New Roman"/>
                <w:b/>
                <w:bCs/>
                <w:sz w:val="21"/>
                <w:szCs w:val="21"/>
                <w:lang w:val="en-US" w:eastAsia="zh-CN"/>
              </w:rPr>
              <w:t>与《市场准入负面清单（2022年版）》对照分析</w:t>
            </w:r>
          </w:p>
          <w:tbl>
            <w:tblPr>
              <w:tblStyle w:val="23"/>
              <w:tblW w:w="85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18"/>
              <w:gridCol w:w="3077"/>
              <w:gridCol w:w="1356"/>
              <w:gridCol w:w="12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5995" w:type="dxa"/>
                  <w:gridSpan w:val="2"/>
                  <w:vAlign w:val="center"/>
                </w:tcPr>
                <w:p>
                  <w:pPr>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市场准入负面清单内容</w:t>
                  </w:r>
                </w:p>
              </w:tc>
              <w:tc>
                <w:tcPr>
                  <w:tcW w:w="1356" w:type="dxa"/>
                  <w:vMerge w:val="restart"/>
                  <w:vAlign w:val="center"/>
                </w:tcPr>
                <w:p>
                  <w:pPr>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本项目情况</w:t>
                  </w:r>
                </w:p>
              </w:tc>
              <w:tc>
                <w:tcPr>
                  <w:tcW w:w="1246" w:type="dxa"/>
                  <w:vMerge w:val="restart"/>
                  <w:vAlign w:val="center"/>
                </w:tcPr>
                <w:p>
                  <w:pPr>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18" w:type="dxa"/>
                  <w:vAlign w:val="center"/>
                </w:tcPr>
                <w:p>
                  <w:pPr>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禁止或许可事项</w:t>
                  </w:r>
                </w:p>
              </w:tc>
              <w:tc>
                <w:tcPr>
                  <w:tcW w:w="3077" w:type="dxa"/>
                  <w:vAlign w:val="center"/>
                </w:tcPr>
                <w:p>
                  <w:pPr>
                    <w:jc w:val="both"/>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禁止或许可准入措施描述</w:t>
                  </w:r>
                </w:p>
              </w:tc>
              <w:tc>
                <w:tcPr>
                  <w:tcW w:w="1356" w:type="dxa"/>
                  <w:vMerge w:val="continue"/>
                  <w:vAlign w:val="center"/>
                </w:tcPr>
                <w:p>
                  <w:pPr>
                    <w:jc w:val="both"/>
                    <w:rPr>
                      <w:rFonts w:hint="default" w:ascii="Times New Roman" w:hAnsi="Times New Roman" w:cs="Times New Roman"/>
                      <w:b/>
                      <w:bCs/>
                      <w:sz w:val="21"/>
                      <w:szCs w:val="21"/>
                    </w:rPr>
                  </w:pPr>
                </w:p>
              </w:tc>
              <w:tc>
                <w:tcPr>
                  <w:tcW w:w="1246" w:type="dxa"/>
                  <w:vMerge w:val="continue"/>
                  <w:vAlign w:val="center"/>
                </w:tcPr>
                <w:p>
                  <w:pPr>
                    <w:jc w:val="center"/>
                    <w:rPr>
                      <w:rFonts w:hint="default" w:ascii="Times New Roman" w:hAnsi="Times New Roman"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95" w:type="dxa"/>
                  <w:gridSpan w:val="2"/>
                  <w:vAlign w:val="center"/>
                </w:tcPr>
                <w:p>
                  <w:pPr>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一、禁止准入类</w:t>
                  </w:r>
                </w:p>
              </w:tc>
              <w:tc>
                <w:tcPr>
                  <w:tcW w:w="1356" w:type="dxa"/>
                  <w:vMerge w:val="restart"/>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项目不属于《产业结构调整指导目录》中的</w:t>
                  </w:r>
                  <w:r>
                    <w:rPr>
                      <w:rFonts w:hint="default" w:ascii="Times New Roman" w:hAnsi="Times New Roman" w:cs="Times New Roman"/>
                      <w:sz w:val="21"/>
                      <w:szCs w:val="21"/>
                    </w:rPr>
                    <w:t>鼓励类、限制类和淘汰类项目</w:t>
                  </w:r>
                  <w:r>
                    <w:rPr>
                      <w:rFonts w:hint="default" w:ascii="Times New Roman" w:hAnsi="Times New Roman" w:cs="Times New Roman"/>
                      <w:sz w:val="21"/>
                      <w:szCs w:val="21"/>
                      <w:lang w:val="en-US" w:eastAsia="zh-CN"/>
                    </w:rPr>
                    <w:t xml:space="preserve">，不涉及与市场准入相关的禁止性规定。 </w:t>
                  </w:r>
                </w:p>
                <w:p>
                  <w:pPr>
                    <w:jc w:val="both"/>
                    <w:rPr>
                      <w:rFonts w:hint="default" w:ascii="Times New Roman" w:hAnsi="Times New Roman" w:cs="Times New Roman"/>
                      <w:sz w:val="21"/>
                      <w:szCs w:val="21"/>
                    </w:rPr>
                  </w:pPr>
                </w:p>
              </w:tc>
              <w:tc>
                <w:tcPr>
                  <w:tcW w:w="1246" w:type="dxa"/>
                  <w:vMerge w:val="restart"/>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不属禁止范围内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18" w:type="dxa"/>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1、法律、法规、国务院决定等明确设立且与市场准入相关的禁止性规定。 </w:t>
                  </w:r>
                </w:p>
              </w:tc>
              <w:tc>
                <w:tcPr>
                  <w:tcW w:w="3077" w:type="dxa"/>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法律、法规、国务院决定等明确设立，且与市场准入相关的禁止性规定。 </w:t>
                  </w:r>
                </w:p>
              </w:tc>
              <w:tc>
                <w:tcPr>
                  <w:tcW w:w="1356" w:type="dxa"/>
                  <w:vMerge w:val="continue"/>
                  <w:vAlign w:val="center"/>
                </w:tcPr>
                <w:p>
                  <w:pPr>
                    <w:jc w:val="both"/>
                    <w:rPr>
                      <w:rFonts w:hint="default" w:ascii="Times New Roman" w:hAnsi="Times New Roman" w:cs="Times New Roman"/>
                      <w:sz w:val="21"/>
                      <w:szCs w:val="21"/>
                    </w:rPr>
                  </w:pPr>
                </w:p>
              </w:tc>
              <w:tc>
                <w:tcPr>
                  <w:tcW w:w="1246" w:type="dxa"/>
                  <w:vMerge w:val="continue"/>
                  <w:vAlign w:val="center"/>
                </w:tcPr>
                <w:p>
                  <w:pPr>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18" w:type="dxa"/>
                  <w:vMerge w:val="restart"/>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2、国家产业政策明令淘汰和限制的产品、技术、工艺、设备及行为。 </w:t>
                  </w:r>
                </w:p>
              </w:tc>
              <w:tc>
                <w:tcPr>
                  <w:tcW w:w="3077" w:type="dxa"/>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《产业结构调整指导目录》中的淘汰类项目，禁止投资；限制类项目，禁止新建。 </w:t>
                  </w:r>
                </w:p>
              </w:tc>
              <w:tc>
                <w:tcPr>
                  <w:tcW w:w="1356" w:type="dxa"/>
                  <w:vMerge w:val="continue"/>
                  <w:vAlign w:val="center"/>
                </w:tcPr>
                <w:p>
                  <w:pPr>
                    <w:jc w:val="both"/>
                    <w:rPr>
                      <w:rFonts w:hint="default" w:ascii="Times New Roman" w:hAnsi="Times New Roman" w:cs="Times New Roman"/>
                      <w:sz w:val="21"/>
                      <w:szCs w:val="21"/>
                    </w:rPr>
                  </w:pPr>
                </w:p>
              </w:tc>
              <w:tc>
                <w:tcPr>
                  <w:tcW w:w="1246" w:type="dxa"/>
                  <w:vMerge w:val="continue"/>
                  <w:vAlign w:val="center"/>
                </w:tcPr>
                <w:p>
                  <w:pPr>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18" w:type="dxa"/>
                  <w:vMerge w:val="continue"/>
                  <w:vAlign w:val="center"/>
                </w:tcPr>
                <w:p>
                  <w:pPr>
                    <w:jc w:val="center"/>
                    <w:rPr>
                      <w:rFonts w:hint="default" w:ascii="Times New Roman" w:hAnsi="Times New Roman" w:cs="Times New Roman"/>
                      <w:sz w:val="21"/>
                      <w:szCs w:val="21"/>
                    </w:rPr>
                  </w:pPr>
                </w:p>
              </w:tc>
              <w:tc>
                <w:tcPr>
                  <w:tcW w:w="3077" w:type="dxa"/>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禁止投资建设《汽车产业投资管理规定》所列的汽车投资禁止类事项 </w:t>
                  </w:r>
                </w:p>
              </w:tc>
              <w:tc>
                <w:tcPr>
                  <w:tcW w:w="1356" w:type="dxa"/>
                  <w:vMerge w:val="continue"/>
                  <w:vAlign w:val="center"/>
                </w:tcPr>
                <w:p>
                  <w:pPr>
                    <w:jc w:val="both"/>
                    <w:rPr>
                      <w:rFonts w:hint="default" w:ascii="Times New Roman" w:hAnsi="Times New Roman" w:cs="Times New Roman"/>
                      <w:sz w:val="21"/>
                      <w:szCs w:val="21"/>
                    </w:rPr>
                  </w:pPr>
                </w:p>
              </w:tc>
              <w:tc>
                <w:tcPr>
                  <w:tcW w:w="1246" w:type="dxa"/>
                  <w:vMerge w:val="continue"/>
                  <w:vAlign w:val="center"/>
                </w:tcPr>
                <w:p>
                  <w:pPr>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18" w:type="dxa"/>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3、不符合主体功能区建设要求的各类开发活动。 </w:t>
                  </w:r>
                </w:p>
              </w:tc>
              <w:tc>
                <w:tcPr>
                  <w:tcW w:w="3077" w:type="dxa"/>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地方国家重点生态功能区产业准入负面 清单(或禁止限制目录)、农产品主产区产业准入负面清单(或禁止限制目录)所列事项。 </w:t>
                  </w:r>
                </w:p>
              </w:tc>
              <w:tc>
                <w:tcPr>
                  <w:tcW w:w="1356" w:type="dxa"/>
                  <w:vMerge w:val="continue"/>
                  <w:vAlign w:val="center"/>
                </w:tcPr>
                <w:p>
                  <w:pPr>
                    <w:jc w:val="both"/>
                    <w:rPr>
                      <w:rFonts w:hint="default" w:ascii="Times New Roman" w:hAnsi="Times New Roman" w:cs="Times New Roman"/>
                      <w:sz w:val="21"/>
                      <w:szCs w:val="21"/>
                    </w:rPr>
                  </w:pPr>
                </w:p>
              </w:tc>
              <w:tc>
                <w:tcPr>
                  <w:tcW w:w="1246" w:type="dxa"/>
                  <w:vMerge w:val="continue"/>
                  <w:vAlign w:val="center"/>
                </w:tcPr>
                <w:p>
                  <w:pPr>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95" w:type="dxa"/>
                  <w:gridSpan w:val="2"/>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二、许可准入类/(十三)科学研究和技术服务业</w:t>
                  </w:r>
                </w:p>
              </w:tc>
              <w:tc>
                <w:tcPr>
                  <w:tcW w:w="1356" w:type="dxa"/>
                  <w:vMerge w:val="restart"/>
                  <w:vAlign w:val="center"/>
                </w:tcPr>
                <w:p>
                  <w:pPr>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不涉及</w:t>
                  </w:r>
                </w:p>
              </w:tc>
              <w:tc>
                <w:tcPr>
                  <w:tcW w:w="1246" w:type="dxa"/>
                  <w:vMerge w:val="restart"/>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不属禁止范围内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95" w:type="dxa"/>
                  <w:gridSpan w:val="2"/>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74、未获得许可，不得从事特定人类遗传资源相关业务</w:t>
                  </w:r>
                </w:p>
              </w:tc>
              <w:tc>
                <w:tcPr>
                  <w:tcW w:w="1356" w:type="dxa"/>
                  <w:vMerge w:val="continue"/>
                  <w:vAlign w:val="center"/>
                </w:tcPr>
                <w:p>
                  <w:pPr>
                    <w:jc w:val="both"/>
                    <w:rPr>
                      <w:rFonts w:hint="default" w:ascii="Times New Roman" w:hAnsi="Times New Roman" w:cs="Times New Roman"/>
                      <w:sz w:val="21"/>
                      <w:szCs w:val="21"/>
                    </w:rPr>
                  </w:pPr>
                </w:p>
              </w:tc>
              <w:tc>
                <w:tcPr>
                  <w:tcW w:w="1246" w:type="dxa"/>
                  <w:vMerge w:val="continue"/>
                  <w:vAlign w:val="center"/>
                </w:tcPr>
                <w:p>
                  <w:pPr>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95" w:type="dxa"/>
                  <w:gridSpan w:val="2"/>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75、未获得许可，不得从事动物、微生物等特定科学研究活动</w:t>
                  </w:r>
                </w:p>
              </w:tc>
              <w:tc>
                <w:tcPr>
                  <w:tcW w:w="1356" w:type="dxa"/>
                  <w:vMerge w:val="continue"/>
                  <w:vAlign w:val="center"/>
                </w:tcPr>
                <w:p>
                  <w:pPr>
                    <w:jc w:val="both"/>
                    <w:rPr>
                      <w:rFonts w:hint="default" w:ascii="Times New Roman" w:hAnsi="Times New Roman" w:cs="Times New Roman"/>
                      <w:sz w:val="21"/>
                      <w:szCs w:val="21"/>
                    </w:rPr>
                  </w:pPr>
                </w:p>
              </w:tc>
              <w:tc>
                <w:tcPr>
                  <w:tcW w:w="1246" w:type="dxa"/>
                  <w:vMerge w:val="continue"/>
                  <w:vAlign w:val="center"/>
                </w:tcPr>
                <w:p>
                  <w:pPr>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95" w:type="dxa"/>
                  <w:gridSpan w:val="2"/>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76、未获得许可，不得从事城乡规划编制业务 </w:t>
                  </w:r>
                </w:p>
              </w:tc>
              <w:tc>
                <w:tcPr>
                  <w:tcW w:w="1356" w:type="dxa"/>
                  <w:vMerge w:val="continue"/>
                  <w:vAlign w:val="center"/>
                </w:tcPr>
                <w:p>
                  <w:pPr>
                    <w:jc w:val="both"/>
                    <w:rPr>
                      <w:rFonts w:hint="default" w:ascii="Times New Roman" w:hAnsi="Times New Roman" w:cs="Times New Roman"/>
                      <w:sz w:val="21"/>
                      <w:szCs w:val="21"/>
                    </w:rPr>
                  </w:pPr>
                </w:p>
              </w:tc>
              <w:tc>
                <w:tcPr>
                  <w:tcW w:w="1246" w:type="dxa"/>
                  <w:vMerge w:val="continue"/>
                  <w:vAlign w:val="center"/>
                </w:tcPr>
                <w:p>
                  <w:pPr>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95" w:type="dxa"/>
                  <w:gridSpan w:val="2"/>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77、未获得许可，不得从事建设工程勘察、设计、监理业务</w:t>
                  </w:r>
                </w:p>
              </w:tc>
              <w:tc>
                <w:tcPr>
                  <w:tcW w:w="1356" w:type="dxa"/>
                  <w:vMerge w:val="continue"/>
                  <w:vAlign w:val="center"/>
                </w:tcPr>
                <w:p>
                  <w:pPr>
                    <w:jc w:val="both"/>
                    <w:rPr>
                      <w:rFonts w:hint="default" w:ascii="Times New Roman" w:hAnsi="Times New Roman" w:cs="Times New Roman"/>
                      <w:sz w:val="21"/>
                      <w:szCs w:val="21"/>
                    </w:rPr>
                  </w:pPr>
                </w:p>
              </w:tc>
              <w:tc>
                <w:tcPr>
                  <w:tcW w:w="1246" w:type="dxa"/>
                  <w:vMerge w:val="continue"/>
                  <w:vAlign w:val="center"/>
                </w:tcPr>
                <w:p>
                  <w:pPr>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95" w:type="dxa"/>
                  <w:gridSpan w:val="2"/>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78、未获得许可，不得从事检验、检测、认证业务 </w:t>
                  </w:r>
                </w:p>
              </w:tc>
              <w:tc>
                <w:tcPr>
                  <w:tcW w:w="1356" w:type="dxa"/>
                  <w:vMerge w:val="continue"/>
                  <w:vAlign w:val="center"/>
                </w:tcPr>
                <w:p>
                  <w:pPr>
                    <w:jc w:val="both"/>
                    <w:rPr>
                      <w:rFonts w:hint="default" w:ascii="Times New Roman" w:hAnsi="Times New Roman" w:cs="Times New Roman"/>
                      <w:sz w:val="21"/>
                      <w:szCs w:val="21"/>
                    </w:rPr>
                  </w:pPr>
                </w:p>
              </w:tc>
              <w:tc>
                <w:tcPr>
                  <w:tcW w:w="1246" w:type="dxa"/>
                  <w:vMerge w:val="continue"/>
                  <w:vAlign w:val="center"/>
                </w:tcPr>
                <w:p>
                  <w:pPr>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95" w:type="dxa"/>
                  <w:gridSpan w:val="2"/>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79、未获得许可，不得从事地理测绘、遥感及相关业务 </w:t>
                  </w:r>
                </w:p>
              </w:tc>
              <w:tc>
                <w:tcPr>
                  <w:tcW w:w="1356" w:type="dxa"/>
                  <w:vMerge w:val="continue"/>
                  <w:vAlign w:val="center"/>
                </w:tcPr>
                <w:p>
                  <w:pPr>
                    <w:jc w:val="both"/>
                    <w:rPr>
                      <w:rFonts w:hint="default" w:ascii="Times New Roman" w:hAnsi="Times New Roman" w:cs="Times New Roman"/>
                      <w:sz w:val="21"/>
                      <w:szCs w:val="21"/>
                    </w:rPr>
                  </w:pPr>
                </w:p>
              </w:tc>
              <w:tc>
                <w:tcPr>
                  <w:tcW w:w="1246" w:type="dxa"/>
                  <w:vMerge w:val="continue"/>
                  <w:vAlign w:val="center"/>
                </w:tcPr>
                <w:p>
                  <w:pPr>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95" w:type="dxa"/>
                  <w:gridSpan w:val="2"/>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80、未获得许可，不得从事特定海洋科学研究活动</w:t>
                  </w:r>
                </w:p>
              </w:tc>
              <w:tc>
                <w:tcPr>
                  <w:tcW w:w="1356" w:type="dxa"/>
                  <w:vMerge w:val="continue"/>
                  <w:vAlign w:val="center"/>
                </w:tcPr>
                <w:p>
                  <w:pPr>
                    <w:jc w:val="both"/>
                    <w:rPr>
                      <w:rFonts w:hint="default" w:ascii="Times New Roman" w:hAnsi="Times New Roman" w:cs="Times New Roman"/>
                      <w:sz w:val="21"/>
                      <w:szCs w:val="21"/>
                    </w:rPr>
                  </w:pPr>
                </w:p>
              </w:tc>
              <w:tc>
                <w:tcPr>
                  <w:tcW w:w="1246" w:type="dxa"/>
                  <w:vMerge w:val="continue"/>
                  <w:vAlign w:val="center"/>
                </w:tcPr>
                <w:p>
                  <w:pPr>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995" w:type="dxa"/>
                  <w:gridSpan w:val="2"/>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81、未获得许可，不得从事特定气象服务</w:t>
                  </w:r>
                </w:p>
              </w:tc>
              <w:tc>
                <w:tcPr>
                  <w:tcW w:w="1356" w:type="dxa"/>
                  <w:vMerge w:val="continue"/>
                  <w:vAlign w:val="center"/>
                </w:tcPr>
                <w:p>
                  <w:pPr>
                    <w:jc w:val="both"/>
                    <w:rPr>
                      <w:rFonts w:hint="default" w:ascii="Times New Roman" w:hAnsi="Times New Roman" w:cs="Times New Roman"/>
                      <w:sz w:val="21"/>
                      <w:szCs w:val="21"/>
                    </w:rPr>
                  </w:pPr>
                </w:p>
              </w:tc>
              <w:tc>
                <w:tcPr>
                  <w:tcW w:w="1246" w:type="dxa"/>
                  <w:vMerge w:val="continue"/>
                  <w:vAlign w:val="center"/>
                </w:tcPr>
                <w:p>
                  <w:pPr>
                    <w:jc w:val="center"/>
                    <w:rPr>
                      <w:rFonts w:hint="default" w:ascii="Times New Roman" w:hAnsi="Times New Roman" w:cs="Times New Roman"/>
                      <w:sz w:val="21"/>
                      <w:szCs w:val="21"/>
                    </w:rPr>
                  </w:pPr>
                </w:p>
              </w:tc>
            </w:tr>
          </w:tbl>
          <w:p>
            <w:pPr>
              <w:widowControl/>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②与《长江经济带发展负面清单指南（试行，2022 年版）》（长江办[2022]7 号）及《长江经济带发展负面清单指南》江苏省实施细则（试行）对照分析</w:t>
            </w:r>
          </w:p>
          <w:p>
            <w:pPr>
              <w:widowControl/>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根据《长江经济带发展负面清单指南（试行，2022 年版）》、《长江经济带发展负面清单指南》江苏省实施细则（试行），本项目不属于负面清单中禁止类项目，具体见表</w:t>
            </w:r>
            <w:r>
              <w:rPr>
                <w:rFonts w:hint="eastAsia" w:ascii="Times New Roman" w:hAnsi="Times New Roman" w:cs="Times New Roman"/>
                <w:sz w:val="24"/>
                <w:szCs w:val="24"/>
                <w:lang w:val="en-US" w:eastAsia="zh-CN"/>
              </w:rPr>
              <w:t>1-9</w:t>
            </w:r>
            <w:r>
              <w:rPr>
                <w:rFonts w:hint="default" w:ascii="Times New Roman" w:hAnsi="Times New Roman" w:cs="Times New Roman"/>
                <w:sz w:val="24"/>
                <w:szCs w:val="24"/>
                <w:lang w:val="en-US" w:eastAsia="zh-CN"/>
              </w:rPr>
              <w:t>。</w:t>
            </w:r>
          </w:p>
          <w:p>
            <w:pPr>
              <w:spacing w:line="460" w:lineRule="exact"/>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val="en-US" w:eastAsia="zh-CN"/>
              </w:rPr>
              <w:t>表</w:t>
            </w:r>
            <w:r>
              <w:rPr>
                <w:rFonts w:hint="eastAsia" w:ascii="Times New Roman" w:hAnsi="Times New Roman" w:cs="Times New Roman"/>
                <w:b/>
                <w:bCs/>
                <w:sz w:val="21"/>
                <w:szCs w:val="21"/>
                <w:lang w:val="en-US" w:eastAsia="zh-CN"/>
              </w:rPr>
              <w:t xml:space="preserve">1-9  </w:t>
            </w:r>
            <w:r>
              <w:rPr>
                <w:rFonts w:hint="default" w:ascii="Times New Roman" w:hAnsi="Times New Roman" w:cs="Times New Roman"/>
                <w:b/>
                <w:bCs/>
                <w:sz w:val="21"/>
                <w:szCs w:val="21"/>
                <w:lang w:val="en-US" w:eastAsia="zh-CN"/>
              </w:rPr>
              <w:t>与长江办[2022]7 号负面清单及实施细则对照分析</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73"/>
              <w:gridCol w:w="2821"/>
              <w:gridCol w:w="1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795" w:type="pct"/>
                  <w:vAlign w:val="center"/>
                </w:tcPr>
                <w:p>
                  <w:pPr>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负面清单及实施细则要求</w:t>
                  </w:r>
                </w:p>
              </w:tc>
              <w:tc>
                <w:tcPr>
                  <w:tcW w:w="1617"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项目情况</w:t>
                  </w:r>
                </w:p>
              </w:tc>
              <w:tc>
                <w:tcPr>
                  <w:tcW w:w="587"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禁止在自然保护区核心区、缓冲区的岸线和河段范围内投资建设旅游和生产经营项目。禁止在风景名胜区核心景区的岸线和河段范围内投资建设与风景名胜资源保护无关的项目。</w:t>
                  </w:r>
                </w:p>
              </w:tc>
              <w:tc>
                <w:tcPr>
                  <w:tcW w:w="1617"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本项目环境影响评价范围内不存在自然保护区和风景名胜区。</w:t>
                  </w:r>
                </w:p>
              </w:tc>
              <w:tc>
                <w:tcPr>
                  <w:tcW w:w="58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禁止在饮用水水源一级保护区的岸线和河段范围内新建、改、扩建与供水设施和保护水源无关的项目，以及网箱养殖、畜禽养殖、 旅游等可能污染饮用水水体的投资建设项目。禁止在饮用水水源二级保护区的岸线和河段范围内新建、改建、扩建排放污染物的投资建设项目。</w:t>
                  </w:r>
                </w:p>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禁止在饮用水水源准保护区岸线和河段范围内新建、扩建对水体污染严重的投资建设项目，改建项目应当消减排污量。</w:t>
                  </w:r>
                </w:p>
              </w:tc>
              <w:tc>
                <w:tcPr>
                  <w:tcW w:w="1617"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本项目环境影响评价范围内不存在饮用水水源保护区。</w:t>
                  </w:r>
                </w:p>
              </w:tc>
              <w:tc>
                <w:tcPr>
                  <w:tcW w:w="58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禁止在国家级和省级水产种质资源保护区的岸线和河段范围内新建围湖造田、围海造地或填海等投资建设项目。严格执行《中华人民共和国湿地保护法》《江苏省湿地保护条例》，禁止在国家湿地公园的岸线和河段范围内挖沙、采矿，以及任何不符合主体功能定位的投资建设项目。</w:t>
                  </w:r>
                </w:p>
              </w:tc>
              <w:tc>
                <w:tcPr>
                  <w:tcW w:w="1617"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本项目用地为工业用地，不属于国家级和省级水产种质资源保护区的岸线和河段范围内和国家湿地公园的岸线和河段范围内。</w:t>
                  </w:r>
                </w:p>
              </w:tc>
              <w:tc>
                <w:tcPr>
                  <w:tcW w:w="58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禁止违法利用、占用长江流域河湖岸线。禁止在《长江岸线保护和开发利用总体规划》划定的岸线保护区和保留区内投资建设除事关公共安全及公众利益的防洪护岸、河道治理、供水、生态环境保护、 航道整治、 国家重要基础设施以外的项目。 禁止在《全国重要江河湖泊水功能区划》划定的河段及湖泊保护区、保留区内投资建设不利于水资源及自然生态保护的项目。</w:t>
                  </w:r>
                </w:p>
              </w:tc>
              <w:tc>
                <w:tcPr>
                  <w:tcW w:w="1617"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本项目环境影响评价范围内不存在《长江岸线保护和开发利用总体规划》划定的岸线保护区和保留区以及《全国重要江河湖泊水功能区划》划定的河段及湖泊保护区、保留区。</w:t>
                  </w:r>
                </w:p>
              </w:tc>
              <w:tc>
                <w:tcPr>
                  <w:tcW w:w="58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禁止在长江干支流、重要湖泊岸线一公里范围内新建、扩建化工园区和化工项目。长江干支流一公里按照长江干支流岸线边界(即水利部门河道管理范围边界)向陆域纵深一公里执行。禁止在长江干流岸线三公里范围内新建、改建、扩建尾矿库、冶炼渣库和磷石膏库，以提升安全、生态环境保护水平为目的的 改建除外。</w:t>
                  </w:r>
                </w:p>
              </w:tc>
              <w:tc>
                <w:tcPr>
                  <w:tcW w:w="1617" w:type="pct"/>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本项目所在区域水系属于淮河流域，不属于长江干支流、重要湖泊岸线一公里范围内。</w:t>
                  </w:r>
                </w:p>
              </w:tc>
              <w:tc>
                <w:tcPr>
                  <w:tcW w:w="58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禁止在合规园区外新建、扩建钢铁、石化、化工、焦化、建材、有色、制浆造纸等高污染项目。合规园区名录按照《&lt;长江经济带发展负面清单指南（试行，2022 年版）)&gt;江苏省实施细则合规园区名录》执行。</w:t>
                  </w:r>
                </w:p>
              </w:tc>
              <w:tc>
                <w:tcPr>
                  <w:tcW w:w="1617" w:type="pct"/>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本项目位于连云港市经济技术开发区扩区，不属于禁止建设的高污染项目</w:t>
                  </w:r>
                </w:p>
              </w:tc>
              <w:tc>
                <w:tcPr>
                  <w:tcW w:w="58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禁止新建、扩建不符合国家石化、现代煤化工等产业布局规划的项目，禁止新建独立焦化项目。</w:t>
                  </w:r>
                </w:p>
              </w:tc>
              <w:tc>
                <w:tcPr>
                  <w:tcW w:w="1617"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本项目不属于石化、现代煤化工及独立焦化等项目。</w:t>
                  </w:r>
                </w:p>
              </w:tc>
              <w:tc>
                <w:tcPr>
                  <w:tcW w:w="58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禁止新建、扩建不符合国家和省产业政策的尿素、磷铵、电石、烧碱、聚氯乙烯、纯碱等行业新增产能项目；禁止新建、改建、 扩建高毒、高残留以及对环境影响大的农药原药(化学合成类) 项目，禁止新建、扩建不符合国家和省产来政策的农药、医药和染料中间体化工项目；禁上新建、扩建国家《产业结构调整指导目录》《江苏省产业结构调整限制、淘汰和禁止目录》明确的限制类、淘汰类、禁止类项目，法律、法规和相关政策明令禁止的落后产能项目，以及明令淘汰的安全生产落后工艺及装备项目。禁止新建、扩建不符合国家产能置换要求的严重过剩产能行业的项目。禁止新建、扩建不符合要求的高耗能高排放项目。</w:t>
                  </w:r>
                </w:p>
              </w:tc>
              <w:tc>
                <w:tcPr>
                  <w:tcW w:w="1617"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本项目不属于禁止建设项目。</w:t>
                  </w:r>
                </w:p>
              </w:tc>
              <w:tc>
                <w:tcPr>
                  <w:tcW w:w="58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符合</w:t>
                  </w:r>
                </w:p>
              </w:tc>
            </w:tr>
          </w:tbl>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val="en-US" w:eastAsia="zh-CN"/>
              </w:rPr>
              <w:t xml:space="preserve">③与《连云港市基于空间控制单元的环境准入制度及负面清单管理办法（试 行）》（连政办发[2018]9 号）对照分析 </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根据《连云港市基于空间控制单元的环境准入制度及负面清单管理办法（试行）》（连政办发[2018]9号）要求，分析本项目与该文的相符性，具体分析结果见表1-</w:t>
            </w:r>
            <w:r>
              <w:rPr>
                <w:rFonts w:hint="eastAsia" w:ascii="Times New Roman" w:hAnsi="Times New Roman" w:cs="Times New Roman"/>
                <w:sz w:val="24"/>
                <w:szCs w:val="24"/>
                <w:lang w:val="en-US" w:eastAsia="zh-CN"/>
              </w:rPr>
              <w:t>10</w:t>
            </w:r>
            <w:r>
              <w:rPr>
                <w:rFonts w:hint="default" w:ascii="Times New Roman" w:hAnsi="Times New Roman" w:cs="Times New Roman"/>
                <w:sz w:val="24"/>
                <w:szCs w:val="24"/>
                <w:lang w:eastAsia="zh-CN"/>
              </w:rPr>
              <w:t>。</w:t>
            </w:r>
          </w:p>
          <w:p>
            <w:pPr>
              <w:spacing w:line="460" w:lineRule="exact"/>
              <w:jc w:val="center"/>
              <w:rPr>
                <w:rFonts w:hint="default" w:ascii="Times New Roman" w:hAnsi="Times New Roman" w:cs="Times New Roman"/>
                <w:b/>
                <w:bCs/>
                <w:sz w:val="21"/>
                <w:szCs w:val="21"/>
                <w:lang w:eastAsia="zh-CN"/>
              </w:rPr>
            </w:pPr>
            <w:r>
              <w:rPr>
                <w:rFonts w:hint="default" w:ascii="Times New Roman" w:hAnsi="Times New Roman" w:cs="Times New Roman"/>
                <w:b/>
                <w:bCs/>
                <w:sz w:val="21"/>
                <w:szCs w:val="21"/>
                <w:lang w:eastAsia="zh-CN"/>
              </w:rPr>
              <w:t>表1-</w:t>
            </w:r>
            <w:r>
              <w:rPr>
                <w:rFonts w:hint="eastAsia" w:ascii="Times New Roman" w:hAnsi="Times New Roman" w:cs="Times New Roman"/>
                <w:b/>
                <w:bCs/>
                <w:sz w:val="21"/>
                <w:szCs w:val="21"/>
                <w:lang w:val="en-US" w:eastAsia="zh-CN"/>
              </w:rPr>
              <w:t xml:space="preserve">10 </w:t>
            </w:r>
            <w:r>
              <w:rPr>
                <w:rFonts w:hint="default" w:ascii="Times New Roman" w:hAnsi="Times New Roman" w:cs="Times New Roman"/>
                <w:b/>
                <w:bCs/>
                <w:sz w:val="21"/>
                <w:szCs w:val="21"/>
                <w:lang w:eastAsia="zh-CN"/>
              </w:rPr>
              <w:t xml:space="preserve">  与当地生态环境准入清单符合性分析表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73"/>
              <w:gridCol w:w="2821"/>
              <w:gridCol w:w="1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2795"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管控内涵</w:t>
                  </w:r>
                </w:p>
              </w:tc>
              <w:tc>
                <w:tcPr>
                  <w:tcW w:w="1617"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项目情况</w:t>
                  </w:r>
                </w:p>
              </w:tc>
              <w:tc>
                <w:tcPr>
                  <w:tcW w:w="587"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建设项目选址应符合主体功能区划、产业发展规划、城市总体规划、土地利用规划、环境保护规划、生态保护红线等要求。新建有污染物排放的工业项目应按规划进入符合产业定位的工业园区或工业集中区。</w:t>
                  </w:r>
                </w:p>
              </w:tc>
              <w:tc>
                <w:tcPr>
                  <w:tcW w:w="161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本项目选址与相关规划以及生态保护红线等要求相符。</w:t>
                  </w:r>
                </w:p>
              </w:tc>
              <w:tc>
                <w:tcPr>
                  <w:tcW w:w="58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据空间管制红线，实行分级分类管控。禁止开发区域内，禁止一切形式的建设活动。风景名胜区、森林公园、重要湿地、饮用水源保护区、生态公益林、水源涵养区、洪水调蓄区、清水通道维护区、海洋保护区内实行有限准入的原则，严格限制有损主导生态功能的建设活动。</w:t>
                  </w:r>
                </w:p>
              </w:tc>
              <w:tc>
                <w:tcPr>
                  <w:tcW w:w="161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距离本项目厂界最近的生态红线管控区为连云港云台山风景名胜区，距离本项目</w:t>
                  </w:r>
                  <w:r>
                    <w:rPr>
                      <w:rFonts w:hint="default" w:ascii="Times New Roman" w:hAnsi="Times New Roman" w:cs="Times New Roman"/>
                      <w:sz w:val="21"/>
                      <w:szCs w:val="21"/>
                      <w:lang w:val="en-US" w:eastAsia="zh-CN"/>
                    </w:rPr>
                    <w:t>南</w:t>
                  </w:r>
                  <w:r>
                    <w:rPr>
                      <w:rFonts w:hint="default" w:ascii="Times New Roman" w:hAnsi="Times New Roman" w:cs="Times New Roman"/>
                      <w:sz w:val="21"/>
                      <w:szCs w:val="21"/>
                      <w:lang w:eastAsia="zh-CN"/>
                    </w:rPr>
                    <w:t>侧2.54km，不在生态空间管控区范围内。</w:t>
                  </w:r>
                </w:p>
              </w:tc>
              <w:tc>
                <w:tcPr>
                  <w:tcW w:w="58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实施严格的流域准入控。水环境综合整治区在无法做到增产不增污的情况下，禁止新（扩）建造纸、焦化、氮肥、有色金属、印染、农副食品加工、原料药制造、制革、农药、电镀等水污染重的项目，禁止建设排放含汞、砷、镉、铬、铅等重金属污染物以及持久性有机污染物的工业项目。</w:t>
                  </w:r>
                </w:p>
              </w:tc>
              <w:tc>
                <w:tcPr>
                  <w:tcW w:w="161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本项目属于C2923 塑料丝、绳及编织品制造，不属于造纸、焦化、氮肥、有色金属、印染、农副食品加工、原料药制造、制革、农药、电镀等水污染重的项目；且不属于建设排放含汞、砷、镉、铬、铅等重金属污染物以及持久性有机污染物的工业项目。</w:t>
                  </w:r>
                </w:p>
              </w:tc>
              <w:tc>
                <w:tcPr>
                  <w:tcW w:w="58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严控大气污染项目，落实禁燃区要求。大气环境质量红线区禁止新（扩）建大气污染严重的火电、冶炼、水泥项目以及燃煤锅炉。禁燃区禁止销售、使用一切高污染燃料项目。</w:t>
                  </w:r>
                </w:p>
              </w:tc>
              <w:tc>
                <w:tcPr>
                  <w:tcW w:w="161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本项目不属于大气污染严重的火电、冶金、水泥项目以及燃煤锅炉项目，本项目能源</w:t>
                  </w:r>
                  <w:r>
                    <w:rPr>
                      <w:rFonts w:hint="eastAsia" w:ascii="Times New Roman" w:hAnsi="Times New Roman" w:cs="Times New Roman"/>
                      <w:sz w:val="21"/>
                      <w:szCs w:val="21"/>
                      <w:lang w:val="en-US" w:eastAsia="zh-CN"/>
                    </w:rPr>
                    <w:t>主要</w:t>
                  </w:r>
                  <w:r>
                    <w:rPr>
                      <w:rFonts w:hint="default" w:ascii="Times New Roman" w:hAnsi="Times New Roman" w:cs="Times New Roman"/>
                      <w:sz w:val="21"/>
                      <w:szCs w:val="21"/>
                      <w:lang w:eastAsia="zh-CN"/>
                    </w:rPr>
                    <w:t>使用电能。</w:t>
                  </w:r>
                </w:p>
              </w:tc>
              <w:tc>
                <w:tcPr>
                  <w:tcW w:w="58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人居安全保障区禁止新（扩）建存在重大环境安全隐患的工业项目。</w:t>
                  </w:r>
                </w:p>
              </w:tc>
              <w:tc>
                <w:tcPr>
                  <w:tcW w:w="161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本项目所在地不属于人居安全保障区且本项目不属于存在重大安全隐患的工业项目。</w:t>
                  </w:r>
                </w:p>
              </w:tc>
              <w:tc>
                <w:tcPr>
                  <w:tcW w:w="58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严格管控钢铁、石化、化工、火电等重点产业布局。钢铁重点布局在赣榆临港产业区，石化重点布局在徐圩新区，化工项目按不同园区的产业定位，布局在具有其产业定位的园区内，严格执行《市政府关于印发连云港市深入推进化工行业转型发展实施细则的通知》（连政办发[2017]7号）和《关于印发连云港市化工产业建设项目环境准入管控要求和负面清单的通知》（连环发[2017]134号）。重点建设徐圩IGCC和赣榆天然气热电联产电厂，其他地区原则上不再新建燃煤电厂。</w:t>
                  </w:r>
                </w:p>
              </w:tc>
              <w:tc>
                <w:tcPr>
                  <w:tcW w:w="161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本项目不属钢铁、石化、化工、火电等重点产业。</w:t>
                  </w:r>
                </w:p>
              </w:tc>
              <w:tc>
                <w:tcPr>
                  <w:tcW w:w="58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工业项目应符合产业政策，不得采用国家、省和本市淘汰的或禁止使用的工艺、技术和设备，不得建设生产工艺或污染防治技术不成熟的项目；限制列入环境保护综合名录（2015年版）的高污染、高环境风险产品的生产。</w:t>
                  </w:r>
                </w:p>
              </w:tc>
              <w:tc>
                <w:tcPr>
                  <w:tcW w:w="161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rPr>
                    <w:t>经表1-1分析，本项目的建设符合国家及地方的产业政策；且本项目不生产《环境保护综合名录》（2021年版）中高污染、高环境风险产品。</w:t>
                  </w:r>
                </w:p>
              </w:tc>
              <w:tc>
                <w:tcPr>
                  <w:tcW w:w="58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工业项目排放污染物必须达到国家和地方规定的污染物排放标准，新建企业生产技术和工艺、水耗、能耗、物耗、产排污情况及环境管理等方面应达到国内先进水平（有清洁生产标准的不得低于国内清洁生产先进水平，有国家效率指南的执行国家先进/标杆水平），扩建、改建的工业项目清洁生产水平不得低于国家清洁生产先进水平。</w:t>
                  </w:r>
                </w:p>
              </w:tc>
              <w:tc>
                <w:tcPr>
                  <w:tcW w:w="161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本项目排放污染物满足国家和地方规定的污染物排放标准；项目能耗、产排污情况优于江苏省连云港市相关指标，项目建成后将制定严格的环境管理制度等。本行业暂无清洁生产标准，本项目采用行业内目前能耗、物耗和污染物排放量均处于领先地位的设备。</w:t>
                  </w:r>
                </w:p>
              </w:tc>
              <w:tc>
                <w:tcPr>
                  <w:tcW w:w="58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95"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工业项目选址区域应有相应的环境容量，未按要求完成污染物总量削减任务的区域和流域，不得建设新增相应污染物排放量的工业项目。</w:t>
                  </w:r>
                </w:p>
              </w:tc>
              <w:tc>
                <w:tcPr>
                  <w:tcW w:w="1617" w:type="pct"/>
                  <w:vAlign w:val="center"/>
                </w:tcPr>
                <w:p>
                  <w:p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根据区域环境质量现状结果，环境空气</w:t>
                  </w:r>
                  <w:r>
                    <w:rPr>
                      <w:rFonts w:hint="default" w:ascii="Times New Roman" w:hAnsi="Times New Roman" w:cs="Times New Roman"/>
                      <w:sz w:val="21"/>
                      <w:szCs w:val="21"/>
                      <w:lang w:val="en-US" w:eastAsia="zh-CN"/>
                    </w:rPr>
                    <w:t>和水环境质量状况满足相应质量标准，</w:t>
                  </w:r>
                  <w:r>
                    <w:rPr>
                      <w:rFonts w:hint="default" w:ascii="Times New Roman" w:hAnsi="Times New Roman" w:cs="Times New Roman"/>
                      <w:sz w:val="21"/>
                      <w:szCs w:val="21"/>
                      <w:lang w:eastAsia="zh-CN"/>
                    </w:rPr>
                    <w:t>区域具有相应的环境容量。</w:t>
                  </w:r>
                </w:p>
              </w:tc>
              <w:tc>
                <w:tcPr>
                  <w:tcW w:w="58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bl>
          <w:p>
            <w:pPr>
              <w:widowControl/>
              <w:spacing w:line="460" w:lineRule="exact"/>
              <w:ind w:firstLine="480" w:firstLineChars="200"/>
              <w:jc w:val="both"/>
              <w:rPr>
                <w:rFonts w:hint="default" w:ascii="Times New Roman" w:hAnsi="Times New Roman" w:cs="Times New Roman"/>
                <w:sz w:val="24"/>
                <w:szCs w:val="24"/>
                <w:lang w:eastAsia="zh-CN"/>
              </w:rPr>
            </w:pPr>
            <w:r>
              <w:rPr>
                <w:rFonts w:hint="eastAsia" w:ascii="宋体" w:hAnsi="宋体" w:eastAsia="宋体" w:cs="宋体"/>
                <w:sz w:val="24"/>
                <w:szCs w:val="24"/>
                <w:lang w:val="en-US" w:eastAsia="zh-CN"/>
              </w:rPr>
              <w:t>④</w:t>
            </w:r>
            <w:r>
              <w:rPr>
                <w:rFonts w:hint="default" w:ascii="Times New Roman" w:hAnsi="Times New Roman" w:cs="Times New Roman"/>
                <w:sz w:val="24"/>
                <w:szCs w:val="24"/>
                <w:lang w:val="en-US" w:eastAsia="zh-CN"/>
              </w:rPr>
              <w:t>与</w:t>
            </w:r>
            <w:r>
              <w:rPr>
                <w:rFonts w:ascii="Times New Roman" w:hAnsi="Times New Roman" w:eastAsia="宋体" w:cs="Times New Roman"/>
                <w:sz w:val="24"/>
                <w:szCs w:val="24"/>
                <w:lang w:eastAsia="zh-CN"/>
              </w:rPr>
              <w:t>《连云港经济技术开发区产业投资项目负面清单（2019 年版）》</w:t>
            </w:r>
            <w:r>
              <w:rPr>
                <w:rFonts w:hint="default" w:ascii="Times New Roman" w:hAnsi="Times New Roman" w:cs="Times New Roman"/>
                <w:sz w:val="24"/>
                <w:szCs w:val="24"/>
                <w:lang w:val="en-US" w:eastAsia="zh-CN"/>
              </w:rPr>
              <w:t xml:space="preserve">对照分析 </w:t>
            </w:r>
          </w:p>
          <w:p>
            <w:pPr>
              <w:spacing w:line="460" w:lineRule="exact"/>
              <w:ind w:firstLine="480" w:firstLineChars="200"/>
              <w:jc w:val="both"/>
              <w:rPr>
                <w:rFonts w:ascii="Times New Roman" w:hAnsi="Times New Roman" w:eastAsia="宋体" w:cs="Times New Roman"/>
                <w:sz w:val="24"/>
                <w:szCs w:val="24"/>
                <w:lang w:val="zh-CN" w:eastAsia="zh-CN"/>
              </w:rPr>
            </w:pPr>
            <w:r>
              <w:rPr>
                <w:rFonts w:ascii="Times New Roman" w:hAnsi="Times New Roman" w:eastAsia="宋体" w:cs="Times New Roman"/>
                <w:sz w:val="24"/>
                <w:szCs w:val="24"/>
                <w:lang w:eastAsia="zh-CN"/>
              </w:rPr>
              <w:t>对照《连云港经济技术开发区产业投资项目负面清单（2019 年版）》，</w:t>
            </w:r>
            <w:r>
              <w:rPr>
                <w:rFonts w:hint="default" w:ascii="Times New Roman" w:hAnsi="Times New Roman" w:eastAsia="宋体" w:cs="Times New Roman"/>
                <w:sz w:val="24"/>
                <w:szCs w:val="24"/>
                <w:lang w:eastAsia="zh-CN"/>
              </w:rPr>
              <w:t>本项目属于C2923 塑料丝、绳及编织品制造</w:t>
            </w:r>
            <w:r>
              <w:rPr>
                <w:rFonts w:hint="eastAsia" w:ascii="Times New Roman" w:hAnsi="Times New Roman" w:eastAsia="宋体" w:cs="Times New Roman"/>
                <w:sz w:val="24"/>
                <w:szCs w:val="24"/>
                <w:lang w:eastAsia="zh-CN"/>
              </w:rPr>
              <w:t>，</w:t>
            </w:r>
            <w:r>
              <w:rPr>
                <w:rFonts w:hint="eastAsia" w:ascii="Times New Roman" w:hAnsi="Times New Roman" w:cs="Times New Roman"/>
                <w:sz w:val="24"/>
                <w:szCs w:val="24"/>
                <w:lang w:val="en-US" w:eastAsia="zh-CN"/>
              </w:rPr>
              <w:t>属于</w:t>
            </w:r>
            <w:r>
              <w:rPr>
                <w:rFonts w:hint="eastAsia" w:ascii="Times New Roman" w:hAnsi="Times New Roman" w:eastAsia="宋体" w:cs="Times New Roman"/>
                <w:sz w:val="24"/>
                <w:szCs w:val="24"/>
                <w:lang w:val="en-US" w:eastAsia="zh-CN"/>
              </w:rPr>
              <w:t>对现有项目进行技术改造，且不新增</w:t>
            </w:r>
            <w:r>
              <w:rPr>
                <w:rFonts w:hint="eastAsia" w:ascii="Times New Roman" w:hAnsi="Times New Roman" w:cs="Times New Roman"/>
                <w:sz w:val="24"/>
                <w:szCs w:val="24"/>
                <w:lang w:val="en-US" w:eastAsia="zh-CN"/>
              </w:rPr>
              <w:t>加</w:t>
            </w:r>
            <w:r>
              <w:rPr>
                <w:rFonts w:hint="eastAsia" w:ascii="Times New Roman" w:hAnsi="Times New Roman" w:eastAsia="宋体" w:cs="Times New Roman"/>
                <w:sz w:val="24"/>
                <w:szCs w:val="24"/>
                <w:lang w:val="en-US" w:eastAsia="zh-CN"/>
              </w:rPr>
              <w:t>产能</w:t>
            </w:r>
            <w:r>
              <w:rPr>
                <w:rFonts w:hint="eastAsia" w:ascii="Times New Roman" w:hAnsi="Times New Roman" w:cs="Times New Roman"/>
                <w:sz w:val="24"/>
                <w:szCs w:val="24"/>
                <w:lang w:eastAsia="zh-CN"/>
              </w:rPr>
              <w:t>。</w:t>
            </w:r>
            <w:r>
              <w:rPr>
                <w:rFonts w:ascii="Times New Roman" w:hAnsi="Times New Roman" w:eastAsia="宋体" w:cs="Times New Roman"/>
                <w:sz w:val="24"/>
                <w:szCs w:val="24"/>
                <w:lang w:eastAsia="zh-CN"/>
              </w:rPr>
              <w:t>具体</w:t>
            </w:r>
            <w:r>
              <w:rPr>
                <w:rFonts w:ascii="Times New Roman" w:hAnsi="Times New Roman" w:eastAsia="宋体" w:cs="Times New Roman"/>
                <w:sz w:val="24"/>
                <w:szCs w:val="24"/>
                <w:lang w:val="zh-CN" w:eastAsia="zh-CN"/>
              </w:rPr>
              <w:t>内容详见表1-</w:t>
            </w:r>
            <w:r>
              <w:rPr>
                <w:rFonts w:hint="eastAsia" w:ascii="Times New Roman" w:hAnsi="Times New Roman" w:cs="Times New Roman"/>
                <w:sz w:val="24"/>
                <w:szCs w:val="24"/>
                <w:lang w:val="en-US" w:eastAsia="zh-CN"/>
              </w:rPr>
              <w:t>11</w:t>
            </w:r>
            <w:r>
              <w:rPr>
                <w:rFonts w:ascii="Times New Roman" w:hAnsi="Times New Roman" w:eastAsia="宋体" w:cs="Times New Roman"/>
                <w:sz w:val="24"/>
                <w:szCs w:val="24"/>
                <w:lang w:val="zh-CN" w:eastAsia="zh-CN"/>
              </w:rPr>
              <w:t>。</w:t>
            </w:r>
          </w:p>
          <w:p>
            <w:pPr>
              <w:spacing w:line="460" w:lineRule="exact"/>
              <w:jc w:val="center"/>
              <w:rPr>
                <w:rFonts w:ascii="Times New Roman" w:hAnsi="Times New Roman" w:eastAsia="宋体" w:cs="Times New Roman"/>
                <w:b/>
                <w:bCs/>
                <w:sz w:val="21"/>
                <w:szCs w:val="21"/>
                <w:lang w:val="zh-CN" w:eastAsia="zh-CN"/>
              </w:rPr>
            </w:pPr>
            <w:r>
              <w:rPr>
                <w:rFonts w:ascii="Times New Roman" w:hAnsi="Times New Roman" w:eastAsia="宋体" w:cs="Times New Roman"/>
                <w:b/>
                <w:bCs/>
                <w:sz w:val="21"/>
                <w:szCs w:val="21"/>
                <w:lang w:val="zh-CN" w:eastAsia="zh-CN"/>
              </w:rPr>
              <w:t>表1-</w:t>
            </w:r>
            <w:r>
              <w:rPr>
                <w:rFonts w:hint="eastAsia" w:ascii="Times New Roman" w:hAnsi="Times New Roman" w:eastAsia="宋体" w:cs="Times New Roman"/>
                <w:b/>
                <w:bCs/>
                <w:sz w:val="21"/>
                <w:szCs w:val="21"/>
                <w:lang w:val="en-US" w:eastAsia="zh-CN"/>
              </w:rPr>
              <w:t>11</w:t>
            </w:r>
            <w:r>
              <w:rPr>
                <w:rFonts w:ascii="Times New Roman" w:hAnsi="Times New Roman" w:eastAsia="宋体" w:cs="Times New Roman"/>
                <w:b/>
                <w:bCs/>
                <w:sz w:val="21"/>
                <w:szCs w:val="21"/>
                <w:lang w:eastAsia="zh-CN"/>
              </w:rPr>
              <w:t xml:space="preserve">  连云港经济技术开发区产业投资项目负面清单</w:t>
            </w:r>
          </w:p>
          <w:tbl>
            <w:tblPr>
              <w:tblStyle w:val="23"/>
              <w:tblW w:w="4994"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80"/>
              <w:gridCol w:w="1983"/>
              <w:gridCol w:w="6052"/>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jc w:val="center"/>
                    <w:rPr>
                      <w:rFonts w:ascii="Times New Roman" w:hAnsi="Times New Roman" w:eastAsia="宋体" w:cs="Times New Roman"/>
                      <w:b/>
                      <w:sz w:val="21"/>
                      <w:szCs w:val="21"/>
                      <w:lang w:eastAsia="zh-CN"/>
                    </w:rPr>
                  </w:pPr>
                  <w:r>
                    <w:rPr>
                      <w:rFonts w:ascii="Times New Roman" w:hAnsi="Times New Roman" w:eastAsia="宋体" w:cs="Times New Roman"/>
                      <w:b/>
                      <w:sz w:val="21"/>
                      <w:szCs w:val="21"/>
                      <w:lang w:eastAsia="zh-CN"/>
                    </w:rPr>
                    <w:t>序号</w:t>
                  </w:r>
                </w:p>
              </w:tc>
              <w:tc>
                <w:tcPr>
                  <w:tcW w:w="1137" w:type="pct"/>
                  <w:vAlign w:val="center"/>
                </w:tcPr>
                <w:p>
                  <w:pPr>
                    <w:jc w:val="center"/>
                    <w:rPr>
                      <w:rFonts w:ascii="Times New Roman" w:hAnsi="Times New Roman" w:eastAsia="宋体" w:cs="Times New Roman"/>
                      <w:b/>
                      <w:sz w:val="21"/>
                      <w:szCs w:val="21"/>
                      <w:lang w:eastAsia="zh-CN"/>
                    </w:rPr>
                  </w:pPr>
                  <w:r>
                    <w:rPr>
                      <w:rFonts w:ascii="Times New Roman" w:hAnsi="Times New Roman" w:eastAsia="宋体" w:cs="Times New Roman"/>
                      <w:b/>
                      <w:sz w:val="21"/>
                      <w:szCs w:val="21"/>
                      <w:lang w:eastAsia="zh-CN"/>
                    </w:rPr>
                    <w:t>类别</w:t>
                  </w:r>
                </w:p>
              </w:tc>
              <w:tc>
                <w:tcPr>
                  <w:tcW w:w="3471" w:type="pct"/>
                  <w:vAlign w:val="center"/>
                </w:tcPr>
                <w:p>
                  <w:pPr>
                    <w:widowControl/>
                    <w:jc w:val="center"/>
                    <w:rPr>
                      <w:rFonts w:ascii="Times New Roman" w:hAnsi="Times New Roman" w:eastAsia="宋体" w:cs="Times New Roman"/>
                      <w:b/>
                      <w:sz w:val="21"/>
                      <w:szCs w:val="21"/>
                      <w:lang w:eastAsia="zh-CN"/>
                    </w:rPr>
                  </w:pPr>
                  <w:r>
                    <w:rPr>
                      <w:rFonts w:ascii="Times New Roman" w:hAnsi="Times New Roman" w:eastAsia="宋体" w:cs="Times New Roman"/>
                      <w:b/>
                      <w:sz w:val="21"/>
                      <w:szCs w:val="21"/>
                      <w:lang w:eastAsia="zh-CN"/>
                    </w:rPr>
                    <w:t>内容</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1</w:t>
                  </w:r>
                </w:p>
              </w:tc>
              <w:tc>
                <w:tcPr>
                  <w:tcW w:w="1137" w:type="pct"/>
                  <w:vAlign w:val="center"/>
                </w:tcPr>
                <w:p>
                  <w:pPr>
                    <w:jc w:val="center"/>
                    <w:rPr>
                      <w:rFonts w:ascii="Times New Roman" w:hAnsi="Times New Roman" w:eastAsia="宋体" w:cs="Times New Roman"/>
                      <w:sz w:val="21"/>
                      <w:szCs w:val="21"/>
                    </w:rPr>
                  </w:pPr>
                  <w:r>
                    <w:rPr>
                      <w:rFonts w:ascii="Times New Roman" w:hAnsi="Times New Roman" w:eastAsia="宋体" w:cs="Times New Roman"/>
                      <w:sz w:val="21"/>
                      <w:szCs w:val="21"/>
                      <w:lang w:eastAsia="zh-CN"/>
                    </w:rPr>
                    <w:t>农副食品加工业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鱼糜制品及水产品干腌制加工，水产饲料制造，农产品水洗、鲜切等初加工，淀粉及淀粉制品制造，反制品制造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2</w:t>
                  </w:r>
                </w:p>
              </w:tc>
              <w:tc>
                <w:tcPr>
                  <w:tcW w:w="1137" w:type="pct"/>
                  <w:vAlign w:val="center"/>
                </w:tcPr>
                <w:p>
                  <w:pPr>
                    <w:widowControl/>
                    <w:jc w:val="center"/>
                    <w:rPr>
                      <w:rFonts w:ascii="Times New Roman" w:hAnsi="Times New Roman" w:eastAsia="宋体" w:cs="Times New Roman"/>
                      <w:sz w:val="21"/>
                      <w:szCs w:val="21"/>
                    </w:rPr>
                  </w:pPr>
                  <w:r>
                    <w:rPr>
                      <w:rFonts w:ascii="Times New Roman" w:hAnsi="Times New Roman" w:eastAsia="宋体" w:cs="Times New Roman"/>
                      <w:sz w:val="21"/>
                      <w:szCs w:val="21"/>
                      <w:lang w:eastAsia="zh-CN"/>
                    </w:rPr>
                    <w:t>食品制造业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味精制造，酱油、食醋及类似制品制造，其它调味品、发酵制品制造中糖精等化学合成甜味剂制造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3</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烟草制品业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烟叶复烤，卷烟制造，其他烟草制品制造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4</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纺织业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棉纺织及印染精加工，毛纺织及染整精加工，麻纺织及染整精加工，丝绢纺织及印染精加工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5</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皮革、毛皮、羽毛及其制品和制鞋业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皮革鞣制加工，毛皮鞣制加工，羽毛(绒)加工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6</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木材加工和木、竹、藤、棕、草制品业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人造板制造，以优质林木为原料的一-次性木制品与木制包装的生产和使用以及木竹加工综合利用率偏低的木竹加工，有机溶剂型涂料的木制品加工工艺</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7</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家具制造业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有机溶剂型涂料的家具制造工艺</w:t>
                  </w:r>
                  <w:r>
                    <w:rPr>
                      <w:rFonts w:hint="eastAsia" w:ascii="Times New Roman" w:hAnsi="Times New Roman" w:eastAsia="宋体" w:cs="Times New Roman"/>
                      <w:sz w:val="21"/>
                      <w:szCs w:val="21"/>
                      <w:lang w:eastAsia="zh-CN"/>
                    </w:rPr>
                    <w:t>（</w:t>
                  </w:r>
                  <w:r>
                    <w:rPr>
                      <w:rFonts w:ascii="Times New Roman" w:hAnsi="Times New Roman" w:eastAsia="宋体" w:cs="Times New Roman"/>
                      <w:sz w:val="21"/>
                      <w:szCs w:val="21"/>
                      <w:lang w:eastAsia="zh-CN"/>
                    </w:rPr>
                    <w:t>高流量低压(HVLP)喷漆工艺除外</w:t>
                  </w:r>
                  <w:r>
                    <w:rPr>
                      <w:rFonts w:hint="eastAsia" w:ascii="Times New Roman" w:hAnsi="Times New Roman" w:eastAsia="宋体" w:cs="Times New Roman"/>
                      <w:sz w:val="21"/>
                      <w:szCs w:val="21"/>
                      <w:lang w:eastAsia="zh-CN"/>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8</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造纸和制品业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纸浆制造，新闻纸、铜版纸、白板纸生产线</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9</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印刷和记录媒介复制业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含苯油墨和添加剂进行表面印刷药包材产品的工艺</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10</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石油加工、炼焦和核燃料加工业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精炼石油产品制造，炼焦，核燃料加工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11</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化学原料和化学制品制造业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基础化学原料制造，肥料制造，农药制造，涂料、油墨、颜料及类似产品制造，合成材料制造，专用化学品制造，炸药、火工及焰火产品制造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12</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医药制造业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新建、扩建古龙酸和维生素C 原粉(包括药用、食品用和饲料用、化妆品用)生产装置，新建药品、食品、饲料、化妆品等用途的维生素 B1、维生素 B2、维生素 B12 (综合利用除外)、维生素 E 原料生产装置，新建青霉素工业盐、6 一氨基青霉烷酸(6-APA)、化学法生产 7-氨基头孢烷酸(7-ACA)、7-氨基-3-去乙酰氧基头孢烷(7-ADCA)、青霉素 V、氨苄青霉素、羟氨苄青霉素、头孢菌素 c发酵、土霉素、四环素、氯霉素、安乃近、扑热息痛、林可霉素、庆大霉素、双氢链霉素、丁肢卡那霉素、麦迪霉素、柱品白霉素、环丙氟哌酸、氟哌酸、氟嗪酸、利福平、咖啡因、柯柯豆碱生产装置，新建紫杉醇(配套红豆杉种植除外)、植物提取法黄连素(配套黄连种植除外)生产装置，新建、改扩建药用丁基橡胶塞、二步法生产输液用塑料瓶生产装置，银汞齐齿科材料</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shd w:val="clear" w:color="auto" w:fill="BEBEBE" w:themeFill="background1" w:themeFillShade="BF"/>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13</w:t>
                  </w:r>
                </w:p>
              </w:tc>
              <w:tc>
                <w:tcPr>
                  <w:tcW w:w="1137" w:type="pct"/>
                  <w:shd w:val="clear" w:color="auto" w:fill="BEBEBE" w:themeFill="background1" w:themeFillShade="BF"/>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化学纤维制造业</w:t>
                  </w:r>
                </w:p>
              </w:tc>
              <w:tc>
                <w:tcPr>
                  <w:tcW w:w="3471" w:type="pct"/>
                  <w:shd w:val="clear" w:color="auto" w:fill="BEBEBE" w:themeFill="background1" w:themeFillShade="BF"/>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纤维素纤维原料及纤维制造，螺杆挤出机直径W90mm；3000吨/年以下的涤纶再生纺短纤维生产装置；塑料丝、绳及编织品制造；塑料人造革、合成革制造；PVC、NBR塑胶手套生产装置（劳防手套、PE手套除外）；二步法生产输液用塑料瓶生产装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14</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非金属矿物制品业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平板玻璃制造；玻璃保温容器制造；中碱玻璃纤维增强复合材料制品；纯手糊法玻璃纤维增强复合材料制品生产线；建筑用沥青制品；沥青混合物；泥炭制品；活性白土</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15</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黑色金属冶炼和压延加工业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炼铁，炼钢；铁合金冶炼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16</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有色金属冶炼和压延加工业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常用有色金属冶炼；贵金属冶炼；稀有稀土金属冶炼；有色金属合金制造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17</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金属制品业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金属表面处理及热处理加工；32系列、25系列、35系列空腹钢窗；粘土砂手工造型铸造生产线；铸造项目采用熔化率小于7吨/小时的铸造冲天炉</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18</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通用设备制造业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电动机驱动旋转直流弧焊机(全系列)</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19</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专用设备制造业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拖拉机制造；其他医疗设备及器械制造中充汞式玻璃体温计、血压计生产装置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20</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汽车制造业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汽柴油车整车制造；低速载货汽车制造；汽车零部件及配件制造中4档及以下机械式车用自动变速箱</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21</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电器机械和器材制造业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光伏设备及兀器件制造中多晶硅制造；小于1000吨/年的太阳能级硅棒制造；太阳能光伏小于5000万片/年的硅片制造；</w:t>
                  </w:r>
                </w:p>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含汞开关和继电器；其他电池制造中铅酸电池、含汞类扣式碱锭电池、含汞类糊式锌保电池、含汞类锌-空气电池、含汞类锌-氧化银电池生产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22</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废旧资源综合利用业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利用市外生活、医疗废弃物作为主要原料的生产加工项目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90"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23</w:t>
                  </w:r>
                </w:p>
              </w:tc>
              <w:tc>
                <w:tcPr>
                  <w:tcW w:w="1137"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交通运输、仓储和物流业</w:t>
                  </w:r>
                </w:p>
              </w:tc>
              <w:tc>
                <w:tcPr>
                  <w:tcW w:w="3471" w:type="pct"/>
                  <w:vAlign w:val="center"/>
                </w:tcPr>
                <w:p>
                  <w:pPr>
                    <w:widowControl/>
                    <w:jc w:val="center"/>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散装煤炭仓储服务；危险品仓储服务；进出口大宗废弃物仓储项目</w:t>
                  </w:r>
                </w:p>
              </w:tc>
            </w:tr>
          </w:tbl>
          <w:p>
            <w:pPr>
              <w:pStyle w:val="35"/>
              <w:spacing w:line="460" w:lineRule="exact"/>
              <w:jc w:val="both"/>
              <w:rPr>
                <w:rFonts w:hint="default" w:ascii="Times New Roman" w:hAnsi="Times New Roman" w:cs="Times New Roman"/>
                <w:b/>
                <w:bCs/>
                <w:sz w:val="24"/>
                <w:szCs w:val="24"/>
                <w:lang w:eastAsia="zh-CN"/>
              </w:rPr>
            </w:pP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eastAsia="zh-CN"/>
              </w:rPr>
              <w:t>、与地区其他环保政策相符性分析</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（1）与《关于做好生态环境和应急管理部门联动工作的意见》（苏环办[2020]101号）相符性分析</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2020年3月24日，江苏省生态环境厅联合江苏省应急管理厅共同发布了《关于做好生态环境和应急管理部门联动工作的意见》（苏环办[2020]101号），要求企业对涉及“脱硫脱硝、煤改气、挥发性有机物回收、污水处理、粉尘治理、RTO焚烧炉”等六类环境治理设施开展安全风险辨识管控。</w:t>
            </w:r>
          </w:p>
          <w:p>
            <w:pPr>
              <w:widowControl/>
              <w:spacing w:line="460" w:lineRule="exact"/>
              <w:ind w:firstLine="480" w:firstLineChars="200"/>
              <w:jc w:val="both"/>
              <w:rPr>
                <w:rFonts w:hint="default" w:ascii="Times New Roman" w:hAnsi="Times New Roman" w:cs="Times New Roman"/>
              </w:rPr>
            </w:pPr>
            <w:r>
              <w:rPr>
                <w:rFonts w:hint="default" w:ascii="Times New Roman" w:hAnsi="Times New Roman" w:cs="Times New Roman"/>
                <w:sz w:val="24"/>
                <w:szCs w:val="24"/>
                <w:lang w:val="en-US" w:eastAsia="zh-CN"/>
              </w:rPr>
              <w:t>本项目不涉及以上六个类别，但本项目涉及有机废气的处置，项目建设投产 前，仍建议开展内部污染防治设施安全风险辨识，将本项目环保设施纳入安全评价中，健全污染防治设施稳定运行和管理责任制度，严格依据标准规范建设环境治理设施，确保环境治理设施安全、稳定、有效运行。</w:t>
            </w:r>
            <w:r>
              <w:rPr>
                <w:rFonts w:hint="default" w:ascii="Times New Roman" w:hAnsi="Times New Roman" w:eastAsia="宋体" w:cs="Times New Roman"/>
                <w:color w:val="000000"/>
                <w:kern w:val="0"/>
                <w:sz w:val="24"/>
                <w:szCs w:val="24"/>
                <w:lang w:val="en-US" w:eastAsia="zh-CN" w:bidi="ar"/>
              </w:rPr>
              <w:t xml:space="preserve"> </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（2）与《关于印发连云港市“三线一单”生态环境分区管控实施方案具体管控要求的通知》（连环发[2021]172号）相符性分析</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2020年12月30日，连云港市生态环境局办公室发布了关于印发《连云港市“三线一单”生态环境分区管控实施方案》的通知（连环发[2020]384号），2021年6月1日，连云港市生态环境局办公室发布了市生态环境局关于印发《连云港市“三线一单”生态环境分区管控实施方案》具体管控要求的通知（连环发[2021]172号），项目对照连环发[2021]172号文具体管控要求进行分析，详见表1-</w:t>
            </w:r>
            <w:r>
              <w:rPr>
                <w:rFonts w:hint="eastAsia" w:ascii="Times New Roman" w:hAnsi="Times New Roman" w:cs="Times New Roman"/>
                <w:sz w:val="24"/>
                <w:szCs w:val="24"/>
                <w:lang w:val="en-US" w:eastAsia="zh-CN"/>
              </w:rPr>
              <w:t>12</w:t>
            </w:r>
            <w:r>
              <w:rPr>
                <w:rFonts w:hint="default" w:ascii="Times New Roman" w:hAnsi="Times New Roman" w:cs="Times New Roman"/>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default" w:ascii="Times New Roman" w:hAnsi="Times New Roman" w:cs="Times New Roman"/>
                <w:b/>
                <w:bCs/>
                <w:sz w:val="21"/>
                <w:szCs w:val="21"/>
                <w:lang w:val="zh-CN" w:eastAsia="zh-CN"/>
              </w:rPr>
            </w:pPr>
            <w:r>
              <w:rPr>
                <w:rFonts w:hint="default" w:ascii="Times New Roman" w:hAnsi="Times New Roman" w:cs="Times New Roman"/>
                <w:b/>
                <w:bCs/>
                <w:sz w:val="21"/>
                <w:szCs w:val="21"/>
                <w:lang w:val="zh-CN" w:eastAsia="zh-CN"/>
              </w:rPr>
              <w:t>表</w:t>
            </w:r>
            <w:r>
              <w:rPr>
                <w:rFonts w:hint="default" w:ascii="Times New Roman" w:hAnsi="Times New Roman" w:cs="Times New Roman"/>
                <w:b/>
                <w:bCs/>
                <w:sz w:val="21"/>
                <w:szCs w:val="21"/>
                <w:lang w:eastAsia="zh-CN"/>
              </w:rPr>
              <w:t>1</w:t>
            </w:r>
            <w:r>
              <w:rPr>
                <w:rFonts w:hint="default" w:ascii="Times New Roman" w:hAnsi="Times New Roman" w:cs="Times New Roman"/>
                <w:b/>
                <w:bCs/>
                <w:sz w:val="21"/>
                <w:szCs w:val="21"/>
                <w:lang w:val="zh-CN" w:eastAsia="zh-CN"/>
              </w:rPr>
              <w:t>-</w:t>
            </w:r>
            <w:r>
              <w:rPr>
                <w:rFonts w:hint="eastAsia" w:ascii="Times New Roman" w:hAnsi="Times New Roman" w:cs="Times New Roman"/>
                <w:b/>
                <w:bCs/>
                <w:sz w:val="21"/>
                <w:szCs w:val="21"/>
                <w:lang w:val="en-US" w:eastAsia="zh-CN"/>
              </w:rPr>
              <w:t>12</w:t>
            </w:r>
            <w:r>
              <w:rPr>
                <w:rFonts w:hint="default" w:ascii="Times New Roman" w:hAnsi="Times New Roman" w:cs="Times New Roman"/>
                <w:b/>
                <w:bCs/>
                <w:sz w:val="21"/>
                <w:szCs w:val="21"/>
                <w:lang w:val="zh-CN" w:eastAsia="zh-CN"/>
              </w:rPr>
              <w:t xml:space="preserve"> </w:t>
            </w:r>
            <w:r>
              <w:rPr>
                <w:rFonts w:hint="default" w:ascii="Times New Roman" w:hAnsi="Times New Roman" w:cs="Times New Roman"/>
                <w:b/>
                <w:bCs/>
                <w:sz w:val="21"/>
                <w:szCs w:val="21"/>
                <w:lang w:eastAsia="zh-CN"/>
              </w:rPr>
              <w:t xml:space="preserve"> </w:t>
            </w:r>
            <w:r>
              <w:rPr>
                <w:rFonts w:hint="default" w:ascii="Times New Roman" w:hAnsi="Times New Roman" w:cs="Times New Roman"/>
                <w:b/>
                <w:bCs/>
                <w:sz w:val="21"/>
                <w:szCs w:val="21"/>
                <w:lang w:val="zh-CN" w:eastAsia="zh-CN"/>
              </w:rPr>
              <w:t>项目与</w:t>
            </w:r>
            <w:r>
              <w:rPr>
                <w:rFonts w:hint="default" w:ascii="Times New Roman" w:hAnsi="Times New Roman" w:cs="Times New Roman"/>
                <w:b/>
                <w:bCs/>
                <w:sz w:val="21"/>
                <w:szCs w:val="21"/>
                <w:lang w:eastAsia="zh-CN"/>
              </w:rPr>
              <w:t>连环发[2021]172号文相符性分析对应表</w:t>
            </w:r>
          </w:p>
          <w:tbl>
            <w:tblPr>
              <w:tblStyle w:val="24"/>
              <w:tblW w:w="85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3749"/>
              <w:gridCol w:w="2747"/>
              <w:gridCol w:w="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1118" w:type="dxa"/>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环境管控单元名称</w:t>
                  </w:r>
                </w:p>
              </w:tc>
              <w:tc>
                <w:tcPr>
                  <w:tcW w:w="3749" w:type="dxa"/>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生态环境准入清单</w:t>
                  </w:r>
                </w:p>
              </w:tc>
              <w:tc>
                <w:tcPr>
                  <w:tcW w:w="2747" w:type="dxa"/>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项目情况</w:t>
                  </w:r>
                </w:p>
              </w:tc>
              <w:tc>
                <w:tcPr>
                  <w:tcW w:w="953" w:type="dxa"/>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1118" w:type="dxa"/>
                  <w:vMerge w:val="restart"/>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开发区扩</w:t>
                  </w:r>
                </w:p>
                <w:p>
                  <w:pPr>
                    <w:widowControl/>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大建设用</w:t>
                  </w:r>
                </w:p>
                <w:p>
                  <w:pPr>
                    <w:widowControl/>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地区域</w:t>
                  </w:r>
                </w:p>
                <w:p>
                  <w:pPr>
                    <w:widowControl/>
                    <w:jc w:val="both"/>
                    <w:rPr>
                      <w:rFonts w:hint="default" w:ascii="Times New Roman" w:hAnsi="Times New Roman" w:cs="Times New Roman"/>
                      <w:sz w:val="21"/>
                      <w:szCs w:val="21"/>
                      <w:lang w:val="en-US" w:eastAsia="zh-CN"/>
                    </w:rPr>
                  </w:pPr>
                </w:p>
              </w:tc>
              <w:tc>
                <w:tcPr>
                  <w:tcW w:w="3749" w:type="dxa"/>
                  <w:vAlign w:val="center"/>
                </w:tcPr>
                <w:p>
                  <w:pPr>
                    <w:widowControl/>
                    <w:jc w:val="both"/>
                    <w:rPr>
                      <w:rFonts w:hint="default" w:ascii="Times New Roman" w:hAnsi="Times New Roman" w:cs="Times New Roman"/>
                      <w:sz w:val="21"/>
                      <w:szCs w:val="21"/>
                    </w:rPr>
                  </w:pPr>
                  <w:r>
                    <w:rPr>
                      <w:rFonts w:hint="default" w:ascii="Times New Roman" w:hAnsi="Times New Roman" w:cs="Times New Roman"/>
                      <w:sz w:val="21"/>
                      <w:szCs w:val="21"/>
                    </w:rPr>
                    <w:t>空间布局约束：</w:t>
                  </w:r>
                </w:p>
                <w:p>
                  <w:pPr>
                    <w:widowControl/>
                    <w:jc w:val="both"/>
                    <w:rPr>
                      <w:rFonts w:hint="default" w:ascii="Times New Roman" w:hAnsi="Times New Roman" w:cs="Times New Roman"/>
                      <w:sz w:val="21"/>
                      <w:szCs w:val="21"/>
                    </w:rPr>
                  </w:pPr>
                  <w:r>
                    <w:rPr>
                      <w:rFonts w:hint="default" w:ascii="Times New Roman" w:hAnsi="Times New Roman" w:cs="Times New Roman"/>
                      <w:sz w:val="21"/>
                      <w:szCs w:val="21"/>
                      <w:lang w:val="en-US" w:eastAsia="zh-CN"/>
                    </w:rPr>
                    <w:t>重点发展一、二类工业等，严禁发展石化、化工等污染严重的三类工业。</w:t>
                  </w:r>
                </w:p>
              </w:tc>
              <w:tc>
                <w:tcPr>
                  <w:tcW w:w="2747" w:type="dxa"/>
                  <w:vAlign w:val="center"/>
                </w:tcPr>
                <w:p>
                  <w:pPr>
                    <w:widowControl/>
                    <w:jc w:val="both"/>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本项目</w:t>
                  </w:r>
                  <w:r>
                    <w:rPr>
                      <w:rFonts w:hint="default" w:ascii="Times New Roman" w:hAnsi="Times New Roman" w:cs="Times New Roman"/>
                      <w:sz w:val="21"/>
                      <w:szCs w:val="21"/>
                      <w:lang w:val="en-US" w:eastAsia="zh-CN"/>
                    </w:rPr>
                    <w:t>不属于石化、化工等污染严重的三类工业</w:t>
                  </w:r>
                </w:p>
              </w:tc>
              <w:tc>
                <w:tcPr>
                  <w:tcW w:w="953"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118" w:type="dxa"/>
                  <w:vMerge w:val="continue"/>
                  <w:vAlign w:val="center"/>
                </w:tcPr>
                <w:p>
                  <w:pPr>
                    <w:widowControl/>
                    <w:jc w:val="both"/>
                    <w:rPr>
                      <w:rFonts w:hint="default" w:ascii="Times New Roman" w:hAnsi="Times New Roman" w:cs="Times New Roman"/>
                      <w:sz w:val="21"/>
                      <w:szCs w:val="21"/>
                    </w:rPr>
                  </w:pPr>
                </w:p>
              </w:tc>
              <w:tc>
                <w:tcPr>
                  <w:tcW w:w="3749" w:type="dxa"/>
                  <w:vAlign w:val="center"/>
                </w:tcPr>
                <w:p>
                  <w:pPr>
                    <w:widowControl/>
                    <w:jc w:val="both"/>
                    <w:rPr>
                      <w:rFonts w:hint="default" w:ascii="Times New Roman" w:hAnsi="Times New Roman" w:cs="Times New Roman"/>
                      <w:sz w:val="21"/>
                      <w:szCs w:val="21"/>
                    </w:rPr>
                  </w:pPr>
                  <w:r>
                    <w:rPr>
                      <w:rFonts w:hint="default" w:ascii="Times New Roman" w:hAnsi="Times New Roman" w:cs="Times New Roman"/>
                      <w:sz w:val="21"/>
                      <w:szCs w:val="21"/>
                    </w:rPr>
                    <w:t>污染物排放管控：</w:t>
                  </w:r>
                </w:p>
                <w:p>
                  <w:pPr>
                    <w:widowControl/>
                    <w:numPr>
                      <w:ilvl w:val="0"/>
                      <w:numId w:val="2"/>
                    </w:numPr>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废气污染物排放量：粉尘（烟尘）100 吨/年，二氧化硫 700 吨/年，氮氧化物 700 吨/年，VOCs（含甲苯、二甲苯） 200 吨/年。</w:t>
                  </w:r>
                </w:p>
                <w:p>
                  <w:pPr>
                    <w:widowControl/>
                    <w:numPr>
                      <w:ilvl w:val="0"/>
                      <w:numId w:val="2"/>
                    </w:numPr>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废水污染物排放量：废水量 500万吨/年、COD2500 吨/年，SS1500 吨/年，氨氮175 吨/年，总氮 250 吨/年，总磷 40 吨/年。</w:t>
                  </w:r>
                </w:p>
              </w:tc>
              <w:tc>
                <w:tcPr>
                  <w:tcW w:w="2747" w:type="dxa"/>
                  <w:vAlign w:val="center"/>
                </w:tcPr>
                <w:p>
                  <w:pPr>
                    <w:widowControl/>
                    <w:jc w:val="both"/>
                    <w:rPr>
                      <w:rFonts w:hint="default" w:ascii="Times New Roman" w:hAnsi="Times New Roman" w:cs="Times New Roman"/>
                      <w:color w:val="FF0000"/>
                      <w:sz w:val="21"/>
                      <w:szCs w:val="21"/>
                      <w:lang w:val="en-US" w:eastAsia="zh-CN"/>
                    </w:rPr>
                  </w:pPr>
                  <w:r>
                    <w:rPr>
                      <w:rFonts w:hint="default" w:ascii="Times New Roman" w:hAnsi="Times New Roman" w:cs="Times New Roman"/>
                      <w:sz w:val="21"/>
                      <w:szCs w:val="21"/>
                      <w:lang w:val="en-US" w:eastAsia="zh-CN"/>
                    </w:rPr>
                    <w:t>本项目废气主要排放非甲烷总烃</w:t>
                  </w:r>
                  <w:r>
                    <w:rPr>
                      <w:rFonts w:hint="eastAsia" w:ascii="Times New Roman" w:hAnsi="Times New Roman" w:cs="Times New Roman"/>
                      <w:sz w:val="21"/>
                      <w:szCs w:val="21"/>
                      <w:lang w:val="en-US" w:eastAsia="zh-CN"/>
                    </w:rPr>
                    <w:t>0.094</w:t>
                  </w:r>
                  <w:r>
                    <w:rPr>
                      <w:rFonts w:hint="default" w:ascii="Times New Roman" w:hAnsi="Times New Roman" w:cs="Times New Roman"/>
                      <w:sz w:val="21"/>
                      <w:szCs w:val="21"/>
                      <w:lang w:val="en-US" w:eastAsia="zh-CN"/>
                    </w:rPr>
                    <w:t>t/a，不新增废水排放，满足总量控制要求。</w:t>
                  </w:r>
                </w:p>
              </w:tc>
              <w:tc>
                <w:tcPr>
                  <w:tcW w:w="953"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118" w:type="dxa"/>
                  <w:vMerge w:val="continue"/>
                  <w:vAlign w:val="center"/>
                </w:tcPr>
                <w:p>
                  <w:pPr>
                    <w:widowControl/>
                    <w:jc w:val="both"/>
                    <w:rPr>
                      <w:rFonts w:hint="default" w:ascii="Times New Roman" w:hAnsi="Times New Roman" w:cs="Times New Roman"/>
                      <w:sz w:val="21"/>
                      <w:szCs w:val="21"/>
                    </w:rPr>
                  </w:pPr>
                </w:p>
              </w:tc>
              <w:tc>
                <w:tcPr>
                  <w:tcW w:w="3749" w:type="dxa"/>
                  <w:vAlign w:val="center"/>
                </w:tcPr>
                <w:p>
                  <w:pPr>
                    <w:widowControl/>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环境风险防控：</w:t>
                  </w:r>
                </w:p>
                <w:p>
                  <w:pPr>
                    <w:widowControl/>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园区应建立环境风险防控体系。</w:t>
                  </w:r>
                </w:p>
                <w:p>
                  <w:pPr>
                    <w:widowControl/>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（1）切实加强集中区环境安全管理工作，在园区基础设施建设中及企业生产项目运营管理中均应制定并落实各类风险防范措施和应急预案。</w:t>
                  </w:r>
                </w:p>
                <w:p>
                  <w:pPr>
                    <w:widowControl/>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（2）定期演练，防止和减轻事故危害。 </w:t>
                  </w:r>
                </w:p>
                <w:p>
                  <w:pPr>
                    <w:widowControl/>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（3）污水处理厂及排放工业废水的企业均有设置足够容量的事故污水池，严禁污水超标排放。</w:t>
                  </w:r>
                </w:p>
              </w:tc>
              <w:tc>
                <w:tcPr>
                  <w:tcW w:w="2747" w:type="dxa"/>
                  <w:vAlign w:val="center"/>
                </w:tcPr>
                <w:p>
                  <w:pPr>
                    <w:widowControl/>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企业应制定各类风险防范措施和应急预案，确定应急组织成员和应急响应程序等，加强日常演练。项目不新增废水。项目满足环境风险防控要求。</w:t>
                  </w:r>
                </w:p>
                <w:p>
                  <w:pPr>
                    <w:widowControl/>
                    <w:jc w:val="both"/>
                    <w:rPr>
                      <w:rFonts w:hint="default" w:ascii="Times New Roman" w:hAnsi="Times New Roman" w:cs="Times New Roman"/>
                      <w:sz w:val="21"/>
                      <w:szCs w:val="21"/>
                      <w:lang w:val="en-US" w:eastAsia="zh-CN"/>
                    </w:rPr>
                  </w:pPr>
                </w:p>
                <w:p>
                  <w:pPr>
                    <w:widowControl/>
                    <w:jc w:val="both"/>
                    <w:rPr>
                      <w:rFonts w:hint="default" w:ascii="Times New Roman" w:hAnsi="Times New Roman" w:cs="Times New Roman"/>
                      <w:sz w:val="21"/>
                      <w:szCs w:val="21"/>
                      <w:lang w:val="en-US" w:eastAsia="zh-CN"/>
                    </w:rPr>
                  </w:pPr>
                </w:p>
              </w:tc>
              <w:tc>
                <w:tcPr>
                  <w:tcW w:w="953"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118" w:type="dxa"/>
                  <w:vMerge w:val="continue"/>
                  <w:vAlign w:val="center"/>
                </w:tcPr>
                <w:p>
                  <w:pPr>
                    <w:widowControl/>
                    <w:jc w:val="both"/>
                    <w:rPr>
                      <w:rFonts w:hint="default" w:ascii="Times New Roman" w:hAnsi="Times New Roman" w:cs="Times New Roman"/>
                      <w:sz w:val="21"/>
                      <w:szCs w:val="21"/>
                    </w:rPr>
                  </w:pPr>
                </w:p>
              </w:tc>
              <w:tc>
                <w:tcPr>
                  <w:tcW w:w="3749" w:type="dxa"/>
                  <w:vAlign w:val="center"/>
                </w:tcPr>
                <w:p>
                  <w:pPr>
                    <w:widowControl/>
                    <w:jc w:val="both"/>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资源利用效率要求：</w:t>
                  </w:r>
                </w:p>
                <w:p>
                  <w:pPr>
                    <w:widowControl/>
                    <w:jc w:val="both"/>
                    <w:rPr>
                      <w:rFonts w:hint="default" w:ascii="Times New Roman" w:hAnsi="Times New Roman" w:cs="Times New Roman"/>
                      <w:sz w:val="21"/>
                      <w:szCs w:val="21"/>
                      <w:lang w:eastAsia="zh-CN"/>
                    </w:rPr>
                  </w:pPr>
                  <w:r>
                    <w:rPr>
                      <w:rFonts w:hint="default" w:ascii="Times New Roman" w:hAnsi="Times New Roman" w:cs="Times New Roman"/>
                      <w:sz w:val="21"/>
                      <w:szCs w:val="21"/>
                      <w:lang w:val="en-US" w:eastAsia="zh-CN"/>
                    </w:rPr>
                    <w:t>2020年单位GDP能耗0.52 吨标煤/万元，2020年单位 GDP 水耗为10m</w:t>
                  </w:r>
                  <w:r>
                    <w:rPr>
                      <w:rFonts w:hint="default" w:ascii="Times New Roman" w:hAnsi="Times New Roman" w:cs="Times New Roman"/>
                      <w:sz w:val="21"/>
                      <w:szCs w:val="21"/>
                      <w:vertAlign w:val="superscript"/>
                      <w:lang w:val="en-US" w:eastAsia="zh-CN"/>
                    </w:rPr>
                    <w:t>3</w:t>
                  </w:r>
                  <w:r>
                    <w:rPr>
                      <w:rFonts w:hint="default" w:ascii="Times New Roman" w:hAnsi="Times New Roman" w:cs="Times New Roman"/>
                      <w:sz w:val="21"/>
                      <w:szCs w:val="21"/>
                      <w:lang w:val="en-US" w:eastAsia="zh-CN"/>
                    </w:rPr>
                    <w:t>/万元。</w:t>
                  </w:r>
                </w:p>
              </w:tc>
              <w:tc>
                <w:tcPr>
                  <w:tcW w:w="2747" w:type="dxa"/>
                  <w:vAlign w:val="center"/>
                </w:tcPr>
                <w:p>
                  <w:pPr>
                    <w:widowControl/>
                    <w:jc w:val="both"/>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项目不新增新鲜水用量，</w:t>
                  </w:r>
                  <w:r>
                    <w:rPr>
                      <w:rFonts w:hint="default" w:ascii="Times New Roman" w:hAnsi="Times New Roman" w:cs="Times New Roman"/>
                      <w:color w:val="auto"/>
                      <w:sz w:val="21"/>
                      <w:szCs w:val="21"/>
                      <w:lang w:eastAsia="zh-CN"/>
                    </w:rPr>
                    <w:t>单位GDP能耗为0.</w:t>
                  </w:r>
                  <w:r>
                    <w:rPr>
                      <w:rFonts w:hint="default" w:ascii="Times New Roman" w:hAnsi="Times New Roman" w:cs="Times New Roman"/>
                      <w:color w:val="auto"/>
                      <w:sz w:val="21"/>
                      <w:szCs w:val="21"/>
                      <w:lang w:val="en-US" w:eastAsia="zh-CN"/>
                    </w:rPr>
                    <w:t>0307</w:t>
                  </w:r>
                  <w:r>
                    <w:rPr>
                      <w:rFonts w:hint="default" w:ascii="Times New Roman" w:hAnsi="Times New Roman" w:cs="Times New Roman"/>
                      <w:color w:val="auto"/>
                      <w:sz w:val="21"/>
                      <w:szCs w:val="21"/>
                      <w:lang w:eastAsia="zh-CN"/>
                    </w:rPr>
                    <w:t>吨/万元，</w:t>
                  </w:r>
                  <w:r>
                    <w:rPr>
                      <w:rFonts w:hint="default" w:ascii="Times New Roman" w:hAnsi="Times New Roman" w:cs="Times New Roman"/>
                      <w:color w:val="auto"/>
                      <w:sz w:val="21"/>
                      <w:szCs w:val="21"/>
                      <w:lang w:val="en-US" w:eastAsia="zh-CN"/>
                    </w:rPr>
                    <w:t>满足</w:t>
                  </w:r>
                  <w:r>
                    <w:rPr>
                      <w:rFonts w:hint="default" w:ascii="Times New Roman" w:hAnsi="Times New Roman" w:cs="Times New Roman"/>
                      <w:sz w:val="21"/>
                      <w:szCs w:val="21"/>
                      <w:lang w:val="en-US" w:eastAsia="zh-CN"/>
                    </w:rPr>
                    <w:t>资源利用效率要求。</w:t>
                  </w:r>
                </w:p>
              </w:tc>
              <w:tc>
                <w:tcPr>
                  <w:tcW w:w="953"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bl>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（3）与《江苏省政府关于印发江苏省“三线一单”生态环境分区管控方案的通知》（苏政发</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lang w:eastAsia="zh-CN"/>
              </w:rPr>
              <w:t>2020</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lang w:eastAsia="zh-CN"/>
              </w:rPr>
              <w:t>49号）相符性分析</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本项目位于</w:t>
            </w:r>
            <w:r>
              <w:rPr>
                <w:rFonts w:hint="default" w:ascii="Times New Roman" w:hAnsi="Times New Roman" w:cs="Times New Roman"/>
                <w:sz w:val="24"/>
                <w:szCs w:val="24"/>
              </w:rPr>
              <w:t>连云港市经济技术开发区扩区</w:t>
            </w:r>
            <w:r>
              <w:rPr>
                <w:rFonts w:hint="default" w:ascii="Times New Roman" w:hAnsi="Times New Roman" w:cs="Times New Roman"/>
                <w:sz w:val="24"/>
                <w:szCs w:val="24"/>
                <w:lang w:eastAsia="zh-CN"/>
              </w:rPr>
              <w:t>，连云港市属于淮河流域，根据《苏政发</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lang w:eastAsia="zh-CN"/>
              </w:rPr>
              <w:t>2020</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lang w:eastAsia="zh-CN"/>
              </w:rPr>
              <w:t>49号》中重点流域环境管控要求，相符性见下表。</w:t>
            </w:r>
          </w:p>
          <w:p>
            <w:pPr>
              <w:spacing w:line="460" w:lineRule="exact"/>
              <w:ind w:left="422" w:hanging="422"/>
              <w:jc w:val="center"/>
              <w:rPr>
                <w:rFonts w:hint="default" w:ascii="Times New Roman" w:hAnsi="Times New Roman" w:cs="Times New Roman"/>
                <w:b/>
                <w:bCs/>
                <w:sz w:val="21"/>
                <w:szCs w:val="21"/>
              </w:rPr>
            </w:pPr>
            <w:r>
              <w:rPr>
                <w:rFonts w:hint="default" w:ascii="Times New Roman" w:hAnsi="Times New Roman" w:cs="Times New Roman"/>
                <w:b/>
                <w:bCs/>
                <w:sz w:val="21"/>
                <w:szCs w:val="21"/>
              </w:rPr>
              <w:t>表1-</w:t>
            </w:r>
            <w:r>
              <w:rPr>
                <w:rFonts w:hint="eastAsia" w:ascii="Times New Roman" w:hAnsi="Times New Roman" w:cs="Times New Roman"/>
                <w:b/>
                <w:bCs/>
                <w:sz w:val="21"/>
                <w:szCs w:val="21"/>
                <w:lang w:val="en-US" w:eastAsia="zh-CN"/>
              </w:rPr>
              <w:t>13</w:t>
            </w:r>
            <w:r>
              <w:rPr>
                <w:rFonts w:hint="default" w:ascii="Times New Roman" w:hAnsi="Times New Roman" w:cs="Times New Roman"/>
                <w:b/>
                <w:bCs/>
                <w:sz w:val="21"/>
                <w:szCs w:val="21"/>
              </w:rPr>
              <w:t xml:space="preserve">  与苏政发</w:t>
            </w:r>
            <w:r>
              <w:rPr>
                <w:rFonts w:hint="default" w:ascii="Times New Roman" w:hAnsi="Times New Roman" w:cs="Times New Roman"/>
                <w:b/>
                <w:bCs/>
                <w:sz w:val="21"/>
                <w:szCs w:val="21"/>
                <w:lang w:val="en-US" w:eastAsia="zh-CN"/>
              </w:rPr>
              <w:t>[</w:t>
            </w:r>
            <w:r>
              <w:rPr>
                <w:rFonts w:hint="default" w:ascii="Times New Roman" w:hAnsi="Times New Roman" w:cs="Times New Roman"/>
                <w:b/>
                <w:bCs/>
                <w:sz w:val="21"/>
                <w:szCs w:val="21"/>
              </w:rPr>
              <w:t>2020</w:t>
            </w:r>
            <w:r>
              <w:rPr>
                <w:rFonts w:hint="default" w:ascii="Times New Roman" w:hAnsi="Times New Roman" w:cs="Times New Roman"/>
                <w:b/>
                <w:bCs/>
                <w:sz w:val="21"/>
                <w:szCs w:val="21"/>
                <w:lang w:val="en-US" w:eastAsia="zh-CN"/>
              </w:rPr>
              <w:t>]</w:t>
            </w:r>
            <w:r>
              <w:rPr>
                <w:rFonts w:hint="default" w:ascii="Times New Roman" w:hAnsi="Times New Roman" w:cs="Times New Roman"/>
                <w:b/>
                <w:bCs/>
                <w:sz w:val="21"/>
                <w:szCs w:val="21"/>
              </w:rPr>
              <w:t>49号相符性分析表</w:t>
            </w:r>
          </w:p>
          <w:tbl>
            <w:tblPr>
              <w:tblStyle w:val="23"/>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933"/>
              <w:gridCol w:w="4122"/>
              <w:gridCol w:w="3037"/>
              <w:gridCol w:w="63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535"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管控类别</w:t>
                  </w:r>
                </w:p>
              </w:tc>
              <w:tc>
                <w:tcPr>
                  <w:tcW w:w="2362"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重点管控要求</w:t>
                  </w:r>
                </w:p>
              </w:tc>
              <w:tc>
                <w:tcPr>
                  <w:tcW w:w="1740"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项目情况</w:t>
                  </w:r>
                </w:p>
              </w:tc>
              <w:tc>
                <w:tcPr>
                  <w:tcW w:w="363"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符合</w:t>
                  </w:r>
                </w:p>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535"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空间布局约束</w:t>
                  </w:r>
                </w:p>
              </w:tc>
              <w:tc>
                <w:tcPr>
                  <w:tcW w:w="2362" w:type="pct"/>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1.禁止在淮河流域新建化学制浆造纸企业，禁止在淮河流域新建制革、化工、印染、电镀、酿造等污染严重的小型企业。</w:t>
                  </w:r>
                </w:p>
                <w:p>
                  <w:pPr>
                    <w:jc w:val="both"/>
                    <w:rPr>
                      <w:rFonts w:hint="default" w:ascii="Times New Roman" w:hAnsi="Times New Roman" w:cs="Times New Roman"/>
                      <w:sz w:val="21"/>
                      <w:szCs w:val="21"/>
                    </w:rPr>
                  </w:pPr>
                  <w:r>
                    <w:rPr>
                      <w:rFonts w:hint="default" w:ascii="Times New Roman" w:hAnsi="Times New Roman" w:cs="Times New Roman"/>
                      <w:sz w:val="21"/>
                      <w:szCs w:val="21"/>
                    </w:rPr>
                    <w:t>2. 落实《江苏省通榆河水污染防治条例》，在通榆河一级保护区、二级保护区，禁止新建、改建、扩建制浆、造纸、化工、制革、空间布局酿造、染料、印染、电镀、炼油、铅酸蓄电池和排放水污染物的黑色金属冶炼及压延加工项目、有色金属冶炼及压延加工项目、金属属制品项目等污染环境的项目。</w:t>
                  </w:r>
                </w:p>
                <w:p>
                  <w:pPr>
                    <w:jc w:val="both"/>
                    <w:rPr>
                      <w:rFonts w:hint="default" w:ascii="Times New Roman" w:hAnsi="Times New Roman" w:cs="Times New Roman"/>
                      <w:sz w:val="21"/>
                      <w:szCs w:val="21"/>
                    </w:rPr>
                  </w:pPr>
                  <w:r>
                    <w:rPr>
                      <w:rFonts w:hint="default" w:ascii="Times New Roman" w:hAnsi="Times New Roman" w:cs="Times New Roman"/>
                      <w:sz w:val="21"/>
                      <w:szCs w:val="21"/>
                    </w:rPr>
                    <w:t>3. 在通榆河一级保护区，禁止新建、扩建直接或者间接向水体排放污染物的项目，禁止建设工业固体废物集中贮存、利用、处置设施或者场所以及城市生活垃圾填埋场，禁止新建规模化畜禽养殖场。</w:t>
                  </w:r>
                </w:p>
              </w:tc>
              <w:tc>
                <w:tcPr>
                  <w:tcW w:w="1740" w:type="pct"/>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本项目为</w:t>
                  </w:r>
                  <w:r>
                    <w:rPr>
                      <w:rFonts w:hint="default" w:ascii="Times New Roman" w:hAnsi="Times New Roman" w:cs="Times New Roman"/>
                      <w:sz w:val="21"/>
                      <w:szCs w:val="21"/>
                      <w:lang w:eastAsia="zh-CN"/>
                    </w:rPr>
                    <w:t>C2923 塑料丝、绳及编织品制造</w:t>
                  </w:r>
                  <w:r>
                    <w:rPr>
                      <w:rFonts w:hint="default" w:ascii="Times New Roman" w:hAnsi="Times New Roman" w:cs="Times New Roman"/>
                      <w:sz w:val="21"/>
                      <w:szCs w:val="21"/>
                    </w:rPr>
                    <w:t>，不属于禁止建设类项目，项目不在通榆一级、二级保护区范围内，不涉及保护区内禁止建设类项目。</w:t>
                  </w:r>
                </w:p>
              </w:tc>
              <w:tc>
                <w:tcPr>
                  <w:tcW w:w="363"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535"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污染物排放管控</w:t>
                  </w:r>
                </w:p>
              </w:tc>
              <w:tc>
                <w:tcPr>
                  <w:tcW w:w="2362"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污染物排放按照《淮河流域水污染防治暂行条例》实施排污总量控制制度。</w:t>
                  </w:r>
                </w:p>
              </w:tc>
              <w:tc>
                <w:tcPr>
                  <w:tcW w:w="1740" w:type="pct"/>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eastAsia="宋体" w:cs="Times New Roman"/>
                      <w:color w:val="000000"/>
                      <w:kern w:val="0"/>
                      <w:sz w:val="21"/>
                      <w:szCs w:val="21"/>
                      <w:lang w:val="en-US" w:eastAsia="zh-CN" w:bidi="ar"/>
                    </w:rPr>
                    <w:t>本次目大气污染物排放主要为非甲烷总烃，采取相应收集和处理措施后，</w:t>
                  </w:r>
                  <w:r>
                    <w:rPr>
                      <w:rFonts w:hint="default" w:ascii="Times New Roman" w:hAnsi="Times New Roman" w:cs="Times New Roman"/>
                      <w:sz w:val="21"/>
                      <w:szCs w:val="21"/>
                    </w:rPr>
                    <w:t>能够实现达标排放；</w:t>
                  </w:r>
                  <w:r>
                    <w:rPr>
                      <w:rFonts w:hint="default" w:ascii="Times New Roman" w:hAnsi="Times New Roman" w:eastAsia="宋体" w:cs="Times New Roman"/>
                      <w:color w:val="000000"/>
                      <w:kern w:val="0"/>
                      <w:sz w:val="21"/>
                      <w:szCs w:val="21"/>
                      <w:lang w:val="en-US" w:eastAsia="zh-CN" w:bidi="ar"/>
                    </w:rPr>
                    <w:t>全厂不新增废水污染物，总量在开发区区域内平衡；</w:t>
                  </w:r>
                  <w:r>
                    <w:rPr>
                      <w:rFonts w:hint="default" w:ascii="Times New Roman" w:hAnsi="Times New Roman" w:cs="Times New Roman"/>
                      <w:sz w:val="21"/>
                      <w:szCs w:val="21"/>
                    </w:rPr>
                    <w:t>项目固废全部综合利用或安全处置。</w:t>
                  </w:r>
                </w:p>
              </w:tc>
              <w:tc>
                <w:tcPr>
                  <w:tcW w:w="363"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535"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环境风险防控</w:t>
                  </w:r>
                </w:p>
              </w:tc>
              <w:tc>
                <w:tcPr>
                  <w:tcW w:w="2362"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禁止运输剧毒化学品以及国家规定禁止通过内河运输的其他危险化学品的船舶进入通榆河及主要供水河道。</w:t>
                  </w:r>
                </w:p>
              </w:tc>
              <w:tc>
                <w:tcPr>
                  <w:tcW w:w="1740"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本项目不涉及剧毒化学品。</w:t>
                  </w:r>
                </w:p>
              </w:tc>
              <w:tc>
                <w:tcPr>
                  <w:tcW w:w="363"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3" w:hRule="atLeast"/>
              </w:trPr>
              <w:tc>
                <w:tcPr>
                  <w:tcW w:w="535"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资源利用效率要求</w:t>
                  </w:r>
                </w:p>
              </w:tc>
              <w:tc>
                <w:tcPr>
                  <w:tcW w:w="2362"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限制缺水地区发展耗水型产业， 调整缺水地区的产业结构，严格控制高耗水、高耗能和重污染的建设项目。</w:t>
                  </w:r>
                </w:p>
              </w:tc>
              <w:tc>
                <w:tcPr>
                  <w:tcW w:w="1740"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本项目</w:t>
                  </w:r>
                  <w:r>
                    <w:rPr>
                      <w:rFonts w:hint="default" w:ascii="Times New Roman" w:hAnsi="Times New Roman" w:cs="Times New Roman"/>
                      <w:sz w:val="21"/>
                      <w:szCs w:val="21"/>
                      <w:lang w:val="en-US" w:eastAsia="zh-CN"/>
                    </w:rPr>
                    <w:t>租赁</w:t>
                  </w:r>
                  <w:r>
                    <w:rPr>
                      <w:rFonts w:hint="default" w:ascii="Times New Roman" w:hAnsi="Times New Roman" w:cs="Times New Roman"/>
                      <w:sz w:val="21"/>
                      <w:szCs w:val="21"/>
                    </w:rPr>
                    <w:t>连云港市经济技术开发区内</w:t>
                  </w:r>
                  <w:r>
                    <w:rPr>
                      <w:rFonts w:hint="default" w:ascii="Times New Roman" w:hAnsi="Times New Roman" w:cs="Times New Roman"/>
                      <w:sz w:val="21"/>
                      <w:szCs w:val="21"/>
                      <w:lang w:val="en-US" w:eastAsia="zh-CN"/>
                    </w:rPr>
                    <w:t>现有厂房</w:t>
                  </w:r>
                  <w:r>
                    <w:rPr>
                      <w:rFonts w:hint="default" w:ascii="Times New Roman" w:hAnsi="Times New Roman" w:cs="Times New Roman"/>
                      <w:sz w:val="21"/>
                      <w:szCs w:val="21"/>
                    </w:rPr>
                    <w:t>，项目不属高耗水型产业。</w:t>
                  </w:r>
                </w:p>
              </w:tc>
              <w:tc>
                <w:tcPr>
                  <w:tcW w:w="363"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bl>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根据上表分析，本项目与苏政发</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lang w:eastAsia="zh-CN"/>
              </w:rPr>
              <w:t>2020</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lang w:eastAsia="zh-CN"/>
              </w:rPr>
              <w:t>49号要求相符。</w:t>
            </w:r>
          </w:p>
          <w:p>
            <w:pPr>
              <w:widowControl/>
              <w:spacing w:line="460" w:lineRule="exact"/>
              <w:ind w:firstLine="480" w:firstLineChars="200"/>
              <w:jc w:val="both"/>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（4）与《长三角地区2020-2021年秋冬季大气污染综合治理攻坚行动方案》（环大气[2020]62号）相符性分析</w:t>
            </w:r>
          </w:p>
          <w:p>
            <w:pPr>
              <w:spacing w:line="500" w:lineRule="exact"/>
              <w:ind w:firstLine="422" w:firstLineChars="200"/>
              <w:jc w:val="center"/>
              <w:rPr>
                <w:rFonts w:hint="default" w:ascii="Times New Roman" w:hAnsi="Times New Roman" w:cs="Times New Roman"/>
                <w:b/>
                <w:bCs/>
                <w:sz w:val="21"/>
                <w:szCs w:val="21"/>
              </w:rPr>
            </w:pPr>
            <w:r>
              <w:rPr>
                <w:rFonts w:hint="default" w:ascii="Times New Roman" w:hAnsi="Times New Roman" w:cs="Times New Roman"/>
                <w:b/>
                <w:bCs/>
                <w:sz w:val="21"/>
                <w:szCs w:val="21"/>
              </w:rPr>
              <w:t>表1-</w:t>
            </w:r>
            <w:r>
              <w:rPr>
                <w:rFonts w:hint="eastAsia" w:ascii="Times New Roman" w:hAnsi="Times New Roman" w:cs="Times New Roman"/>
                <w:b/>
                <w:bCs/>
                <w:sz w:val="21"/>
                <w:szCs w:val="21"/>
                <w:lang w:val="en-US" w:eastAsia="zh-CN"/>
              </w:rPr>
              <w:t xml:space="preserve">14  </w:t>
            </w:r>
            <w:r>
              <w:rPr>
                <w:rFonts w:hint="default" w:ascii="Times New Roman" w:hAnsi="Times New Roman" w:cs="Times New Roman"/>
                <w:b/>
                <w:bCs/>
                <w:sz w:val="21"/>
                <w:szCs w:val="21"/>
              </w:rPr>
              <w:t>项目与环大气</w:t>
            </w:r>
            <w:r>
              <w:rPr>
                <w:rFonts w:hint="default" w:ascii="Times New Roman" w:hAnsi="Times New Roman" w:cs="Times New Roman"/>
                <w:b/>
                <w:bCs/>
                <w:sz w:val="21"/>
                <w:szCs w:val="21"/>
                <w:lang w:val="en-US" w:eastAsia="zh-CN"/>
              </w:rPr>
              <w:t>[</w:t>
            </w:r>
            <w:r>
              <w:rPr>
                <w:rFonts w:hint="default" w:ascii="Times New Roman" w:hAnsi="Times New Roman" w:cs="Times New Roman"/>
                <w:b/>
                <w:bCs/>
                <w:sz w:val="21"/>
                <w:szCs w:val="21"/>
              </w:rPr>
              <w:t>2020</w:t>
            </w:r>
            <w:r>
              <w:rPr>
                <w:rFonts w:hint="default" w:ascii="Times New Roman" w:hAnsi="Times New Roman" w:cs="Times New Roman"/>
                <w:b/>
                <w:bCs/>
                <w:sz w:val="21"/>
                <w:szCs w:val="21"/>
                <w:lang w:val="en-US" w:eastAsia="zh-CN"/>
              </w:rPr>
              <w:t>]</w:t>
            </w:r>
            <w:r>
              <w:rPr>
                <w:rFonts w:hint="default" w:ascii="Times New Roman" w:hAnsi="Times New Roman" w:cs="Times New Roman"/>
                <w:b/>
                <w:bCs/>
                <w:sz w:val="21"/>
                <w:szCs w:val="21"/>
              </w:rPr>
              <w:t>62号相符性分析对应表</w:t>
            </w:r>
          </w:p>
          <w:tbl>
            <w:tblPr>
              <w:tblStyle w:val="23"/>
              <w:tblW w:w="484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735"/>
              <w:gridCol w:w="6187"/>
              <w:gridCol w:w="152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52" w:hRule="atLeast"/>
                <w:jc w:val="center"/>
              </w:trPr>
              <w:tc>
                <w:tcPr>
                  <w:tcW w:w="735" w:type="dxa"/>
                  <w:tcBorders>
                    <w:tl2br w:val="nil"/>
                    <w:tr2bl w:val="nil"/>
                  </w:tcBorders>
                  <w:vAlign w:val="center"/>
                </w:tcPr>
                <w:p>
                  <w:pPr>
                    <w:widowControl/>
                    <w:rPr>
                      <w:rFonts w:hint="default" w:ascii="Times New Roman" w:hAnsi="Times New Roman" w:cs="Times New Roman"/>
                      <w:b/>
                      <w:bCs/>
                      <w:sz w:val="21"/>
                      <w:szCs w:val="21"/>
                    </w:rPr>
                  </w:pPr>
                  <w:r>
                    <w:rPr>
                      <w:rFonts w:hint="default" w:ascii="Times New Roman" w:hAnsi="Times New Roman" w:cs="Times New Roman"/>
                      <w:b/>
                      <w:bCs/>
                      <w:sz w:val="21"/>
                      <w:szCs w:val="21"/>
                    </w:rPr>
                    <w:t>序号</w:t>
                  </w:r>
                </w:p>
              </w:tc>
              <w:tc>
                <w:tcPr>
                  <w:tcW w:w="6189" w:type="dxa"/>
                  <w:tcBorders>
                    <w:tl2br w:val="nil"/>
                    <w:tr2bl w:val="nil"/>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文件相关内容</w:t>
                  </w:r>
                </w:p>
              </w:tc>
              <w:tc>
                <w:tcPr>
                  <w:tcW w:w="1524" w:type="dxa"/>
                  <w:tcBorders>
                    <w:tl2br w:val="nil"/>
                    <w:tr2bl w:val="nil"/>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相符性分析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270" w:hRule="atLeast"/>
                <w:jc w:val="center"/>
              </w:trPr>
              <w:tc>
                <w:tcPr>
                  <w:tcW w:w="735"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6189"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严防“散乱污”企业反弹。各城市完善动态管理机制，实现“散乱污”企业动态清零。将完成整改的企业及时移出“散乱污”清单，对新发现的“散乱污”企业建档立册，及时纳入管理台账。进一步夯实网格化管理，落实乡镇街道属地管理责任，定期开展排查整治工作，发现一起、整治一起。坚决防止已关停取缔的“散乱污”企业死灰复燃、异地转移，坚决遏制反弹现象。创新监管方式，充分运用电网公司专用变压器电量数据以及卫星遥感、无人机等技术，扎实开展“散乱污”企业排查及监管工作。</w:t>
                  </w:r>
                </w:p>
              </w:tc>
              <w:tc>
                <w:tcPr>
                  <w:tcW w:w="1524"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本项目不属于“散乱污”企业。</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40" w:hRule="atLeast"/>
                <w:jc w:val="center"/>
              </w:trPr>
              <w:tc>
                <w:tcPr>
                  <w:tcW w:w="735"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6189"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有序实施钢铁行业超低排放改造。各地要按照生态环境部等5部门联合印发的《关于推进实施钢铁行业超低排放的意见</w:t>
                  </w:r>
                  <w:r>
                    <w:rPr>
                      <w:rFonts w:hint="default" w:ascii="Times New Roman" w:hAnsi="Times New Roman" w:cs="Times New Roman"/>
                      <w:sz w:val="21"/>
                      <w:szCs w:val="21"/>
                    </w:rPr>
                    <w:cr/>
                  </w:r>
                  <w:r>
                    <w:rPr>
                      <w:rFonts w:hint="default" w:ascii="Times New Roman" w:hAnsi="Times New Roman" w:cs="Times New Roman"/>
                      <w:sz w:val="21"/>
                      <w:szCs w:val="21"/>
                    </w:rPr>
                    <w:t>，增强服务意识，协调组织相关资源，帮助钢铁企业因厂制宜选择成熟适用的环保改造技术路线，为企业超低排放改造尤其是清洁运输等提供有利条件。2020年12月底前，力争60%左右产能基本完成超低排放改造，上海市完成宝武集团3台600平方米烧结机和553万吨焦炭产能超低排放改造；江苏省完成9000万吨、浙江省完成560万吨、安徽省完成670万吨粗钢产能超低排放改造。</w:t>
                  </w:r>
                </w:p>
              </w:tc>
              <w:tc>
                <w:tcPr>
                  <w:tcW w:w="1524"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本项目属于</w:t>
                  </w:r>
                  <w:r>
                    <w:rPr>
                      <w:rFonts w:hint="default" w:ascii="Times New Roman" w:hAnsi="Times New Roman" w:cs="Times New Roman"/>
                      <w:sz w:val="21"/>
                      <w:szCs w:val="21"/>
                      <w:lang w:eastAsia="zh-CN"/>
                    </w:rPr>
                    <w:t>C2923 塑料丝、绳及编织品制造</w:t>
                  </w:r>
                  <w:r>
                    <w:rPr>
                      <w:rFonts w:hint="default" w:ascii="Times New Roman" w:hAnsi="Times New Roman" w:cs="Times New Roman"/>
                      <w:sz w:val="21"/>
                      <w:szCs w:val="21"/>
                    </w:rPr>
                    <w:t>，不属于钢铁行业。</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99" w:hRule="atLeast"/>
                <w:jc w:val="center"/>
              </w:trPr>
              <w:tc>
                <w:tcPr>
                  <w:tcW w:w="735"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6189"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落实产业结构调整要求。各地按照已出台的钢铁、建材、焦化、化工等行业产业结构调整、高质量发展等方案要求，全面完成压减过剩产能和淘汰落后产能既定任务目标，建立项目台账。加大化工园区整治力度，持续推进沿江、沿湖、沿湾等环境敏感区内存在重大安全、环保隐患的化工企业依法关闭或搬迁，加快城市建成区重污染企业依法搬迁改造或关闭退出。</w:t>
                  </w:r>
                </w:p>
              </w:tc>
              <w:tc>
                <w:tcPr>
                  <w:tcW w:w="1524"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本项目为</w:t>
                  </w:r>
                  <w:r>
                    <w:rPr>
                      <w:rFonts w:hint="default" w:ascii="Times New Roman" w:hAnsi="Times New Roman" w:cs="Times New Roman"/>
                      <w:sz w:val="21"/>
                      <w:szCs w:val="21"/>
                      <w:lang w:eastAsia="zh-CN"/>
                    </w:rPr>
                    <w:t>C2923 塑料丝、绳及编织品制造</w:t>
                  </w:r>
                  <w:r>
                    <w:rPr>
                      <w:rFonts w:hint="default" w:ascii="Times New Roman" w:hAnsi="Times New Roman" w:cs="Times New Roman"/>
                      <w:sz w:val="21"/>
                      <w:szCs w:val="21"/>
                    </w:rPr>
                    <w:t>，不属于钢铁、建材、焦化、化工行业，不属于重污染企业。</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735"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4</w:t>
                  </w:r>
                </w:p>
              </w:tc>
              <w:tc>
                <w:tcPr>
                  <w:tcW w:w="6189"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江苏省全面完成化工产业安全环保整治提升年度目标任务，2020年底前，沿长江干支流两侧1公里内且在化工园区外的化工生产企业原则上全部依法退出或搬迁；对确实不能搬迁的企业，逐一进行安全和环境风险评估，采用“一企一策”抓紧改造提升；对化工园区内的企业逐企评估并提出处置意见，2020年底前，与所在园区无产业链关联、安全和环保隐患大的企业依法关闭退出。</w:t>
                  </w:r>
                </w:p>
              </w:tc>
              <w:tc>
                <w:tcPr>
                  <w:tcW w:w="1524"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本项目不属于化工行业。</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13" w:hRule="atLeast"/>
                <w:jc w:val="center"/>
              </w:trPr>
              <w:tc>
                <w:tcPr>
                  <w:tcW w:w="735"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5</w:t>
                  </w:r>
                </w:p>
              </w:tc>
              <w:tc>
                <w:tcPr>
                  <w:tcW w:w="6189"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持续推进挥发性有机物（VOCs）治理攻坚。落实《2020年挥发性有机物治理攻坚方案》，持续推进VOCs治理攻坚各项任务措施。完成重点治理工程建设，做到“夏病冬治”。2020年12月底前，各地对夏季臭氧污染防治监督帮扶工作中发现的存在突出问题的企业，指导企业制定整改方案；培育树立一批VOCs源头治理的标杆企业，加大宣传力度，形成带动效应；组织完成石化、化工、工业涂装、包装印刷等企业废气排放系统旁路摸底排查，石化、化工行业火炬排放情况排查，原油、成品油、有机化学品等挥发性有机液体储罐排查，港口码头油气回收设施建设、使用情况排查，建立管理清单。2021年3月底前，督促企业取消非必要的旁路，因安全生产等原因必须保留的，通过铅封、安装自动监控设施、流量计等方式加强监管；在确保安全的情况下，督促石化、化工企业通过安装火炬系统温度监控、视频监控及热值检测仪、废气流量计、助燃气体流量计等加强火炬系统排放监管</w:t>
                  </w:r>
                  <w:r>
                    <w:rPr>
                      <w:rFonts w:hint="default" w:ascii="Times New Roman" w:hAnsi="Times New Roman" w:cs="Times New Roman"/>
                      <w:sz w:val="21"/>
                      <w:szCs w:val="21"/>
                    </w:rPr>
                    <w:cr/>
                  </w:r>
                  <w:r>
                    <w:rPr>
                      <w:rFonts w:hint="default" w:ascii="Times New Roman" w:hAnsi="Times New Roman" w:cs="Times New Roman"/>
                      <w:sz w:val="21"/>
                      <w:szCs w:val="21"/>
                    </w:rPr>
                    <w:t>进一步加大石化、化工、制药、农药、汽车制造、船舶制造与维修、家具制造、包装印刷等行业废气综合治理力度，推动重点行业“一行一策”，加大清洁生产改造力度。</w:t>
                  </w:r>
                </w:p>
              </w:tc>
              <w:tc>
                <w:tcPr>
                  <w:tcW w:w="1524" w:type="dxa"/>
                  <w:tcBorders>
                    <w:tl2br w:val="nil"/>
                    <w:tr2bl w:val="nil"/>
                  </w:tcBorders>
                  <w:vAlign w:val="center"/>
                </w:tcPr>
                <w:p>
                  <w:pPr>
                    <w:widowControl/>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不涉及</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526" w:hRule="atLeast"/>
                <w:jc w:val="center"/>
              </w:trPr>
              <w:tc>
                <w:tcPr>
                  <w:tcW w:w="735"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6</w:t>
                  </w:r>
                </w:p>
              </w:tc>
              <w:tc>
                <w:tcPr>
                  <w:tcW w:w="6189"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严格控制煤炭消费总量。各省（市）完成《三年行动计划》煤炭消费总量控制目标。严格控制燃煤机组新增装机规模，新建耗煤项目实行煤炭减量替代。重点削减非电力用煤，提高电力用煤比例，继续推进电能替代燃煤和燃油。2020年，长三角地区接受外送电量比例比2017年显著提高。加快天然气基础设施互联互通重点工程建设，确保按计划建成投产。地方政府、城镇燃气企业、上游供气企业和国家管网公司要加快储气设施建设步伐。新增天然气量优先用于城镇居民和燃煤锅炉、炉窑替代，实现增气减煤。“煤改气”要坚持以气定改、以供定需。</w:t>
                  </w:r>
                </w:p>
              </w:tc>
              <w:tc>
                <w:tcPr>
                  <w:tcW w:w="1524"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本项目不使用燃煤机组，不消耗煤炭。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72" w:hRule="atLeast"/>
                <w:jc w:val="center"/>
              </w:trPr>
              <w:tc>
                <w:tcPr>
                  <w:tcW w:w="735"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7</w:t>
                  </w:r>
                </w:p>
              </w:tc>
              <w:tc>
                <w:tcPr>
                  <w:tcW w:w="6189"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深入开展锅炉、炉窑综合整治。依法依规加大燃煤锅炉及茶水炉、经营性炉灶、储粮烘干设备等燃煤设施淘汰整治力度。2020年底前，每小时35蒸吨以下的燃煤锅炉基本淘汰，每小时65蒸吨及以上燃煤锅炉完成节能和超低排放改造；燃气锅炉基本完成低氮改造。在保证电力、热力供应前提下，3万千瓦及以上热电联产机组供热半径15公里范围内的燃煤锅炉和落后燃煤小热电完成关停整合。</w:t>
                  </w:r>
                </w:p>
              </w:tc>
              <w:tc>
                <w:tcPr>
                  <w:tcW w:w="1524"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本项目</w:t>
                  </w:r>
                  <w:r>
                    <w:rPr>
                      <w:rFonts w:hint="default" w:ascii="Times New Roman" w:hAnsi="Times New Roman" w:cs="Times New Roman"/>
                      <w:sz w:val="21"/>
                      <w:szCs w:val="21"/>
                      <w:lang w:val="en-US" w:eastAsia="zh-CN"/>
                    </w:rPr>
                    <w:t>不涉及</w:t>
                  </w:r>
                </w:p>
              </w:tc>
            </w:tr>
          </w:tbl>
          <w:p>
            <w:pPr>
              <w:adjustRightInd w:val="0"/>
              <w:spacing w:line="460" w:lineRule="exact"/>
              <w:ind w:firstLine="480" w:firstLineChars="200"/>
              <w:jc w:val="both"/>
              <w:rPr>
                <w:rFonts w:hint="default" w:ascii="Times New Roman" w:hAnsi="Times New Roman" w:cs="Times New Roman"/>
                <w:sz w:val="24"/>
              </w:rPr>
            </w:pPr>
            <w:r>
              <w:rPr>
                <w:rFonts w:hint="default" w:ascii="Times New Roman" w:hAnsi="Times New Roman" w:cs="Times New Roman"/>
                <w:sz w:val="24"/>
              </w:rPr>
              <w:t>（5）与《江苏省重点行业挥发性有机物污染控制指南》相符性分析</w:t>
            </w:r>
          </w:p>
          <w:p>
            <w:pPr>
              <w:spacing w:line="460" w:lineRule="exact"/>
              <w:ind w:firstLine="480" w:firstLineChars="200"/>
              <w:jc w:val="both"/>
              <w:rPr>
                <w:rFonts w:hint="default" w:ascii="Times New Roman" w:hAnsi="Times New Roman" w:cs="Times New Roman"/>
                <w:sz w:val="24"/>
              </w:rPr>
            </w:pPr>
            <w:r>
              <w:rPr>
                <w:rFonts w:hint="default" w:ascii="Times New Roman" w:hAnsi="Times New Roman" w:cs="Times New Roman"/>
                <w:sz w:val="24"/>
              </w:rPr>
              <w:t>本项目与《江苏省重点行业挥发性有机物污染控制指南》（江苏省环保厅，2014 年5 月20 日）相符性分析见表1-1</w:t>
            </w:r>
            <w:r>
              <w:rPr>
                <w:rFonts w:hint="eastAsia" w:ascii="Times New Roman" w:hAnsi="Times New Roman" w:cs="Times New Roman"/>
                <w:sz w:val="24"/>
                <w:lang w:val="en-US" w:eastAsia="zh-CN"/>
              </w:rPr>
              <w:t>5</w:t>
            </w:r>
            <w:r>
              <w:rPr>
                <w:rFonts w:hint="default" w:ascii="Times New Roman" w:hAnsi="Times New Roman" w:cs="Times New Roman"/>
                <w:sz w:val="24"/>
              </w:rPr>
              <w:t>。</w:t>
            </w:r>
          </w:p>
          <w:p>
            <w:pPr>
              <w:spacing w:line="500" w:lineRule="exact"/>
              <w:ind w:firstLine="422" w:firstLineChars="200"/>
              <w:jc w:val="center"/>
              <w:rPr>
                <w:rFonts w:hint="default" w:ascii="Times New Roman" w:hAnsi="Times New Roman" w:cs="Times New Roman" w:eastAsiaTheme="majorEastAsia"/>
                <w:b/>
                <w:bCs/>
                <w:sz w:val="21"/>
                <w:szCs w:val="21"/>
              </w:rPr>
            </w:pPr>
            <w:r>
              <w:rPr>
                <w:rFonts w:hint="default" w:ascii="Times New Roman" w:hAnsi="Times New Roman" w:cs="Times New Roman" w:eastAsiaTheme="majorEastAsia"/>
                <w:b/>
                <w:bCs/>
                <w:sz w:val="21"/>
                <w:szCs w:val="21"/>
              </w:rPr>
              <w:t>表1-1</w:t>
            </w:r>
            <w:r>
              <w:rPr>
                <w:rFonts w:hint="eastAsia" w:ascii="Times New Roman" w:hAnsi="Times New Roman" w:cs="Times New Roman" w:eastAsiaTheme="majorEastAsia"/>
                <w:b/>
                <w:bCs/>
                <w:sz w:val="21"/>
                <w:szCs w:val="21"/>
                <w:lang w:val="en-US" w:eastAsia="zh-CN"/>
              </w:rPr>
              <w:t xml:space="preserve">5 </w:t>
            </w:r>
            <w:r>
              <w:rPr>
                <w:rFonts w:hint="default" w:ascii="Times New Roman" w:hAnsi="Times New Roman" w:cs="Times New Roman" w:eastAsiaTheme="majorEastAsia"/>
                <w:b/>
                <w:bCs/>
                <w:sz w:val="21"/>
                <w:szCs w:val="21"/>
              </w:rPr>
              <w:t xml:space="preserve"> 项目与《江苏省重点行业挥发性有机物污染控制指南》相符性分析对应表</w:t>
            </w:r>
          </w:p>
          <w:tbl>
            <w:tblPr>
              <w:tblStyle w:val="23"/>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689"/>
              <w:gridCol w:w="4197"/>
              <w:gridCol w:w="3158"/>
              <w:gridCol w:w="68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20" w:hRule="atLeast"/>
                <w:jc w:val="center"/>
              </w:trPr>
              <w:tc>
                <w:tcPr>
                  <w:tcW w:w="689" w:type="dxa"/>
                  <w:tcBorders>
                    <w:tl2br w:val="nil"/>
                    <w:tr2bl w:val="nil"/>
                  </w:tcBorders>
                  <w:vAlign w:val="center"/>
                </w:tcPr>
                <w:p>
                  <w:pPr>
                    <w:widowControl/>
                    <w:rPr>
                      <w:rFonts w:hint="default" w:ascii="Times New Roman" w:hAnsi="Times New Roman" w:cs="Times New Roman"/>
                      <w:b/>
                      <w:bCs/>
                      <w:sz w:val="21"/>
                      <w:szCs w:val="21"/>
                    </w:rPr>
                  </w:pPr>
                  <w:r>
                    <w:rPr>
                      <w:rFonts w:hint="default" w:ascii="Times New Roman" w:hAnsi="Times New Roman" w:cs="Times New Roman"/>
                      <w:b/>
                      <w:bCs/>
                      <w:sz w:val="21"/>
                      <w:szCs w:val="21"/>
                    </w:rPr>
                    <w:t>序号</w:t>
                  </w:r>
                </w:p>
              </w:tc>
              <w:tc>
                <w:tcPr>
                  <w:tcW w:w="4198" w:type="dxa"/>
                  <w:tcBorders>
                    <w:tl2br w:val="nil"/>
                    <w:tr2bl w:val="nil"/>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文件相关内容</w:t>
                  </w:r>
                </w:p>
              </w:tc>
              <w:tc>
                <w:tcPr>
                  <w:tcW w:w="3159" w:type="dxa"/>
                  <w:tcBorders>
                    <w:tl2br w:val="nil"/>
                    <w:tr2bl w:val="nil"/>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本项目情况</w:t>
                  </w:r>
                </w:p>
              </w:tc>
              <w:tc>
                <w:tcPr>
                  <w:tcW w:w="680" w:type="dxa"/>
                  <w:tcBorders>
                    <w:tl2br w:val="nil"/>
                    <w:tr2bl w:val="nil"/>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相符性分析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20" w:hRule="atLeast"/>
                <w:jc w:val="center"/>
              </w:trPr>
              <w:tc>
                <w:tcPr>
                  <w:tcW w:w="68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4198"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所有产生有机废气污染的企业，应优先采用环保型原辅料、生产工艺和装备，对相应生产单元或设施进行密闭，从源头控制VOCs的产生，减少废气污染物排放。</w:t>
                  </w:r>
                </w:p>
              </w:tc>
              <w:tc>
                <w:tcPr>
                  <w:tcW w:w="315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本项目</w:t>
                  </w:r>
                  <w:r>
                    <w:rPr>
                      <w:rFonts w:hint="eastAsia" w:ascii="Times New Roman" w:hAnsi="Times New Roman" w:cs="Times New Roman"/>
                      <w:sz w:val="21"/>
                      <w:szCs w:val="21"/>
                      <w:lang w:val="en-US" w:eastAsia="zh-CN"/>
                    </w:rPr>
                    <w:t>采用水性油墨进行印刷</w:t>
                  </w:r>
                  <w:r>
                    <w:rPr>
                      <w:rFonts w:hint="default" w:ascii="Times New Roman" w:hAnsi="Times New Roman" w:cs="Times New Roman"/>
                      <w:sz w:val="21"/>
                      <w:szCs w:val="21"/>
                    </w:rPr>
                    <w:t>，生产时车间厂房密闭，</w:t>
                  </w:r>
                  <w:r>
                    <w:rPr>
                      <w:rFonts w:hint="eastAsia" w:ascii="Times New Roman" w:hAnsi="Times New Roman" w:cs="Times New Roman"/>
                      <w:sz w:val="21"/>
                      <w:szCs w:val="21"/>
                      <w:lang w:val="en-US" w:eastAsia="zh-CN"/>
                    </w:rPr>
                    <w:t>并</w:t>
                  </w:r>
                  <w:r>
                    <w:rPr>
                      <w:rFonts w:hint="default" w:ascii="Times New Roman" w:hAnsi="Times New Roman" w:cs="Times New Roman"/>
                      <w:sz w:val="21"/>
                      <w:szCs w:val="21"/>
                    </w:rPr>
                    <w:t>配套建设废气处理设置，减少废气污染物的排放。</w:t>
                  </w:r>
                </w:p>
              </w:tc>
              <w:tc>
                <w:tcPr>
                  <w:tcW w:w="680"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20" w:hRule="atLeast"/>
                <w:jc w:val="center"/>
              </w:trPr>
              <w:tc>
                <w:tcPr>
                  <w:tcW w:w="68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4198"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鼓励对排放的VOCs进行回收利用，并优先在生产系统内回用。对浓度、性状差异较大的废气应分类收集，并采用适宜的方式进行有效处理，确保VOCs总去除率满足管理要求，其中有机化工、医药化工、橡胶和塑料制品(有溶剂浸胶工艺)、溶剂型涂料表面涂装、包装印刷业的VOCs 总收集、净化处理率均不低于90%，其他行业原则上不低于75%。</w:t>
                  </w:r>
                </w:p>
              </w:tc>
              <w:tc>
                <w:tcPr>
                  <w:tcW w:w="315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本项目排放的非甲烷总烃废气属于低浓度废气，不具备回收利用条件。项目采用</w:t>
                  </w:r>
                  <w:r>
                    <w:rPr>
                      <w:rFonts w:hint="eastAsia" w:ascii="Times New Roman" w:hAnsi="Times New Roman" w:cs="Times New Roman"/>
                      <w:sz w:val="21"/>
                      <w:szCs w:val="21"/>
                      <w:lang w:val="en-US" w:eastAsia="zh-CN"/>
                    </w:rPr>
                    <w:t>软帘+集气罩收集方式</w:t>
                  </w:r>
                  <w:r>
                    <w:rPr>
                      <w:rFonts w:hint="default" w:ascii="Times New Roman" w:hAnsi="Times New Roman" w:cs="Times New Roman"/>
                      <w:sz w:val="21"/>
                      <w:szCs w:val="21"/>
                    </w:rPr>
                    <w:t>，生产过程挥发的有机废气收集效率≥90%；项目产生的挥发性有机废气由“二级活性炭吸附处理装置”净化处理后的废气经排气筒有组织排放，处理效率可达到80%以上。</w:t>
                  </w:r>
                </w:p>
              </w:tc>
              <w:tc>
                <w:tcPr>
                  <w:tcW w:w="680"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20" w:hRule="atLeast"/>
                <w:jc w:val="center"/>
              </w:trPr>
              <w:tc>
                <w:tcPr>
                  <w:tcW w:w="68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4198" w:type="dxa"/>
                  <w:tcBorders>
                    <w:tl2br w:val="nil"/>
                    <w:tr2bl w:val="nil"/>
                  </w:tcBorders>
                  <w:vAlign w:val="center"/>
                </w:tcPr>
                <w:p>
                  <w:pPr>
                    <w:autoSpaceDE w:val="0"/>
                    <w:autoSpaceDN w:val="0"/>
                    <w:adjustRightInd w:val="0"/>
                    <w:jc w:val="left"/>
                    <w:rPr>
                      <w:rFonts w:hint="default" w:ascii="Times New Roman" w:hAnsi="Times New Roman" w:cs="Times New Roman"/>
                      <w:sz w:val="21"/>
                      <w:szCs w:val="21"/>
                    </w:rPr>
                  </w:pPr>
                  <w:r>
                    <w:rPr>
                      <w:rFonts w:hint="default" w:ascii="Times New Roman" w:hAnsi="Times New Roman" w:cs="Times New Roman"/>
                      <w:kern w:val="0"/>
                      <w:sz w:val="21"/>
                      <w:szCs w:val="21"/>
                    </w:rPr>
                    <w:t>含高浓度挥发性有机物的母液和废水宜采用密闭管道收集，存在</w:t>
                  </w:r>
                  <w:r>
                    <w:rPr>
                      <w:rFonts w:hint="default" w:ascii="Times New Roman" w:hAnsi="Times New Roman" w:eastAsia="TimesNewRomanPSMT" w:cs="Times New Roman"/>
                      <w:kern w:val="0"/>
                      <w:sz w:val="21"/>
                      <w:szCs w:val="21"/>
                    </w:rPr>
                    <w:t xml:space="preserve">VOCs </w:t>
                  </w:r>
                  <w:r>
                    <w:rPr>
                      <w:rFonts w:hint="default" w:ascii="Times New Roman" w:hAnsi="Times New Roman" w:cs="Times New Roman"/>
                      <w:kern w:val="0"/>
                      <w:sz w:val="21"/>
                      <w:szCs w:val="21"/>
                    </w:rPr>
                    <w:t>和恶臭污染的污水处理单元应予以封闭，废气经有效处理后达标排放。</w:t>
                  </w:r>
                </w:p>
              </w:tc>
              <w:tc>
                <w:tcPr>
                  <w:tcW w:w="315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本项目无高浓度挥发性有机物的母液和废水。</w:t>
                  </w:r>
                </w:p>
              </w:tc>
              <w:tc>
                <w:tcPr>
                  <w:tcW w:w="680"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20" w:hRule="atLeast"/>
                <w:jc w:val="center"/>
              </w:trPr>
              <w:tc>
                <w:tcPr>
                  <w:tcW w:w="68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4</w:t>
                  </w:r>
                </w:p>
              </w:tc>
              <w:tc>
                <w:tcPr>
                  <w:tcW w:w="4198" w:type="dxa"/>
                  <w:tcBorders>
                    <w:tl2br w:val="nil"/>
                    <w:tr2bl w:val="nil"/>
                  </w:tcBorders>
                  <w:vAlign w:val="center"/>
                </w:tcPr>
                <w:p>
                  <w:pPr>
                    <w:autoSpaceDE w:val="0"/>
                    <w:autoSpaceDN w:val="0"/>
                    <w:adjustRightInd w:val="0"/>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企业应提出针对VOCs 的废气治理方案，明确处理装置长期有效运行的管理方案和监控方案，经审核备案后作为环境监察的依据。</w:t>
                  </w:r>
                </w:p>
              </w:tc>
              <w:tc>
                <w:tcPr>
                  <w:tcW w:w="315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本项目产生的有机废气通过</w:t>
                  </w:r>
                </w:p>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“二级活性炭吸附装置”处理。项目同时制定了自行监测方案，采用自行监测的方式监测污染源浓度，作为处理装置长期有效运行的管理和监控依据。</w:t>
                  </w:r>
                </w:p>
              </w:tc>
              <w:tc>
                <w:tcPr>
                  <w:tcW w:w="680"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20" w:hRule="atLeast"/>
                <w:jc w:val="center"/>
              </w:trPr>
              <w:tc>
                <w:tcPr>
                  <w:tcW w:w="68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5</w:t>
                  </w:r>
                </w:p>
              </w:tc>
              <w:tc>
                <w:tcPr>
                  <w:tcW w:w="4198" w:type="dxa"/>
                  <w:tcBorders>
                    <w:tl2br w:val="nil"/>
                    <w:tr2bl w:val="nil"/>
                  </w:tcBorders>
                  <w:vAlign w:val="center"/>
                </w:tcPr>
                <w:p>
                  <w:pPr>
                    <w:autoSpaceDE w:val="0"/>
                    <w:autoSpaceDN w:val="0"/>
                    <w:adjustRightInd w:val="0"/>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企业在VOCs 污染防治设施验收时应监测TVOCs净化效率，并记录在线连续检测装置或其他检测方法获取的TVOCs 排放浓度，以作为设施日常稳定运行情况的考核依据。</w:t>
                  </w:r>
                </w:p>
              </w:tc>
              <w:tc>
                <w:tcPr>
                  <w:tcW w:w="315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后续验收过程中按照要求执行，监测并考核VOCs净化效率。</w:t>
                  </w:r>
                </w:p>
              </w:tc>
              <w:tc>
                <w:tcPr>
                  <w:tcW w:w="680"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20" w:hRule="atLeast"/>
                <w:jc w:val="center"/>
              </w:trPr>
              <w:tc>
                <w:tcPr>
                  <w:tcW w:w="68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6</w:t>
                  </w:r>
                </w:p>
              </w:tc>
              <w:tc>
                <w:tcPr>
                  <w:tcW w:w="4198" w:type="dxa"/>
                  <w:tcBorders>
                    <w:tl2br w:val="nil"/>
                    <w:tr2bl w:val="nil"/>
                  </w:tcBorders>
                  <w:vAlign w:val="center"/>
                </w:tcPr>
                <w:p>
                  <w:pPr>
                    <w:autoSpaceDE w:val="0"/>
                    <w:autoSpaceDN w:val="0"/>
                    <w:adjustRightInd w:val="0"/>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企业应安排有关机构和专门人员负责VOCs污染控制的相关工作。需定期更换吸附剂、催化剂或吸收液的，应有详细的购买及更换台账。</w:t>
                  </w:r>
                </w:p>
              </w:tc>
              <w:tc>
                <w:tcPr>
                  <w:tcW w:w="315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项目安排了专门的污染防治专职人员，后续生产中将按要求建立污染防治工作台账。</w:t>
                  </w:r>
                </w:p>
              </w:tc>
              <w:tc>
                <w:tcPr>
                  <w:tcW w:w="680"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bl>
          <w:p>
            <w:pPr>
              <w:spacing w:line="460" w:lineRule="exact"/>
              <w:ind w:firstLine="480" w:firstLineChars="200"/>
              <w:jc w:val="both"/>
              <w:rPr>
                <w:sz w:val="24"/>
              </w:rPr>
            </w:pPr>
            <w:r>
              <w:rPr>
                <w:sz w:val="24"/>
              </w:rPr>
              <w:t>根据上表分析可知，建设项目与《江苏省重点行业挥发性有机物污染控制指南》（江苏省环保厅，2014 年5 月20 日）是相符的。</w:t>
            </w:r>
          </w:p>
          <w:p>
            <w:pPr>
              <w:adjustRightInd w:val="0"/>
              <w:spacing w:line="460" w:lineRule="exact"/>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rPr>
              <w:t>（</w:t>
            </w:r>
            <w:r>
              <w:rPr>
                <w:rFonts w:hint="eastAsia" w:ascii="Times New Roman" w:hAnsi="Times New Roman" w:cs="Times New Roman"/>
                <w:sz w:val="24"/>
                <w:szCs w:val="24"/>
                <w:lang w:val="en-US" w:eastAsia="zh-CN"/>
              </w:rPr>
              <w:t>6</w:t>
            </w:r>
            <w:r>
              <w:rPr>
                <w:rFonts w:hint="default" w:ascii="Times New Roman" w:hAnsi="Times New Roman" w:cs="Times New Roman"/>
                <w:sz w:val="24"/>
                <w:szCs w:val="24"/>
              </w:rPr>
              <w:t>）</w:t>
            </w:r>
            <w:r>
              <w:rPr>
                <w:rFonts w:hint="default" w:ascii="Times New Roman" w:hAnsi="Times New Roman" w:cs="Times New Roman"/>
                <w:kern w:val="0"/>
                <w:sz w:val="24"/>
                <w:szCs w:val="24"/>
              </w:rPr>
              <w:t>与《江苏省挥发性有机物污染防治管理办法》相符性分析</w:t>
            </w:r>
          </w:p>
          <w:p>
            <w:pPr>
              <w:spacing w:line="460" w:lineRule="exact"/>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rPr>
              <w:t>根据《江苏省挥发性有机物污染防治管理办法》（江苏省人民政府令第119 号），分析项目相符性，具体分析结果见表1-1</w:t>
            </w:r>
            <w:r>
              <w:rPr>
                <w:rFonts w:hint="eastAsia" w:ascii="Times New Roman" w:hAnsi="Times New Roman" w:cs="Times New Roman"/>
                <w:sz w:val="24"/>
                <w:szCs w:val="24"/>
                <w:lang w:val="en-US" w:eastAsia="zh-CN"/>
              </w:rPr>
              <w:t>6</w:t>
            </w:r>
            <w:r>
              <w:rPr>
                <w:rFonts w:hint="default" w:ascii="Times New Roman" w:hAnsi="Times New Roman" w:cs="Times New Roman"/>
                <w:sz w:val="24"/>
                <w:szCs w:val="24"/>
              </w:rPr>
              <w:t>。</w:t>
            </w:r>
          </w:p>
          <w:p>
            <w:pPr>
              <w:spacing w:line="500" w:lineRule="exact"/>
              <w:ind w:firstLine="422" w:firstLineChars="200"/>
              <w:jc w:val="center"/>
              <w:rPr>
                <w:rFonts w:hint="default" w:ascii="Times New Roman" w:hAnsi="Times New Roman" w:cs="Times New Roman" w:eastAsiaTheme="majorEastAsia"/>
                <w:b/>
                <w:bCs/>
                <w:sz w:val="21"/>
                <w:szCs w:val="21"/>
              </w:rPr>
            </w:pPr>
            <w:r>
              <w:rPr>
                <w:rFonts w:hint="default" w:ascii="Times New Roman" w:hAnsi="Times New Roman" w:cs="Times New Roman" w:eastAsiaTheme="majorEastAsia"/>
                <w:b/>
                <w:bCs/>
                <w:sz w:val="21"/>
                <w:szCs w:val="21"/>
              </w:rPr>
              <w:t>表1-1</w:t>
            </w:r>
            <w:r>
              <w:rPr>
                <w:rFonts w:hint="eastAsia" w:ascii="Times New Roman" w:hAnsi="Times New Roman" w:cs="Times New Roman" w:eastAsiaTheme="majorEastAsia"/>
                <w:b/>
                <w:bCs/>
                <w:sz w:val="21"/>
                <w:szCs w:val="21"/>
                <w:lang w:val="en-US" w:eastAsia="zh-CN"/>
              </w:rPr>
              <w:t>6</w:t>
            </w:r>
            <w:r>
              <w:rPr>
                <w:rFonts w:hint="default" w:ascii="Times New Roman" w:hAnsi="Times New Roman" w:cs="Times New Roman" w:eastAsiaTheme="majorEastAsia"/>
                <w:b/>
                <w:bCs/>
                <w:sz w:val="21"/>
                <w:szCs w:val="21"/>
              </w:rPr>
              <w:t xml:space="preserve">  项目与《江苏省挥发性有机物污染防治管理办法》相符性分析对应表</w:t>
            </w:r>
          </w:p>
          <w:tbl>
            <w:tblPr>
              <w:tblStyle w:val="23"/>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689"/>
              <w:gridCol w:w="4356"/>
              <w:gridCol w:w="2999"/>
              <w:gridCol w:w="68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20" w:hRule="atLeast"/>
                <w:jc w:val="center"/>
              </w:trPr>
              <w:tc>
                <w:tcPr>
                  <w:tcW w:w="689" w:type="dxa"/>
                  <w:tcBorders>
                    <w:tl2br w:val="nil"/>
                    <w:tr2bl w:val="nil"/>
                  </w:tcBorders>
                  <w:vAlign w:val="center"/>
                </w:tcPr>
                <w:p>
                  <w:pPr>
                    <w:widowControl/>
                    <w:rPr>
                      <w:rFonts w:hint="default" w:ascii="Times New Roman" w:hAnsi="Times New Roman" w:cs="Times New Roman"/>
                      <w:b/>
                      <w:bCs/>
                      <w:sz w:val="21"/>
                      <w:szCs w:val="21"/>
                    </w:rPr>
                  </w:pPr>
                  <w:r>
                    <w:rPr>
                      <w:rFonts w:hint="default" w:ascii="Times New Roman" w:hAnsi="Times New Roman" w:cs="Times New Roman"/>
                      <w:b/>
                      <w:bCs/>
                      <w:sz w:val="21"/>
                      <w:szCs w:val="21"/>
                    </w:rPr>
                    <w:t>序号</w:t>
                  </w:r>
                </w:p>
              </w:tc>
              <w:tc>
                <w:tcPr>
                  <w:tcW w:w="4357" w:type="dxa"/>
                  <w:tcBorders>
                    <w:tl2br w:val="nil"/>
                    <w:tr2bl w:val="nil"/>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文件相关内容</w:t>
                  </w:r>
                </w:p>
              </w:tc>
              <w:tc>
                <w:tcPr>
                  <w:tcW w:w="3000" w:type="dxa"/>
                  <w:tcBorders>
                    <w:tl2br w:val="nil"/>
                    <w:tr2bl w:val="nil"/>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本项目情况</w:t>
                  </w:r>
                </w:p>
              </w:tc>
              <w:tc>
                <w:tcPr>
                  <w:tcW w:w="680" w:type="dxa"/>
                  <w:tcBorders>
                    <w:tl2br w:val="nil"/>
                    <w:tr2bl w:val="nil"/>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相符性分析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20" w:hRule="atLeast"/>
                <w:jc w:val="center"/>
              </w:trPr>
              <w:tc>
                <w:tcPr>
                  <w:tcW w:w="68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4357"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第十三条：新建、改建、扩建排放挥发性有机物的建设项目，应当依法进行环境影响评价。新增挥发性有机物排放总量指标的不足部分，可以依照有关规定通过排污权交易取得。建设项目的环境影响评价文件未经审查或者审查后未予批准的，建设单位不得开工建设。</w:t>
                  </w:r>
                </w:p>
              </w:tc>
              <w:tc>
                <w:tcPr>
                  <w:tcW w:w="3000" w:type="dxa"/>
                  <w:tcBorders>
                    <w:tl2br w:val="nil"/>
                    <w:tr2bl w:val="nil"/>
                  </w:tcBorders>
                  <w:vAlign w:val="center"/>
                </w:tcPr>
                <w:p>
                  <w:pPr>
                    <w:autoSpaceDE w:val="0"/>
                    <w:autoSpaceDN w:val="0"/>
                    <w:adjustRightInd w:val="0"/>
                    <w:jc w:val="both"/>
                    <w:rPr>
                      <w:rFonts w:hint="default" w:ascii="Times New Roman" w:hAnsi="Times New Roman" w:cs="Times New Roman"/>
                      <w:sz w:val="21"/>
                      <w:szCs w:val="21"/>
                    </w:rPr>
                  </w:pPr>
                  <w:r>
                    <w:rPr>
                      <w:rFonts w:hint="default" w:ascii="Times New Roman" w:hAnsi="Times New Roman" w:cs="Times New Roman"/>
                      <w:kern w:val="0"/>
                      <w:sz w:val="21"/>
                      <w:szCs w:val="21"/>
                    </w:rPr>
                    <w:t>本项目依法开展环境影响评价。本项目新增排放的</w:t>
                  </w:r>
                  <w:r>
                    <w:rPr>
                      <w:rFonts w:hint="default" w:ascii="Times New Roman" w:hAnsi="Times New Roman" w:cs="Times New Roman"/>
                      <w:kern w:val="0"/>
                      <w:sz w:val="21"/>
                      <w:szCs w:val="21"/>
                      <w:lang w:val="en-US" w:eastAsia="zh-CN"/>
                    </w:rPr>
                    <w:t>非甲烷总烃</w:t>
                  </w:r>
                  <w:r>
                    <w:rPr>
                      <w:rFonts w:hint="default" w:ascii="Times New Roman" w:hAnsi="Times New Roman" w:cs="Times New Roman"/>
                      <w:kern w:val="0"/>
                      <w:sz w:val="21"/>
                      <w:szCs w:val="21"/>
                    </w:rPr>
                    <w:t>排放总量在</w:t>
                  </w:r>
                  <w:r>
                    <w:rPr>
                      <w:rFonts w:hint="default" w:ascii="Times New Roman" w:hAnsi="Times New Roman" w:cs="Times New Roman"/>
                      <w:kern w:val="0"/>
                      <w:sz w:val="21"/>
                      <w:szCs w:val="21"/>
                      <w:lang w:val="en-US" w:eastAsia="zh-CN"/>
                    </w:rPr>
                    <w:t>开发</w:t>
                  </w:r>
                  <w:r>
                    <w:rPr>
                      <w:rFonts w:hint="default" w:ascii="Times New Roman" w:hAnsi="Times New Roman" w:cs="Times New Roman"/>
                      <w:kern w:val="0"/>
                      <w:sz w:val="21"/>
                      <w:szCs w:val="21"/>
                    </w:rPr>
                    <w:t>区区域内平衡。</w:t>
                  </w:r>
                </w:p>
              </w:tc>
              <w:tc>
                <w:tcPr>
                  <w:tcW w:w="680"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20" w:hRule="atLeast"/>
                <w:jc w:val="center"/>
              </w:trPr>
              <w:tc>
                <w:tcPr>
                  <w:tcW w:w="68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4357"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第十五条：排放挥发性有机物的生产经营者应当履行防治挥发性有机物污染的义务，根据国家和省相关标准以及防治技术指南，采用挥发性有机物污染控制技术，规范操作规程，组织生产经营管理，确保挥发性有机物的排放符合相应的排放标准。</w:t>
                  </w:r>
                </w:p>
              </w:tc>
              <w:tc>
                <w:tcPr>
                  <w:tcW w:w="3000" w:type="dxa"/>
                  <w:tcBorders>
                    <w:tl2br w:val="nil"/>
                    <w:tr2bl w:val="nil"/>
                  </w:tcBorders>
                  <w:vAlign w:val="center"/>
                </w:tcPr>
                <w:p>
                  <w:pPr>
                    <w:autoSpaceDE w:val="0"/>
                    <w:autoSpaceDN w:val="0"/>
                    <w:adjustRightInd w:val="0"/>
                    <w:jc w:val="both"/>
                    <w:rPr>
                      <w:rFonts w:hint="default" w:ascii="Times New Roman" w:hAnsi="Times New Roman" w:cs="Times New Roman"/>
                      <w:sz w:val="21"/>
                      <w:szCs w:val="21"/>
                    </w:rPr>
                  </w:pPr>
                  <w:r>
                    <w:rPr>
                      <w:rFonts w:hint="default" w:ascii="Times New Roman" w:hAnsi="Times New Roman" w:cs="Times New Roman"/>
                      <w:kern w:val="0"/>
                      <w:sz w:val="21"/>
                      <w:szCs w:val="21"/>
                    </w:rPr>
                    <w:t>本项目运营期企业履行防治挥发性有机污染物的义务，本项目</w:t>
                  </w:r>
                  <w:r>
                    <w:rPr>
                      <w:rFonts w:hint="default" w:ascii="Times New Roman" w:hAnsi="Times New Roman" w:cs="Times New Roman"/>
                      <w:kern w:val="0"/>
                      <w:sz w:val="21"/>
                      <w:szCs w:val="21"/>
                      <w:lang w:val="en-US" w:eastAsia="zh-CN"/>
                    </w:rPr>
                    <w:t>新增</w:t>
                  </w:r>
                  <w:r>
                    <w:rPr>
                      <w:rFonts w:hint="default" w:ascii="Times New Roman" w:hAnsi="Times New Roman" w:cs="Times New Roman"/>
                      <w:kern w:val="0"/>
                      <w:sz w:val="21"/>
                      <w:szCs w:val="21"/>
                    </w:rPr>
                    <w:t>产生的挥发性有机废气采用“</w:t>
                  </w:r>
                  <w:r>
                    <w:rPr>
                      <w:rFonts w:hint="default" w:ascii="Times New Roman" w:hAnsi="Times New Roman" w:cs="Times New Roman"/>
                      <w:sz w:val="21"/>
                      <w:szCs w:val="21"/>
                      <w:lang w:val="en-US" w:eastAsia="zh-CN"/>
                    </w:rPr>
                    <w:t>二级活性炭吸附</w:t>
                  </w:r>
                  <w:r>
                    <w:rPr>
                      <w:rFonts w:hint="default" w:ascii="Times New Roman" w:hAnsi="Times New Roman" w:cs="Times New Roman"/>
                      <w:kern w:val="0"/>
                      <w:sz w:val="21"/>
                      <w:szCs w:val="21"/>
                    </w:rPr>
                    <w:t>”处理后通过</w:t>
                  </w:r>
                  <w:r>
                    <w:rPr>
                      <w:rFonts w:hint="default" w:ascii="Times New Roman" w:hAnsi="Times New Roman" w:eastAsia="TimesNewRomanPSMT" w:cs="Times New Roman"/>
                      <w:kern w:val="0"/>
                      <w:sz w:val="21"/>
                      <w:szCs w:val="21"/>
                      <w:lang w:val="en-US" w:eastAsia="zh-CN"/>
                    </w:rPr>
                    <w:t>15</w:t>
                  </w:r>
                  <w:r>
                    <w:rPr>
                      <w:rFonts w:hint="default" w:ascii="Times New Roman" w:hAnsi="Times New Roman" w:eastAsia="TimesNewRomanPSMT" w:cs="Times New Roman"/>
                      <w:kern w:val="0"/>
                      <w:sz w:val="21"/>
                      <w:szCs w:val="21"/>
                    </w:rPr>
                    <w:t>m</w:t>
                  </w:r>
                  <w:r>
                    <w:rPr>
                      <w:rFonts w:hint="default" w:ascii="Times New Roman" w:hAnsi="Times New Roman" w:cs="Times New Roman"/>
                      <w:kern w:val="0"/>
                      <w:sz w:val="21"/>
                      <w:szCs w:val="21"/>
                    </w:rPr>
                    <w:t>高排气筒高空排放。确保挥发性有机物的排放符合相应的排放标准。</w:t>
                  </w:r>
                </w:p>
              </w:tc>
              <w:tc>
                <w:tcPr>
                  <w:tcW w:w="680"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20" w:hRule="atLeast"/>
                <w:jc w:val="center"/>
              </w:trPr>
              <w:tc>
                <w:tcPr>
                  <w:tcW w:w="68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4357"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第十六条：挥发性有机物排放应当在排污许可分类管理名录规定的时限内按照排污许可证载明的要求进行；禁止无证排污或者不按证排污。排污许可证核发机关应当根据挥发性有机物排放标准、总量控制指标、环境影响评价文件以及相关批复要求等，依法合理确定挥发性有机物的排放种类、浓度以及排放量。</w:t>
                  </w:r>
                </w:p>
              </w:tc>
              <w:tc>
                <w:tcPr>
                  <w:tcW w:w="3000" w:type="dxa"/>
                  <w:tcBorders>
                    <w:tl2br w:val="nil"/>
                    <w:tr2bl w:val="nil"/>
                  </w:tcBorders>
                  <w:vAlign w:val="center"/>
                </w:tcPr>
                <w:p>
                  <w:pPr>
                    <w:keepNext w:val="0"/>
                    <w:keepLines w:val="0"/>
                    <w:widowControl/>
                    <w:suppressLineNumbers w:val="0"/>
                    <w:jc w:val="left"/>
                    <w:rPr>
                      <w:rFonts w:hint="default" w:ascii="Times New Roman" w:hAnsi="Times New Roman" w:cs="Times New Roman"/>
                      <w:kern w:val="0"/>
                      <w:sz w:val="21"/>
                      <w:szCs w:val="21"/>
                    </w:rPr>
                  </w:pPr>
                  <w:r>
                    <w:rPr>
                      <w:rFonts w:hint="default" w:ascii="Times New Roman" w:hAnsi="Times New Roman" w:eastAsia="宋体" w:cs="Times New Roman"/>
                      <w:color w:val="000000"/>
                      <w:kern w:val="0"/>
                      <w:sz w:val="21"/>
                      <w:szCs w:val="21"/>
                      <w:lang w:val="en-US" w:eastAsia="zh-CN" w:bidi="ar"/>
                    </w:rPr>
                    <w:t xml:space="preserve">本项目属于登记管理，在投产前按规定进行登记变更，未进行排污许可证前登记变更前不得生产。 </w:t>
                  </w:r>
                </w:p>
              </w:tc>
              <w:tc>
                <w:tcPr>
                  <w:tcW w:w="680"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20" w:hRule="atLeast"/>
                <w:jc w:val="center"/>
              </w:trPr>
              <w:tc>
                <w:tcPr>
                  <w:tcW w:w="68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4</w:t>
                  </w:r>
                </w:p>
              </w:tc>
              <w:tc>
                <w:tcPr>
                  <w:tcW w:w="4357"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第十七条：挥发性有机物排放单位应当按照有关规定和监测规范自行或者委托有关监测机构对其排放的挥发性有机物进行监测，记录、保存监测数据，并按照规定向社会公开。监测数据应当真实、可靠，保存时间不得少于3 年。</w:t>
                  </w:r>
                </w:p>
              </w:tc>
              <w:tc>
                <w:tcPr>
                  <w:tcW w:w="3000" w:type="dxa"/>
                  <w:tcBorders>
                    <w:tl2br w:val="nil"/>
                    <w:tr2bl w:val="nil"/>
                  </w:tcBorders>
                  <w:vAlign w:val="center"/>
                </w:tcPr>
                <w:p>
                  <w:pPr>
                    <w:autoSpaceDE w:val="0"/>
                    <w:autoSpaceDN w:val="0"/>
                    <w:adjustRightInd w:val="0"/>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本项目运行之后按照自行监测计划对排放的挥发性有机物进行监测。</w:t>
                  </w:r>
                </w:p>
              </w:tc>
              <w:tc>
                <w:tcPr>
                  <w:tcW w:w="680"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20" w:hRule="atLeast"/>
                <w:jc w:val="center"/>
              </w:trPr>
              <w:tc>
                <w:tcPr>
                  <w:tcW w:w="689"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5</w:t>
                  </w:r>
                </w:p>
              </w:tc>
              <w:tc>
                <w:tcPr>
                  <w:tcW w:w="4357" w:type="dxa"/>
                  <w:tcBorders>
                    <w:tl2br w:val="nil"/>
                    <w:tr2bl w:val="nil"/>
                  </w:tcBorders>
                  <w:vAlign w:val="center"/>
                </w:tcPr>
                <w:p>
                  <w:pPr>
                    <w:widowControl/>
                    <w:rPr>
                      <w:rFonts w:hint="default" w:ascii="Times New Roman" w:hAnsi="Times New Roman" w:cs="Times New Roman"/>
                      <w:sz w:val="21"/>
                      <w:szCs w:val="21"/>
                    </w:rPr>
                  </w:pPr>
                  <w:r>
                    <w:rPr>
                      <w:rFonts w:hint="default" w:ascii="Times New Roman" w:hAnsi="Times New Roman" w:cs="Times New Roman"/>
                      <w:sz w:val="21"/>
                      <w:szCs w:val="21"/>
                    </w:rPr>
                    <w:t>第二十一条：产生挥发性有机物废气的生产营活动应当在密闭空间或者密闭设备中进行。生产场所、生产设备应当按照环境保护和安全生产等要求设计、安装和有效运行挥发性有机物回收或者净化设施；固体废物、废水、废气处理系统产生的废气应当收集和处理；含有挥发性有机物的物料应当密闭储存、运输、装卸，禁止敞口和露天放置。无法在密闭空间进行的生产经营活动应当采取有效措施，减少挥发性有机物排放量。</w:t>
                  </w:r>
                </w:p>
              </w:tc>
              <w:tc>
                <w:tcPr>
                  <w:tcW w:w="3000" w:type="dxa"/>
                  <w:tcBorders>
                    <w:tl2br w:val="nil"/>
                    <w:tr2bl w:val="nil"/>
                  </w:tcBorders>
                  <w:vAlign w:val="center"/>
                </w:tcPr>
                <w:p>
                  <w:pPr>
                    <w:autoSpaceDE w:val="0"/>
                    <w:autoSpaceDN w:val="0"/>
                    <w:adjustRightInd w:val="0"/>
                    <w:jc w:val="both"/>
                    <w:rPr>
                      <w:rFonts w:hint="default" w:ascii="Times New Roman" w:hAnsi="Times New Roman" w:cs="Times New Roman"/>
                      <w:kern w:val="0"/>
                      <w:sz w:val="21"/>
                      <w:szCs w:val="21"/>
                    </w:rPr>
                  </w:pPr>
                  <w:r>
                    <w:rPr>
                      <w:rFonts w:hint="default" w:ascii="Times New Roman" w:hAnsi="Times New Roman" w:cs="Times New Roman"/>
                      <w:color w:val="auto"/>
                      <w:kern w:val="0"/>
                      <w:sz w:val="21"/>
                      <w:szCs w:val="21"/>
                    </w:rPr>
                    <w:t>本项目生产过程产生的有机废气经收集后进入</w:t>
                  </w:r>
                  <w:r>
                    <w:rPr>
                      <w:rFonts w:hint="default" w:ascii="Times New Roman" w:hAnsi="Times New Roman" w:cs="Times New Roman"/>
                      <w:color w:val="auto"/>
                      <w:kern w:val="0"/>
                      <w:sz w:val="21"/>
                      <w:szCs w:val="21"/>
                      <w:lang w:eastAsia="zh-CN"/>
                    </w:rPr>
                    <w:t>“</w:t>
                  </w:r>
                  <w:r>
                    <w:rPr>
                      <w:rFonts w:hint="eastAsia" w:ascii="Times New Roman" w:hAnsi="Times New Roman" w:cs="Times New Roman"/>
                      <w:color w:val="auto"/>
                      <w:kern w:val="0"/>
                      <w:sz w:val="21"/>
                      <w:szCs w:val="21"/>
                      <w:lang w:val="en-US" w:eastAsia="zh-CN"/>
                    </w:rPr>
                    <w:t>二级活性炭吸附</w:t>
                  </w:r>
                  <w:r>
                    <w:rPr>
                      <w:rFonts w:hint="default" w:ascii="Times New Roman" w:hAnsi="Times New Roman" w:cs="Times New Roman"/>
                      <w:color w:val="auto"/>
                      <w:kern w:val="0"/>
                      <w:sz w:val="21"/>
                      <w:szCs w:val="21"/>
                      <w:lang w:eastAsia="zh-CN"/>
                    </w:rPr>
                    <w:t>”</w:t>
                  </w:r>
                  <w:r>
                    <w:rPr>
                      <w:rFonts w:hint="default" w:ascii="Times New Roman" w:hAnsi="Times New Roman" w:cs="Times New Roman"/>
                      <w:color w:val="auto"/>
                      <w:kern w:val="0"/>
                      <w:sz w:val="21"/>
                      <w:szCs w:val="21"/>
                    </w:rPr>
                    <w:t>处理后通过</w:t>
                  </w:r>
                  <w:r>
                    <w:rPr>
                      <w:rFonts w:hint="eastAsia" w:ascii="Times New Roman" w:hAnsi="Times New Roman" w:cs="Times New Roman"/>
                      <w:color w:val="auto"/>
                      <w:kern w:val="0"/>
                      <w:sz w:val="21"/>
                      <w:szCs w:val="21"/>
                      <w:lang w:val="en-US" w:eastAsia="zh-CN"/>
                    </w:rPr>
                    <w:t>15</w:t>
                  </w:r>
                  <w:r>
                    <w:rPr>
                      <w:rFonts w:hint="default" w:ascii="Times New Roman" w:hAnsi="Times New Roman" w:cs="Times New Roman"/>
                      <w:color w:val="auto"/>
                      <w:kern w:val="0"/>
                      <w:sz w:val="21"/>
                      <w:szCs w:val="21"/>
                    </w:rPr>
                    <w:t>m高排气筒高空排放。</w:t>
                  </w:r>
                </w:p>
              </w:tc>
              <w:tc>
                <w:tcPr>
                  <w:tcW w:w="680" w:type="dxa"/>
                  <w:tcBorders>
                    <w:tl2br w:val="nil"/>
                    <w:tr2bl w:val="nil"/>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bl>
          <w:p>
            <w:pPr>
              <w:pStyle w:val="32"/>
              <w:jc w:val="both"/>
              <w:rPr>
                <w:rFonts w:hint="default" w:ascii="Times New Roman" w:hAnsi="Times New Roman" w:cs="Times New Roman"/>
              </w:rPr>
            </w:pPr>
          </w:p>
          <w:p>
            <w:pPr>
              <w:jc w:val="both"/>
              <w:rPr>
                <w:rFonts w:hint="default" w:ascii="Times New Roman" w:hAnsi="Times New Roman" w:cs="Times New Roman"/>
                <w:lang w:val="en-US" w:eastAsia="zh-CN"/>
              </w:rPr>
            </w:pPr>
          </w:p>
        </w:tc>
      </w:tr>
    </w:tbl>
    <w:p>
      <w:pPr>
        <w:pStyle w:val="32"/>
        <w:rPr>
          <w:rFonts w:hint="default" w:ascii="Times New Roman" w:hAnsi="Times New Roman" w:cs="Times New Roman"/>
        </w:rPr>
        <w:sectPr>
          <w:footerReference r:id="rId4" w:type="default"/>
          <w:pgSz w:w="11910" w:h="16840"/>
          <w:pgMar w:top="1580" w:right="1280" w:bottom="1220" w:left="1280" w:header="0" w:footer="1039" w:gutter="0"/>
          <w:pgBorders>
            <w:top w:val="none" w:sz="0" w:space="0"/>
            <w:left w:val="none" w:sz="0" w:space="0"/>
            <w:bottom w:val="none" w:sz="0" w:space="0"/>
            <w:right w:val="none" w:sz="0" w:space="0"/>
          </w:pgBorders>
          <w:pgNumType w:fmt="decimal" w:start="1"/>
          <w:cols w:space="720" w:num="1"/>
        </w:sectPr>
      </w:pPr>
    </w:p>
    <w:p>
      <w:pPr>
        <w:pStyle w:val="3"/>
        <w:numPr>
          <w:ilvl w:val="0"/>
          <w:numId w:val="0"/>
        </w:numPr>
        <w:spacing w:before="0" w:line="360" w:lineRule="auto"/>
        <w:ind w:left="3520" w:leftChars="0"/>
        <w:jc w:val="both"/>
        <w:rPr>
          <w:rFonts w:hint="default" w:ascii="Times New Roman" w:hAnsi="Times New Roman" w:eastAsia="宋体" w:cs="Times New Roman"/>
          <w:b/>
          <w:bCs/>
        </w:rPr>
      </w:pPr>
      <w:bookmarkStart w:id="1" w:name="_Toc19766"/>
      <w:r>
        <w:rPr>
          <w:rFonts w:hint="default" w:ascii="Times New Roman" w:hAnsi="Times New Roman" w:eastAsia="宋体" w:cs="Times New Roman"/>
          <w:b/>
          <w:bCs/>
          <w:lang w:val="en-US" w:eastAsia="zh-CN"/>
        </w:rPr>
        <w:t>二、</w:t>
      </w:r>
      <w:r>
        <w:rPr>
          <w:rFonts w:hint="default" w:ascii="Times New Roman" w:hAnsi="Times New Roman" w:eastAsia="宋体" w:cs="Times New Roman"/>
          <w:b/>
          <w:bCs/>
        </w:rPr>
        <w:t>建设项目工程分析</w:t>
      </w:r>
      <w:bookmarkEnd w:id="1"/>
    </w:p>
    <w:tbl>
      <w:tblPr>
        <w:tblStyle w:val="24"/>
        <w:tblW w:w="491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5"/>
        <w:gridCol w:w="85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8" w:hRule="atLeast"/>
          <w:jc w:val="center"/>
        </w:trPr>
        <w:tc>
          <w:tcPr>
            <w:tcW w:w="325" w:type="pct"/>
            <w:vAlign w:val="center"/>
          </w:tcPr>
          <w:p>
            <w:pPr>
              <w:jc w:val="center"/>
              <w:rPr>
                <w:rFonts w:hint="default" w:ascii="Times New Roman" w:hAnsi="Times New Roman" w:eastAsia="宋体" w:cs="Times New Roman"/>
                <w:spacing w:val="-1"/>
                <w:sz w:val="24"/>
                <w:szCs w:val="24"/>
              </w:rPr>
            </w:pPr>
            <w:r>
              <w:rPr>
                <w:rFonts w:hint="default" w:ascii="Times New Roman" w:hAnsi="Times New Roman" w:eastAsia="宋体" w:cs="Times New Roman"/>
                <w:spacing w:val="-1"/>
                <w:sz w:val="24"/>
                <w:szCs w:val="24"/>
                <w:lang w:eastAsia="zh-CN"/>
              </w:rPr>
              <w:t>建设内容</w:t>
            </w:r>
          </w:p>
        </w:tc>
        <w:tc>
          <w:tcPr>
            <w:tcW w:w="4674" w:type="pct"/>
            <w:vAlign w:val="center"/>
          </w:tcPr>
          <w:p>
            <w:pPr>
              <w:pStyle w:val="35"/>
              <w:spacing w:line="460" w:lineRule="exact"/>
              <w:ind w:firstLine="474"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pacing w:val="-2"/>
                <w:sz w:val="24"/>
                <w:szCs w:val="24"/>
                <w:lang w:eastAsia="zh-CN"/>
              </w:rPr>
              <w:t>1、</w:t>
            </w:r>
            <w:r>
              <w:rPr>
                <w:rFonts w:hint="default" w:ascii="Times New Roman" w:hAnsi="Times New Roman" w:eastAsia="宋体" w:cs="Times New Roman"/>
                <w:b/>
                <w:bCs/>
                <w:sz w:val="24"/>
                <w:lang w:eastAsia="zh-CN"/>
              </w:rPr>
              <w:t>项目概况</w:t>
            </w:r>
          </w:p>
          <w:p>
            <w:pPr>
              <w:spacing w:line="460" w:lineRule="exact"/>
              <w:ind w:firstLine="480" w:firstLineChars="200"/>
              <w:jc w:val="both"/>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连云港中鸿包装有限公司是一家从事塑料包装制品生产、自营、代理各类商品等业务的公司。2022年5月，企业租用位于</w:t>
            </w:r>
            <w:r>
              <w:rPr>
                <w:rFonts w:hint="default" w:ascii="Times New Roman" w:hAnsi="Times New Roman" w:eastAsia="宋体" w:cs="Times New Roman"/>
                <w:sz w:val="24"/>
              </w:rPr>
              <w:t>连云港经济技术开发区东方大道36号</w:t>
            </w:r>
            <w:r>
              <w:rPr>
                <w:rFonts w:hint="default" w:ascii="Times New Roman" w:hAnsi="Times New Roman" w:eastAsia="宋体" w:cs="Times New Roman"/>
                <w:sz w:val="24"/>
                <w:lang w:val="en-US" w:eastAsia="zh-CN"/>
              </w:rPr>
              <w:t>的生产厂房建设包装材料制造项目</w:t>
            </w:r>
            <w:r>
              <w:rPr>
                <w:rFonts w:hint="default" w:ascii="Times New Roman" w:hAnsi="Times New Roman" w:eastAsia="宋体" w:cs="Times New Roman"/>
                <w:sz w:val="24"/>
              </w:rPr>
              <w:t>，</w:t>
            </w:r>
            <w:r>
              <w:rPr>
                <w:rFonts w:hint="default" w:ascii="Times New Roman" w:hAnsi="Times New Roman" w:eastAsia="宋体" w:cs="Times New Roman"/>
                <w:sz w:val="24"/>
                <w:lang w:val="en-US" w:eastAsia="zh-CN"/>
              </w:rPr>
              <w:t>该项目于2022年5月取得连云港经济</w:t>
            </w:r>
            <w:r>
              <w:rPr>
                <w:rFonts w:hint="default" w:ascii="Times New Roman" w:hAnsi="Times New Roman" w:cs="Times New Roman"/>
                <w:bCs/>
                <w:sz w:val="24"/>
                <w:szCs w:val="24"/>
                <w:lang w:val="en-US" w:eastAsia="zh-CN"/>
              </w:rPr>
              <w:t>技术开发区行政审批局的审批，批复文号连开审批复[2022]37号，2023年6月11日，项目通过竣工环境保护自主验收。</w:t>
            </w:r>
          </w:p>
          <w:p>
            <w:pPr>
              <w:spacing w:line="460" w:lineRule="exact"/>
              <w:ind w:firstLine="480" w:firstLineChars="200"/>
              <w:jc w:val="both"/>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2023年6月，为了满足不同客户的技术需求，企业拟投资10000万元，新购置涂膜机、吨包切印一体机、缝纫机等设备，对现有包装材料制造项目进行技术改造。本项目</w:t>
            </w:r>
            <w:r>
              <w:rPr>
                <w:rFonts w:hint="eastAsia" w:ascii="Times New Roman" w:hAnsi="Times New Roman" w:cs="Times New Roman"/>
                <w:bCs/>
                <w:sz w:val="24"/>
                <w:szCs w:val="24"/>
                <w:lang w:val="en-US" w:eastAsia="zh-CN"/>
              </w:rPr>
              <w:t>已</w:t>
            </w:r>
            <w:r>
              <w:rPr>
                <w:rFonts w:hint="default" w:ascii="Times New Roman" w:hAnsi="Times New Roman" w:cs="Times New Roman"/>
                <w:bCs/>
                <w:sz w:val="24"/>
                <w:szCs w:val="24"/>
                <w:lang w:val="en-US" w:eastAsia="zh-CN"/>
              </w:rPr>
              <w:t>得连云港经济技术开发区行政审批局的批准（连行审备</w:t>
            </w:r>
            <w:r>
              <w:rPr>
                <w:rFonts w:hint="eastAsia" w:ascii="Times New Roman" w:hAnsi="Times New Roman" w:cs="Times New Roman"/>
                <w:bCs/>
                <w:sz w:val="24"/>
                <w:szCs w:val="24"/>
                <w:lang w:val="en-US" w:eastAsia="zh-CN"/>
              </w:rPr>
              <w:t>[</w:t>
            </w:r>
            <w:r>
              <w:rPr>
                <w:rFonts w:hint="default" w:ascii="Times New Roman" w:hAnsi="Times New Roman" w:cs="Times New Roman"/>
                <w:bCs/>
                <w:sz w:val="24"/>
                <w:szCs w:val="24"/>
                <w:lang w:val="en-US" w:eastAsia="zh-CN"/>
              </w:rPr>
              <w:t>2023</w:t>
            </w:r>
            <w:r>
              <w:rPr>
                <w:rFonts w:hint="eastAsia" w:ascii="Times New Roman" w:hAnsi="Times New Roman" w:cs="Times New Roman"/>
                <w:bCs/>
                <w:sz w:val="24"/>
                <w:szCs w:val="24"/>
                <w:lang w:val="en-US" w:eastAsia="zh-CN"/>
              </w:rPr>
              <w:t>]15</w:t>
            </w:r>
            <w:r>
              <w:rPr>
                <w:rFonts w:hint="default" w:ascii="Times New Roman" w:hAnsi="Times New Roman" w:cs="Times New Roman"/>
                <w:bCs/>
                <w:sz w:val="24"/>
                <w:szCs w:val="24"/>
                <w:lang w:val="en-US" w:eastAsia="zh-CN"/>
              </w:rPr>
              <w:t>9号），项目代码：2306-320771-89-02-751628。</w:t>
            </w:r>
          </w:p>
          <w:p>
            <w:pPr>
              <w:spacing w:line="460" w:lineRule="exact"/>
              <w:ind w:firstLine="480" w:firstLineChars="200"/>
              <w:jc w:val="both"/>
              <w:rPr>
                <w:rFonts w:hint="default" w:ascii="Times New Roman" w:hAnsi="Times New Roman" w:cs="Times New Roman" w:eastAsiaTheme="minorEastAsia"/>
                <w:bCs/>
                <w:color w:val="000000" w:themeColor="text1"/>
                <w:sz w:val="24"/>
                <w14:textFill>
                  <w14:solidFill>
                    <w14:schemeClr w14:val="tx1"/>
                  </w14:solidFill>
                </w14:textFill>
              </w:rPr>
            </w:pPr>
            <w:r>
              <w:rPr>
                <w:rFonts w:hint="default" w:ascii="Times New Roman" w:hAnsi="Times New Roman" w:cs="Times New Roman"/>
                <w:bCs/>
                <w:sz w:val="24"/>
                <w:szCs w:val="24"/>
                <w:lang w:val="en-US" w:eastAsia="zh-CN"/>
              </w:rPr>
              <w:t>根据《中华人民共和国环境保护法》、《中华人民共和国环境影响评价法》以及《建设项目环境保护管理条例》中的有关规定和要求，本项目需要开展环境影响评价工作。根据《建设项目环境影响评价分类管理名录（2021年版）》中内容，本项目属于</w:t>
            </w:r>
            <w:r>
              <w:rPr>
                <w:rFonts w:hint="default" w:ascii="Times New Roman" w:hAnsi="Times New Roman" w:eastAsia="宋体" w:cs="Times New Roman"/>
                <w:bCs/>
                <w:sz w:val="24"/>
                <w:szCs w:val="24"/>
                <w:lang w:val="en-US" w:eastAsia="zh-CN"/>
              </w:rPr>
              <w:t>“</w:t>
            </w:r>
            <w:r>
              <w:rPr>
                <w:rFonts w:hint="default" w:ascii="Times New Roman" w:hAnsi="Times New Roman" w:cs="Times New Roman"/>
                <w:bCs/>
                <w:sz w:val="24"/>
                <w:szCs w:val="24"/>
                <w:lang w:val="en-US" w:eastAsia="zh-CN"/>
              </w:rPr>
              <w:t>二十六、橡胶和塑料制品业29</w:t>
            </w:r>
            <w:r>
              <w:rPr>
                <w:rFonts w:hint="default" w:ascii="Times New Roman" w:hAnsi="Times New Roman" w:eastAsia="宋体" w:cs="Times New Roman"/>
                <w:bCs/>
                <w:sz w:val="24"/>
                <w:szCs w:val="24"/>
                <w:lang w:val="en-US" w:eastAsia="zh-CN"/>
              </w:rPr>
              <w:t>”</w:t>
            </w:r>
            <w:r>
              <w:rPr>
                <w:rFonts w:hint="default" w:ascii="Times New Roman" w:hAnsi="Times New Roman" w:cs="Times New Roman"/>
                <w:bCs/>
                <w:sz w:val="24"/>
                <w:szCs w:val="24"/>
                <w:lang w:val="en-US" w:eastAsia="zh-CN"/>
              </w:rPr>
              <w:t>的“292 塑料制品业”的“其他（年用非溶剂型低 VOCs 含量涂料 10 吨以下的除外）”，需编制“建设项目环境影响报告表”。受连云港中鸿包装有限公司的委托，我公司承担该项目的环境影响评价工作。我单位接受委托后，在收集和分析资料的基础上，按照《建设项目环境影响报告表编制技术指南（污染影响类）》（试行）要求编制了本项目环境影响报告表。</w:t>
            </w:r>
          </w:p>
          <w:p>
            <w:pPr>
              <w:spacing w:line="460" w:lineRule="exact"/>
              <w:ind w:firstLine="482"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eastAsia="zh-CN"/>
              </w:rPr>
              <w:t>2、项目组成</w:t>
            </w:r>
          </w:p>
          <w:p>
            <w:pPr>
              <w:keepNext w:val="0"/>
              <w:keepLines w:val="0"/>
              <w:pageBreakBefore w:val="0"/>
              <w:widowControl w:val="0"/>
              <w:numPr>
                <w:ilvl w:val="0"/>
                <w:numId w:val="0"/>
              </w:numPr>
              <w:kinsoku/>
              <w:wordWrap/>
              <w:overflowPunct/>
              <w:topLinePunct w:val="0"/>
              <w:bidi w:val="0"/>
              <w:snapToGrid/>
              <w:spacing w:line="460" w:lineRule="exact"/>
              <w:ind w:firstLine="480" w:firstLineChars="200"/>
              <w:jc w:val="both"/>
              <w:textAlignment w:val="auto"/>
              <w:rPr>
                <w:rFonts w:hint="default" w:ascii="Times New Roman" w:hAnsi="Times New Roman" w:cs="Times New Roman"/>
                <w:bCs/>
                <w:sz w:val="24"/>
                <w:szCs w:val="24"/>
                <w:lang w:val="en-US" w:eastAsia="zh-CN"/>
              </w:rPr>
            </w:pPr>
            <w:r>
              <w:rPr>
                <w:rFonts w:hint="default" w:ascii="Times New Roman" w:hAnsi="Times New Roman" w:cs="Times New Roman"/>
                <w:bCs/>
                <w:sz w:val="24"/>
                <w:szCs w:val="24"/>
                <w:lang w:val="en-US" w:eastAsia="zh-CN"/>
              </w:rPr>
              <w:t>本项目对</w:t>
            </w:r>
            <w:r>
              <w:rPr>
                <w:rFonts w:hint="default" w:ascii="Times New Roman" w:hAnsi="Times New Roman" w:cs="Times New Roman"/>
                <w:bCs/>
                <w:color w:val="auto"/>
                <w:sz w:val="24"/>
                <w:szCs w:val="24"/>
                <w:lang w:val="en-US" w:eastAsia="zh-CN"/>
              </w:rPr>
              <w:t>现有</w:t>
            </w:r>
            <w:r>
              <w:rPr>
                <w:rFonts w:hint="default" w:ascii="Times New Roman" w:hAnsi="Times New Roman" w:eastAsia="宋体" w:cs="Times New Roman"/>
                <w:color w:val="auto"/>
                <w:sz w:val="24"/>
                <w:lang w:val="en-US" w:eastAsia="zh-CN"/>
              </w:rPr>
              <w:t>包装材料制造</w:t>
            </w:r>
            <w:r>
              <w:rPr>
                <w:rFonts w:hint="default" w:ascii="Times New Roman" w:hAnsi="Times New Roman" w:cs="Times New Roman"/>
                <w:bCs/>
                <w:color w:val="auto"/>
                <w:sz w:val="24"/>
                <w:szCs w:val="24"/>
                <w:lang w:val="en-US" w:eastAsia="zh-CN"/>
              </w:rPr>
              <w:t>生产线进行技术改造，新购置涂膜机、吨包切印一体机、缝纫机等设备，</w:t>
            </w:r>
            <w:r>
              <w:rPr>
                <w:rFonts w:hint="default" w:ascii="Times New Roman" w:hAnsi="Times New Roman" w:eastAsia="宋体" w:cs="Times New Roman"/>
                <w:color w:val="auto"/>
                <w:sz w:val="24"/>
                <w:lang w:val="en-US" w:eastAsia="zh-CN"/>
              </w:rPr>
              <w:t>建设年产100万件包装材料制造</w:t>
            </w:r>
            <w:r>
              <w:rPr>
                <w:rFonts w:hint="default" w:ascii="Times New Roman" w:hAnsi="Times New Roman" w:cs="Times New Roman"/>
                <w:bCs/>
                <w:color w:val="auto"/>
                <w:sz w:val="24"/>
                <w:szCs w:val="24"/>
                <w:lang w:val="en-US" w:eastAsia="zh-CN"/>
              </w:rPr>
              <w:t>技改项目</w:t>
            </w:r>
            <w:r>
              <w:rPr>
                <w:rFonts w:hint="default" w:ascii="Times New Roman" w:hAnsi="Times New Roman" w:cs="Times New Roman"/>
                <w:bCs/>
                <w:sz w:val="24"/>
                <w:szCs w:val="24"/>
                <w:lang w:val="en-US" w:eastAsia="zh-CN"/>
              </w:rPr>
              <w:t>。</w:t>
            </w:r>
          </w:p>
          <w:p>
            <w:pPr>
              <w:pStyle w:val="32"/>
              <w:keepNext w:val="0"/>
              <w:keepLines w:val="0"/>
              <w:pageBreakBefore w:val="0"/>
              <w:widowControl w:val="0"/>
              <w:numPr>
                <w:ilvl w:val="0"/>
                <w:numId w:val="0"/>
              </w:numPr>
              <w:kinsoku/>
              <w:wordWrap/>
              <w:overflowPunct/>
              <w:topLinePunct w:val="0"/>
              <w:bidi w:val="0"/>
              <w:snapToGrid/>
              <w:spacing w:line="460" w:lineRule="exact"/>
              <w:ind w:firstLine="480" w:firstLineChars="200"/>
              <w:jc w:val="both"/>
              <w:textAlignment w:val="auto"/>
              <w:rPr>
                <w:rFonts w:hint="default" w:ascii="Times New Roman" w:hAnsi="Times New Roman" w:eastAsia="宋体" w:cs="Times New Roman"/>
                <w:sz w:val="24"/>
                <w:lang w:eastAsia="zh-CN"/>
              </w:rPr>
            </w:pPr>
            <w:r>
              <w:rPr>
                <w:rFonts w:hint="default" w:ascii="Times New Roman" w:hAnsi="Times New Roman" w:eastAsia="宋体" w:cs="Times New Roman"/>
                <w:sz w:val="24"/>
                <w:lang w:eastAsia="zh-CN"/>
              </w:rPr>
              <w:t>项目的具体组成见表2-1。</w:t>
            </w:r>
          </w:p>
          <w:p>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表2-1  项目工程组成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366"/>
              <w:gridCol w:w="1489"/>
              <w:gridCol w:w="2923"/>
              <w:gridCol w:w="1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8"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工程类别</w:t>
                  </w:r>
                </w:p>
              </w:tc>
              <w:tc>
                <w:tcPr>
                  <w:tcW w:w="821"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工程名称</w:t>
                  </w:r>
                </w:p>
              </w:tc>
              <w:tc>
                <w:tcPr>
                  <w:tcW w:w="895"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建设规模</w:t>
                  </w:r>
                </w:p>
              </w:tc>
              <w:tc>
                <w:tcPr>
                  <w:tcW w:w="1757"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建设内容/用途</w:t>
                  </w:r>
                </w:p>
              </w:tc>
              <w:tc>
                <w:tcPr>
                  <w:tcW w:w="1118" w:type="pct"/>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8"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主体工程</w:t>
                  </w:r>
                </w:p>
              </w:tc>
              <w:tc>
                <w:tcPr>
                  <w:tcW w:w="821"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w:t>
                  </w:r>
                  <w:r>
                    <w:rPr>
                      <w:rFonts w:hint="default" w:ascii="Times New Roman" w:hAnsi="Times New Roman" w:cs="Times New Roman"/>
                      <w:color w:val="auto"/>
                      <w:sz w:val="21"/>
                      <w:szCs w:val="21"/>
                    </w:rPr>
                    <w:t>车间</w:t>
                  </w:r>
                  <w:r>
                    <w:rPr>
                      <w:rFonts w:hint="default" w:ascii="Times New Roman" w:hAnsi="Times New Roman" w:cs="Times New Roman"/>
                      <w:color w:val="auto"/>
                      <w:sz w:val="21"/>
                      <w:szCs w:val="21"/>
                      <w:lang w:val="en-US" w:eastAsia="zh-CN"/>
                    </w:rPr>
                    <w:t>2</w:t>
                  </w:r>
                </w:p>
              </w:tc>
              <w:tc>
                <w:tcPr>
                  <w:tcW w:w="895"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占地面积约</w:t>
                  </w:r>
                  <w:r>
                    <w:rPr>
                      <w:rFonts w:hint="default" w:ascii="Times New Roman" w:hAnsi="Times New Roman" w:cs="Times New Roman"/>
                      <w:color w:val="auto"/>
                      <w:sz w:val="21"/>
                      <w:szCs w:val="21"/>
                      <w:lang w:val="en-US" w:eastAsia="zh-CN"/>
                    </w:rPr>
                    <w:t>1700</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2</w:t>
                  </w:r>
                </w:p>
              </w:tc>
              <w:tc>
                <w:tcPr>
                  <w:tcW w:w="1757" w:type="pct"/>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主要用于涂膜、切割印刷、缝纫</w:t>
                  </w:r>
                  <w:r>
                    <w:rPr>
                      <w:rFonts w:hint="default" w:ascii="Times New Roman" w:hAnsi="Times New Roman" w:cs="Times New Roman"/>
                      <w:color w:val="auto"/>
                      <w:sz w:val="21"/>
                      <w:szCs w:val="21"/>
                      <w:lang w:val="en-US" w:eastAsia="zh-CN"/>
                    </w:rPr>
                    <w:t>等</w:t>
                  </w:r>
                  <w:r>
                    <w:rPr>
                      <w:rFonts w:hint="default" w:ascii="Times New Roman" w:hAnsi="Times New Roman" w:cs="Times New Roman"/>
                      <w:color w:val="auto"/>
                      <w:sz w:val="21"/>
                      <w:szCs w:val="21"/>
                    </w:rPr>
                    <w:t>；</w:t>
                  </w:r>
                </w:p>
              </w:tc>
              <w:tc>
                <w:tcPr>
                  <w:tcW w:w="1118"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新购置涂膜机、吨包切印一体机、缝纫机等设备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8" w:type="pct"/>
                  <w:vMerge w:val="restar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储运工程</w:t>
                  </w:r>
                </w:p>
              </w:tc>
              <w:tc>
                <w:tcPr>
                  <w:tcW w:w="821"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外部运输</w:t>
                  </w:r>
                </w:p>
              </w:tc>
              <w:tc>
                <w:tcPr>
                  <w:tcW w:w="895"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75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主要为汽运，由社会车辆完成；</w:t>
                  </w:r>
                </w:p>
              </w:tc>
              <w:tc>
                <w:tcPr>
                  <w:tcW w:w="1118"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8" w:type="pct"/>
                  <w:vMerge w:val="continue"/>
                  <w:vAlign w:val="center"/>
                </w:tcPr>
                <w:p>
                  <w:pPr>
                    <w:jc w:val="center"/>
                    <w:rPr>
                      <w:rFonts w:hint="default" w:ascii="Times New Roman" w:hAnsi="Times New Roman" w:cs="Times New Roman"/>
                      <w:sz w:val="21"/>
                      <w:szCs w:val="21"/>
                    </w:rPr>
                  </w:pPr>
                </w:p>
              </w:tc>
              <w:tc>
                <w:tcPr>
                  <w:tcW w:w="821"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内部运输</w:t>
                  </w:r>
                </w:p>
              </w:tc>
              <w:tc>
                <w:tcPr>
                  <w:tcW w:w="895"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叉车</w:t>
                  </w:r>
                </w:p>
              </w:tc>
              <w:tc>
                <w:tcPr>
                  <w:tcW w:w="175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叉车，用于厂区内部运输</w:t>
                  </w:r>
                </w:p>
              </w:tc>
              <w:tc>
                <w:tcPr>
                  <w:tcW w:w="1118"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408" w:type="pct"/>
                  <w:vMerge w:val="restar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公用工程</w:t>
                  </w:r>
                </w:p>
              </w:tc>
              <w:tc>
                <w:tcPr>
                  <w:tcW w:w="821"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供水系统</w:t>
                  </w:r>
                </w:p>
              </w:tc>
              <w:tc>
                <w:tcPr>
                  <w:tcW w:w="895"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rPr>
                    <w:t>m³/a</w:t>
                  </w:r>
                </w:p>
              </w:tc>
              <w:tc>
                <w:tcPr>
                  <w:tcW w:w="1757" w:type="pct"/>
                  <w:vAlign w:val="center"/>
                </w:tcPr>
                <w:p>
                  <w:pPr>
                    <w:jc w:val="center"/>
                    <w:rPr>
                      <w:rFonts w:hint="default"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本</w:t>
                  </w:r>
                  <w:r>
                    <w:rPr>
                      <w:rFonts w:hint="default" w:ascii="Times New Roman" w:hAnsi="Times New Roman" w:cs="Times New Roman"/>
                      <w:color w:val="auto"/>
                      <w:sz w:val="21"/>
                      <w:szCs w:val="21"/>
                      <w:lang w:val="en-US" w:eastAsia="zh-CN"/>
                    </w:rPr>
                    <w:t>项目不新增生活用水和生产用水</w:t>
                  </w:r>
                </w:p>
              </w:tc>
              <w:tc>
                <w:tcPr>
                  <w:tcW w:w="1118"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8" w:type="pct"/>
                  <w:vMerge w:val="continue"/>
                  <w:vAlign w:val="center"/>
                </w:tcPr>
                <w:p>
                  <w:pPr>
                    <w:jc w:val="center"/>
                    <w:rPr>
                      <w:rFonts w:hint="default" w:ascii="Times New Roman" w:hAnsi="Times New Roman" w:cs="Times New Roman"/>
                      <w:sz w:val="21"/>
                      <w:szCs w:val="21"/>
                    </w:rPr>
                  </w:pPr>
                </w:p>
              </w:tc>
              <w:tc>
                <w:tcPr>
                  <w:tcW w:w="821"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排水系统</w:t>
                  </w:r>
                </w:p>
              </w:tc>
              <w:tc>
                <w:tcPr>
                  <w:tcW w:w="895"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rPr>
                    <w:t>m³/a</w:t>
                  </w:r>
                </w:p>
              </w:tc>
              <w:tc>
                <w:tcPr>
                  <w:tcW w:w="1757"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本项目不新增员工，不新增生产和生活废水</w:t>
                  </w:r>
                </w:p>
              </w:tc>
              <w:tc>
                <w:tcPr>
                  <w:tcW w:w="1118"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8" w:type="pct"/>
                  <w:vMerge w:val="continue"/>
                  <w:vAlign w:val="center"/>
                </w:tcPr>
                <w:p>
                  <w:pPr>
                    <w:jc w:val="center"/>
                    <w:rPr>
                      <w:rFonts w:hint="default" w:ascii="Times New Roman" w:hAnsi="Times New Roman" w:cs="Times New Roman"/>
                      <w:sz w:val="21"/>
                      <w:szCs w:val="21"/>
                    </w:rPr>
                  </w:pPr>
                </w:p>
              </w:tc>
              <w:tc>
                <w:tcPr>
                  <w:tcW w:w="821"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配电系统</w:t>
                  </w:r>
                </w:p>
              </w:tc>
              <w:tc>
                <w:tcPr>
                  <w:tcW w:w="895"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r>
                    <w:rPr>
                      <w:rFonts w:hint="default" w:ascii="Times New Roman" w:hAnsi="Times New Roman" w:cs="Times New Roman"/>
                      <w:color w:val="auto"/>
                      <w:sz w:val="21"/>
                      <w:szCs w:val="21"/>
                    </w:rPr>
                    <w:t>万kWh/a</w:t>
                  </w:r>
                </w:p>
              </w:tc>
              <w:tc>
                <w:tcPr>
                  <w:tcW w:w="1757"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供电来源于区域供电电网；</w:t>
                  </w:r>
                </w:p>
              </w:tc>
              <w:tc>
                <w:tcPr>
                  <w:tcW w:w="1118"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8" w:type="pct"/>
                  <w:vMerge w:val="restar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环保工程</w:t>
                  </w:r>
                </w:p>
              </w:tc>
              <w:tc>
                <w:tcPr>
                  <w:tcW w:w="821" w:type="pct"/>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废气处理</w:t>
                  </w:r>
                </w:p>
              </w:tc>
              <w:tc>
                <w:tcPr>
                  <w:tcW w:w="895"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 xml:space="preserve">1 套“二级活 </w:t>
                  </w:r>
                </w:p>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 xml:space="preserve">性炭吸附”装 </w:t>
                  </w:r>
                </w:p>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置</w:t>
                  </w:r>
                </w:p>
              </w:tc>
              <w:tc>
                <w:tcPr>
                  <w:tcW w:w="1757" w:type="pct"/>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 xml:space="preserve">涂膜、印刷过程产生的非甲烷总烃经 “二级活性炭吸附装置”处理后通过1根15m 高排气筒（DA002）排放。 </w:t>
                  </w:r>
                </w:p>
              </w:tc>
              <w:tc>
                <w:tcPr>
                  <w:tcW w:w="1118" w:type="pct"/>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8" w:type="pct"/>
                  <w:vMerge w:val="continue"/>
                  <w:vAlign w:val="center"/>
                </w:tcPr>
                <w:p>
                  <w:pPr>
                    <w:jc w:val="center"/>
                    <w:rPr>
                      <w:rFonts w:hint="default" w:ascii="Times New Roman" w:hAnsi="Times New Roman" w:cs="Times New Roman"/>
                      <w:sz w:val="21"/>
                      <w:szCs w:val="21"/>
                    </w:rPr>
                  </w:pPr>
                </w:p>
              </w:tc>
              <w:tc>
                <w:tcPr>
                  <w:tcW w:w="821"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废水处理</w:t>
                  </w:r>
                </w:p>
              </w:tc>
              <w:tc>
                <w:tcPr>
                  <w:tcW w:w="895"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w:t>
                  </w:r>
                </w:p>
              </w:tc>
              <w:tc>
                <w:tcPr>
                  <w:tcW w:w="1757" w:type="pct"/>
                  <w:vAlign w:val="center"/>
                </w:tcPr>
                <w:p>
                  <w:pPr>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lang w:val="en-US" w:eastAsia="zh-CN"/>
                    </w:rPr>
                    <w:t>/</w:t>
                  </w:r>
                </w:p>
              </w:tc>
              <w:tc>
                <w:tcPr>
                  <w:tcW w:w="1118"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 xml:space="preserve">本项目无新增 </w:t>
                  </w:r>
                </w:p>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8" w:type="pct"/>
                  <w:vMerge w:val="continue"/>
                  <w:vAlign w:val="center"/>
                </w:tcPr>
                <w:p>
                  <w:pPr>
                    <w:jc w:val="center"/>
                    <w:rPr>
                      <w:rFonts w:hint="default" w:ascii="Times New Roman" w:hAnsi="Times New Roman" w:cs="Times New Roman"/>
                      <w:sz w:val="21"/>
                      <w:szCs w:val="21"/>
                    </w:rPr>
                  </w:pPr>
                </w:p>
              </w:tc>
              <w:tc>
                <w:tcPr>
                  <w:tcW w:w="821" w:type="pct"/>
                  <w:vMerge w:val="restar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固废处理</w:t>
                  </w:r>
                </w:p>
              </w:tc>
              <w:tc>
                <w:tcPr>
                  <w:tcW w:w="895"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一般固废房</w:t>
                  </w:r>
                </w:p>
              </w:tc>
              <w:tc>
                <w:tcPr>
                  <w:tcW w:w="1757" w:type="pct"/>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10</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2</w:t>
                  </w:r>
                </w:p>
              </w:tc>
              <w:tc>
                <w:tcPr>
                  <w:tcW w:w="1118"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8" w:type="pct"/>
                  <w:vMerge w:val="continue"/>
                  <w:vAlign w:val="center"/>
                </w:tcPr>
                <w:p>
                  <w:pPr>
                    <w:jc w:val="center"/>
                    <w:rPr>
                      <w:rFonts w:hint="default" w:ascii="Times New Roman" w:hAnsi="Times New Roman" w:cs="Times New Roman"/>
                      <w:sz w:val="21"/>
                      <w:szCs w:val="21"/>
                    </w:rPr>
                  </w:pPr>
                </w:p>
              </w:tc>
              <w:tc>
                <w:tcPr>
                  <w:tcW w:w="821" w:type="pct"/>
                  <w:vMerge w:val="continue"/>
                  <w:vAlign w:val="center"/>
                </w:tcPr>
                <w:p>
                  <w:pPr>
                    <w:jc w:val="center"/>
                    <w:rPr>
                      <w:rFonts w:hint="default" w:ascii="Times New Roman" w:hAnsi="Times New Roman" w:cs="Times New Roman"/>
                      <w:color w:val="auto"/>
                      <w:sz w:val="21"/>
                      <w:szCs w:val="21"/>
                    </w:rPr>
                  </w:pPr>
                </w:p>
              </w:tc>
              <w:tc>
                <w:tcPr>
                  <w:tcW w:w="895"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危废库</w:t>
                  </w:r>
                </w:p>
              </w:tc>
              <w:tc>
                <w:tcPr>
                  <w:tcW w:w="1757" w:type="pct"/>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10m</w:t>
                  </w:r>
                  <w:r>
                    <w:rPr>
                      <w:rFonts w:hint="default" w:ascii="Times New Roman" w:hAnsi="Times New Roman" w:cs="Times New Roman"/>
                      <w:color w:val="auto"/>
                      <w:sz w:val="21"/>
                      <w:szCs w:val="21"/>
                      <w:vertAlign w:val="superscript"/>
                      <w:lang w:val="en-US" w:eastAsia="zh-CN"/>
                    </w:rPr>
                    <w:t>2</w:t>
                  </w:r>
                </w:p>
              </w:tc>
              <w:tc>
                <w:tcPr>
                  <w:tcW w:w="1118" w:type="pct"/>
                  <w:vAlign w:val="center"/>
                </w:tcPr>
                <w:p>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8" w:type="pct"/>
                  <w:vMerge w:val="continue"/>
                  <w:vAlign w:val="center"/>
                </w:tcPr>
                <w:p>
                  <w:pPr>
                    <w:jc w:val="center"/>
                    <w:rPr>
                      <w:rFonts w:hint="default" w:ascii="Times New Roman" w:hAnsi="Times New Roman" w:cs="Times New Roman"/>
                      <w:sz w:val="21"/>
                      <w:szCs w:val="21"/>
                    </w:rPr>
                  </w:pPr>
                </w:p>
              </w:tc>
              <w:tc>
                <w:tcPr>
                  <w:tcW w:w="821" w:type="pct"/>
                  <w:vMerge w:val="continue"/>
                  <w:vAlign w:val="center"/>
                </w:tcPr>
                <w:p>
                  <w:pPr>
                    <w:jc w:val="center"/>
                    <w:rPr>
                      <w:rFonts w:hint="default" w:ascii="Times New Roman" w:hAnsi="Times New Roman" w:cs="Times New Roman"/>
                      <w:color w:val="auto"/>
                      <w:sz w:val="21"/>
                      <w:szCs w:val="21"/>
                    </w:rPr>
                  </w:pPr>
                </w:p>
              </w:tc>
              <w:tc>
                <w:tcPr>
                  <w:tcW w:w="895"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生活垃圾</w:t>
                  </w:r>
                </w:p>
              </w:tc>
              <w:tc>
                <w:tcPr>
                  <w:tcW w:w="1757"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委托环卫部门清运。</w:t>
                  </w:r>
                </w:p>
              </w:tc>
              <w:tc>
                <w:tcPr>
                  <w:tcW w:w="1118"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8" w:type="pct"/>
                  <w:vMerge w:val="continue"/>
                  <w:vAlign w:val="center"/>
                </w:tcPr>
                <w:p>
                  <w:pPr>
                    <w:jc w:val="center"/>
                    <w:rPr>
                      <w:rFonts w:hint="default" w:ascii="Times New Roman" w:hAnsi="Times New Roman" w:cs="Times New Roman"/>
                      <w:sz w:val="21"/>
                      <w:szCs w:val="21"/>
                    </w:rPr>
                  </w:pPr>
                </w:p>
              </w:tc>
              <w:tc>
                <w:tcPr>
                  <w:tcW w:w="821"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噪声防治设施</w:t>
                  </w:r>
                </w:p>
              </w:tc>
              <w:tc>
                <w:tcPr>
                  <w:tcW w:w="895"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757"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采用低噪声设备、吸声、厂房隔声等措施。</w:t>
                  </w:r>
                </w:p>
              </w:tc>
              <w:tc>
                <w:tcPr>
                  <w:tcW w:w="1118"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依托现有</w:t>
                  </w:r>
                </w:p>
              </w:tc>
            </w:tr>
          </w:tbl>
          <w:p>
            <w:pPr>
              <w:spacing w:line="460" w:lineRule="exact"/>
              <w:ind w:firstLine="480" w:firstLineChars="200"/>
              <w:jc w:val="both"/>
              <w:rPr>
                <w:rFonts w:hint="default" w:ascii="Times New Roman" w:hAnsi="Times New Roman" w:eastAsia="宋体" w:cs="Times New Roman"/>
                <w:sz w:val="24"/>
                <w:lang w:eastAsia="zh-CN"/>
              </w:rPr>
            </w:pPr>
            <w:r>
              <w:rPr>
                <w:rFonts w:hint="default" w:ascii="Times New Roman" w:hAnsi="Times New Roman" w:eastAsia="宋体" w:cs="Times New Roman"/>
                <w:sz w:val="24"/>
                <w:lang w:eastAsia="zh-CN"/>
              </w:rPr>
              <w:t>本项目依托现有设施可行性：</w:t>
            </w:r>
          </w:p>
          <w:p>
            <w:pPr>
              <w:spacing w:line="460" w:lineRule="exact"/>
              <w:ind w:firstLine="480" w:firstLineChars="200"/>
              <w:jc w:val="both"/>
              <w:rPr>
                <w:rFonts w:hint="default" w:ascii="Times New Roman" w:hAnsi="Times New Roman" w:eastAsia="宋体" w:cs="Times New Roman"/>
                <w:sz w:val="24"/>
                <w:lang w:eastAsia="zh-CN"/>
              </w:rPr>
            </w:pPr>
            <w:r>
              <w:rPr>
                <w:rFonts w:hint="default" w:ascii="Times New Roman" w:hAnsi="Times New Roman" w:eastAsia="宋体" w:cs="Times New Roman"/>
                <w:sz w:val="24"/>
                <w:lang w:eastAsia="zh-CN"/>
              </w:rPr>
              <w:t>（</w:t>
            </w:r>
            <w:r>
              <w:rPr>
                <w:rFonts w:hint="eastAsia" w:ascii="Times New Roman" w:hAnsi="Times New Roman" w:cs="Times New Roman"/>
                <w:sz w:val="24"/>
                <w:lang w:val="en-US" w:eastAsia="zh-CN"/>
              </w:rPr>
              <w:t>1</w:t>
            </w:r>
            <w:r>
              <w:rPr>
                <w:rFonts w:hint="default" w:ascii="Times New Roman" w:hAnsi="Times New Roman" w:eastAsia="宋体" w:cs="Times New Roman"/>
                <w:sz w:val="24"/>
                <w:lang w:eastAsia="zh-CN"/>
              </w:rPr>
              <w:t>）</w:t>
            </w:r>
            <w:r>
              <w:rPr>
                <w:rFonts w:hint="eastAsia" w:ascii="Times New Roman" w:hAnsi="Times New Roman" w:eastAsia="宋体" w:cs="Times New Roman"/>
                <w:sz w:val="24"/>
                <w:lang w:eastAsia="zh-CN"/>
              </w:rPr>
              <w:t>公用</w:t>
            </w:r>
            <w:r>
              <w:rPr>
                <w:rFonts w:hint="default" w:ascii="Times New Roman" w:hAnsi="Times New Roman" w:eastAsia="宋体" w:cs="Times New Roman"/>
                <w:sz w:val="24"/>
                <w:lang w:eastAsia="zh-CN"/>
              </w:rPr>
              <w:t>工程</w:t>
            </w:r>
          </w:p>
          <w:p>
            <w:pPr>
              <w:spacing w:line="460" w:lineRule="exact"/>
              <w:ind w:firstLine="480" w:firstLineChars="200"/>
              <w:jc w:val="both"/>
              <w:rPr>
                <w:rFonts w:hint="default" w:ascii="Times New Roman" w:hAnsi="Times New Roman" w:cs="Times New Roman"/>
                <w:color w:val="auto"/>
                <w:sz w:val="21"/>
                <w:szCs w:val="21"/>
                <w:lang w:val="en-US" w:eastAsia="zh-CN"/>
              </w:rPr>
            </w:pPr>
            <w:r>
              <w:rPr>
                <w:rFonts w:hint="eastAsia" w:ascii="Times New Roman" w:hAnsi="Times New Roman" w:eastAsia="宋体" w:cs="Times New Roman"/>
                <w:sz w:val="24"/>
                <w:lang w:eastAsia="zh-CN"/>
              </w:rPr>
              <w:t>①</w:t>
            </w:r>
            <w:r>
              <w:rPr>
                <w:rFonts w:hint="default" w:ascii="Times New Roman" w:hAnsi="Times New Roman" w:eastAsia="宋体" w:cs="Times New Roman"/>
                <w:sz w:val="24"/>
                <w:lang w:eastAsia="zh-CN"/>
              </w:rPr>
              <w:t>供水系统</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本</w:t>
            </w:r>
            <w:r>
              <w:rPr>
                <w:rFonts w:hint="default" w:ascii="Times New Roman" w:hAnsi="Times New Roman" w:eastAsia="宋体" w:cs="Times New Roman"/>
                <w:sz w:val="24"/>
                <w:lang w:val="en-US" w:eastAsia="zh-CN"/>
              </w:rPr>
              <w:t>项目不新增生活用水和生产用水</w:t>
            </w:r>
            <w:r>
              <w:rPr>
                <w:rFonts w:hint="eastAsia" w:ascii="Times New Roman" w:hAnsi="Times New Roman" w:cs="Times New Roman"/>
                <w:sz w:val="24"/>
                <w:lang w:val="en-US" w:eastAsia="zh-CN"/>
              </w:rPr>
              <w:t>。</w:t>
            </w:r>
          </w:p>
          <w:p>
            <w:pPr>
              <w:spacing w:line="460" w:lineRule="exact"/>
              <w:ind w:firstLine="480" w:firstLineChars="200"/>
              <w:jc w:val="both"/>
              <w:rPr>
                <w:rFonts w:hint="default" w:ascii="Times New Roman" w:hAnsi="Times New Roman" w:eastAsia="宋体" w:cs="Times New Roman"/>
                <w:sz w:val="24"/>
                <w:lang w:eastAsia="zh-CN"/>
              </w:rPr>
            </w:pPr>
            <w:r>
              <w:rPr>
                <w:rFonts w:hint="eastAsia" w:ascii="Times New Roman" w:hAnsi="Times New Roman" w:eastAsia="宋体" w:cs="Times New Roman"/>
                <w:sz w:val="24"/>
                <w:lang w:eastAsia="zh-CN"/>
              </w:rPr>
              <w:t>②排水系统：本项目不新增生产和生活废水。</w:t>
            </w:r>
          </w:p>
          <w:p>
            <w:pPr>
              <w:spacing w:line="460" w:lineRule="exact"/>
              <w:ind w:firstLine="480" w:firstLineChars="200"/>
              <w:jc w:val="both"/>
              <w:rPr>
                <w:rFonts w:hint="default" w:ascii="Times New Roman" w:hAnsi="Times New Roman" w:eastAsia="宋体" w:cs="Times New Roman"/>
                <w:sz w:val="24"/>
                <w:lang w:eastAsia="zh-CN"/>
              </w:rPr>
            </w:pPr>
            <w:r>
              <w:rPr>
                <w:rFonts w:hint="eastAsia" w:ascii="Times New Roman" w:hAnsi="Times New Roman" w:eastAsia="宋体" w:cs="Times New Roman"/>
                <w:sz w:val="24"/>
                <w:lang w:eastAsia="zh-CN"/>
              </w:rPr>
              <w:t>③配电系统：厂区现有变压器的容量</w:t>
            </w:r>
            <w:r>
              <w:rPr>
                <w:rFonts w:hint="eastAsia" w:ascii="Times New Roman" w:hAnsi="Times New Roman" w:cs="Times New Roman"/>
                <w:sz w:val="24"/>
                <w:lang w:val="en-US" w:eastAsia="zh-CN"/>
              </w:rPr>
              <w:t>5</w:t>
            </w:r>
            <w:r>
              <w:rPr>
                <w:rFonts w:hint="default" w:ascii="Times New Roman" w:hAnsi="Times New Roman" w:eastAsia="宋体" w:cs="Times New Roman"/>
                <w:sz w:val="24"/>
                <w:lang w:eastAsia="zh-CN"/>
              </w:rPr>
              <w:t>00</w:t>
            </w:r>
            <w:r>
              <w:rPr>
                <w:rFonts w:hint="eastAsia" w:ascii="Times New Roman" w:hAnsi="Times New Roman" w:eastAsia="宋体" w:cs="Times New Roman"/>
                <w:sz w:val="24"/>
                <w:lang w:eastAsia="zh-CN"/>
              </w:rPr>
              <w:t>KVA，现有厂区设备总功率为</w:t>
            </w:r>
            <w:r>
              <w:rPr>
                <w:rFonts w:hint="eastAsia" w:ascii="Times New Roman" w:hAnsi="Times New Roman" w:cs="Times New Roman"/>
                <w:sz w:val="24"/>
                <w:lang w:val="en-US" w:eastAsia="zh-CN"/>
              </w:rPr>
              <w:t>102</w:t>
            </w:r>
            <w:r>
              <w:rPr>
                <w:rFonts w:hint="eastAsia" w:ascii="Times New Roman" w:hAnsi="Times New Roman" w:eastAsia="宋体" w:cs="Times New Roman"/>
                <w:sz w:val="24"/>
                <w:lang w:eastAsia="zh-CN"/>
              </w:rPr>
              <w:t>KW，本项目设备总功率约为</w:t>
            </w:r>
            <w:r>
              <w:rPr>
                <w:rFonts w:hint="eastAsia" w:ascii="Times New Roman" w:hAnsi="Times New Roman" w:cs="Times New Roman"/>
                <w:sz w:val="24"/>
                <w:lang w:val="en-US" w:eastAsia="zh-CN"/>
              </w:rPr>
              <w:t>3</w:t>
            </w:r>
            <w:r>
              <w:rPr>
                <w:rFonts w:hint="default" w:ascii="Times New Roman" w:hAnsi="Times New Roman" w:eastAsia="宋体" w:cs="Times New Roman"/>
                <w:sz w:val="24"/>
                <w:lang w:eastAsia="zh-CN"/>
              </w:rPr>
              <w:t>0</w:t>
            </w:r>
            <w:r>
              <w:rPr>
                <w:rFonts w:hint="eastAsia" w:ascii="Times New Roman" w:hAnsi="Times New Roman" w:eastAsia="宋体" w:cs="Times New Roman"/>
                <w:sz w:val="24"/>
                <w:lang w:eastAsia="zh-CN"/>
              </w:rPr>
              <w:t>KW，所以本项目供电系统依托现有变压器是可行的。</w:t>
            </w:r>
          </w:p>
          <w:p>
            <w:pPr>
              <w:spacing w:line="460" w:lineRule="exact"/>
              <w:ind w:firstLine="480" w:firstLineChars="200"/>
              <w:jc w:val="both"/>
              <w:rPr>
                <w:rFonts w:hint="default" w:ascii="Times New Roman" w:hAnsi="Times New Roman" w:eastAsia="宋体" w:cs="Times New Roman"/>
                <w:sz w:val="24"/>
                <w:lang w:eastAsia="zh-CN"/>
              </w:rPr>
            </w:pPr>
            <w:r>
              <w:rPr>
                <w:rFonts w:hint="default" w:ascii="Times New Roman" w:hAnsi="Times New Roman" w:eastAsia="宋体" w:cs="Times New Roman"/>
                <w:sz w:val="24"/>
                <w:lang w:eastAsia="zh-CN"/>
              </w:rPr>
              <w:t>（</w:t>
            </w:r>
            <w:r>
              <w:rPr>
                <w:rFonts w:hint="eastAsia" w:ascii="Times New Roman" w:hAnsi="Times New Roman" w:cs="Times New Roman"/>
                <w:sz w:val="24"/>
                <w:lang w:val="en-US" w:eastAsia="zh-CN"/>
              </w:rPr>
              <w:t>2</w:t>
            </w:r>
            <w:r>
              <w:rPr>
                <w:rFonts w:hint="default" w:ascii="Times New Roman" w:hAnsi="Times New Roman" w:eastAsia="宋体" w:cs="Times New Roman"/>
                <w:sz w:val="24"/>
                <w:lang w:eastAsia="zh-CN"/>
              </w:rPr>
              <w:t>）环保工程</w:t>
            </w:r>
          </w:p>
          <w:p>
            <w:pPr>
              <w:spacing w:line="460" w:lineRule="exact"/>
              <w:ind w:firstLine="480" w:firstLineChars="200"/>
              <w:jc w:val="both"/>
              <w:rPr>
                <w:rFonts w:hint="default" w:ascii="Times New Roman" w:hAnsi="Times New Roman" w:eastAsia="宋体" w:cs="Times New Roman"/>
                <w:sz w:val="24"/>
                <w:lang w:eastAsia="zh-CN"/>
              </w:rPr>
            </w:pPr>
            <w:r>
              <w:rPr>
                <w:rFonts w:hint="eastAsia" w:ascii="Times New Roman" w:hAnsi="Times New Roman" w:eastAsia="宋体" w:cs="Times New Roman"/>
                <w:sz w:val="24"/>
                <w:lang w:eastAsia="zh-CN"/>
              </w:rPr>
              <w:t>本项目一般固废房</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危废库</w:t>
            </w:r>
            <w:r>
              <w:rPr>
                <w:rFonts w:hint="eastAsia" w:ascii="Times New Roman" w:hAnsi="Times New Roman" w:eastAsia="宋体" w:cs="Times New Roman"/>
                <w:sz w:val="24"/>
                <w:lang w:eastAsia="zh-CN"/>
              </w:rPr>
              <w:t>和噪声污染设施依托现有，现厂区建设有一座面积为</w:t>
            </w:r>
            <w:r>
              <w:rPr>
                <w:rFonts w:hint="eastAsia" w:ascii="Times New Roman" w:hAnsi="Times New Roman" w:cs="Times New Roman"/>
                <w:sz w:val="24"/>
                <w:lang w:val="en-US" w:eastAsia="zh-CN"/>
              </w:rPr>
              <w:t>1</w:t>
            </w:r>
            <w:r>
              <w:rPr>
                <w:rFonts w:hint="default" w:ascii="Times New Roman" w:hAnsi="Times New Roman" w:eastAsia="宋体" w:cs="Times New Roman"/>
                <w:sz w:val="24"/>
                <w:lang w:eastAsia="zh-CN"/>
              </w:rPr>
              <w:t>0m</w:t>
            </w:r>
            <w:r>
              <w:rPr>
                <w:rFonts w:hint="default" w:ascii="Times New Roman" w:hAnsi="Times New Roman" w:eastAsia="宋体" w:cs="Times New Roman"/>
                <w:sz w:val="24"/>
                <w:vertAlign w:val="superscript"/>
                <w:lang w:eastAsia="zh-CN"/>
              </w:rPr>
              <w:t>2</w:t>
            </w:r>
            <w:r>
              <w:rPr>
                <w:rFonts w:hint="default" w:ascii="Times New Roman" w:hAnsi="Times New Roman" w:eastAsia="宋体" w:cs="Times New Roman"/>
                <w:sz w:val="24"/>
                <w:lang w:eastAsia="zh-CN"/>
              </w:rPr>
              <w:t>的一般固废仓库</w:t>
            </w:r>
            <w:r>
              <w:rPr>
                <w:rFonts w:hint="eastAsia" w:ascii="Times New Roman" w:hAnsi="Times New Roman" w:cs="Times New Roman"/>
                <w:sz w:val="24"/>
                <w:lang w:val="en-US" w:eastAsia="zh-CN"/>
              </w:rPr>
              <w:t>和1</w:t>
            </w:r>
            <w:r>
              <w:rPr>
                <w:rFonts w:hint="default" w:ascii="Times New Roman" w:hAnsi="Times New Roman" w:eastAsia="宋体" w:cs="Times New Roman"/>
                <w:sz w:val="24"/>
                <w:lang w:eastAsia="zh-CN"/>
              </w:rPr>
              <w:t>0m</w:t>
            </w:r>
            <w:r>
              <w:rPr>
                <w:rFonts w:hint="default" w:ascii="Times New Roman" w:hAnsi="Times New Roman" w:eastAsia="宋体" w:cs="Times New Roman"/>
                <w:sz w:val="24"/>
                <w:vertAlign w:val="superscript"/>
                <w:lang w:eastAsia="zh-CN"/>
              </w:rPr>
              <w:t>2</w:t>
            </w:r>
            <w:r>
              <w:rPr>
                <w:rFonts w:hint="default" w:ascii="Times New Roman" w:hAnsi="Times New Roman" w:eastAsia="宋体" w:cs="Times New Roman"/>
                <w:sz w:val="24"/>
                <w:lang w:eastAsia="zh-CN"/>
              </w:rPr>
              <w:t>的</w:t>
            </w:r>
            <w:r>
              <w:rPr>
                <w:rFonts w:hint="eastAsia" w:ascii="Times New Roman" w:hAnsi="Times New Roman" w:cs="Times New Roman"/>
                <w:sz w:val="24"/>
                <w:lang w:val="en-US" w:eastAsia="zh-CN"/>
              </w:rPr>
              <w:t>危废库</w:t>
            </w:r>
            <w:r>
              <w:rPr>
                <w:rFonts w:hint="eastAsia" w:ascii="Times New Roman" w:hAnsi="Times New Roman" w:eastAsia="宋体" w:cs="Times New Roman"/>
                <w:sz w:val="24"/>
                <w:lang w:eastAsia="zh-CN"/>
              </w:rPr>
              <w:t>，本项</w:t>
            </w:r>
            <w:r>
              <w:rPr>
                <w:rFonts w:hint="eastAsia" w:ascii="Times New Roman" w:hAnsi="Times New Roman" w:cs="Times New Roman"/>
                <w:sz w:val="24"/>
                <w:lang w:val="en-US" w:eastAsia="zh-CN"/>
              </w:rPr>
              <w:t>目产生的一</w:t>
            </w:r>
            <w:r>
              <w:rPr>
                <w:rFonts w:hint="eastAsia" w:ascii="Times New Roman" w:hAnsi="Times New Roman" w:eastAsia="宋体" w:cs="Times New Roman"/>
                <w:sz w:val="24"/>
                <w:lang w:val="en-US" w:eastAsia="zh-CN"/>
              </w:rPr>
              <w:t>般固体废物</w:t>
            </w:r>
            <w:r>
              <w:rPr>
                <w:rFonts w:hint="eastAsia" w:ascii="Times New Roman" w:hAnsi="Times New Roman" w:cs="Times New Roman"/>
                <w:sz w:val="24"/>
                <w:lang w:val="en-US" w:eastAsia="zh-CN"/>
              </w:rPr>
              <w:t>有</w:t>
            </w:r>
            <w:r>
              <w:rPr>
                <w:rFonts w:hint="eastAsia" w:ascii="Times New Roman" w:hAnsi="Times New Roman" w:eastAsia="宋体" w:cs="Times New Roman"/>
                <w:sz w:val="24"/>
                <w:lang w:val="en-US" w:eastAsia="zh-CN"/>
              </w:rPr>
              <w:t>废包装物、</w:t>
            </w:r>
            <w:r>
              <w:rPr>
                <w:rFonts w:hint="default" w:ascii="Times New Roman" w:hAnsi="Times New Roman" w:eastAsia="宋体" w:cs="Times New Roman"/>
                <w:sz w:val="24"/>
                <w:lang w:val="en-US" w:eastAsia="zh-CN"/>
              </w:rPr>
              <w:t>废边角料</w:t>
            </w:r>
            <w:r>
              <w:rPr>
                <w:rFonts w:hint="eastAsia" w:ascii="Times New Roman" w:hAnsi="Times New Roman" w:cs="Times New Roman"/>
                <w:sz w:val="24"/>
                <w:lang w:val="en-US" w:eastAsia="zh-CN"/>
              </w:rPr>
              <w:t>和</w:t>
            </w:r>
            <w:r>
              <w:rPr>
                <w:rFonts w:hint="default" w:ascii="Times New Roman" w:hAnsi="Times New Roman" w:eastAsia="宋体" w:cs="Times New Roman"/>
                <w:sz w:val="24"/>
                <w:lang w:val="en-US" w:eastAsia="zh-CN"/>
              </w:rPr>
              <w:t>不合格产品</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共计0.08t，</w:t>
            </w:r>
            <w:r>
              <w:rPr>
                <w:rFonts w:hint="default" w:ascii="Times New Roman" w:hAnsi="Times New Roman" w:eastAsia="宋体" w:cs="Times New Roman"/>
                <w:color w:val="auto"/>
                <w:sz w:val="24"/>
              </w:rPr>
              <w:t>不会</w:t>
            </w:r>
            <w:r>
              <w:rPr>
                <w:rFonts w:hint="default" w:ascii="Times New Roman" w:hAnsi="Times New Roman" w:eastAsia="宋体" w:cs="Times New Roman"/>
                <w:color w:val="auto"/>
                <w:sz w:val="24"/>
                <w:lang w:val="en-US" w:eastAsia="zh-CN"/>
              </w:rPr>
              <w:t>长期</w:t>
            </w:r>
            <w:r>
              <w:rPr>
                <w:rFonts w:hint="default" w:ascii="Times New Roman" w:hAnsi="Times New Roman" w:eastAsia="宋体" w:cs="Times New Roman"/>
                <w:color w:val="auto"/>
                <w:sz w:val="24"/>
              </w:rPr>
              <w:t>占用一般固废暂存间面积</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因此</w:t>
            </w:r>
            <w:r>
              <w:rPr>
                <w:rFonts w:hint="eastAsia" w:ascii="Times New Roman" w:hAnsi="Times New Roman" w:eastAsia="宋体" w:cs="Times New Roman"/>
                <w:sz w:val="24"/>
                <w:lang w:eastAsia="zh-CN"/>
              </w:rPr>
              <w:t>依托现有</w:t>
            </w:r>
            <w:r>
              <w:rPr>
                <w:rFonts w:hint="eastAsia" w:ascii="Times New Roman" w:hAnsi="Times New Roman" w:eastAsia="宋体" w:cs="Times New Roman"/>
                <w:sz w:val="24"/>
                <w:lang w:val="en-US" w:eastAsia="zh-CN"/>
              </w:rPr>
              <w:t>一般固废库</w:t>
            </w:r>
            <w:r>
              <w:rPr>
                <w:rFonts w:hint="eastAsia" w:ascii="Times New Roman" w:hAnsi="Times New Roman" w:cs="Times New Roman"/>
                <w:sz w:val="24"/>
                <w:lang w:val="en-US" w:eastAsia="zh-CN"/>
              </w:rPr>
              <w:t>存放是可行的；项目产生的危</w:t>
            </w:r>
            <w:r>
              <w:rPr>
                <w:rFonts w:hint="eastAsia" w:ascii="Times New Roman" w:hAnsi="Times New Roman" w:eastAsia="宋体" w:cs="Times New Roman"/>
                <w:sz w:val="24"/>
                <w:lang w:val="en-US" w:eastAsia="zh-CN"/>
              </w:rPr>
              <w:t>险固体废物</w:t>
            </w:r>
            <w:r>
              <w:rPr>
                <w:rFonts w:hint="eastAsia" w:ascii="Times New Roman" w:hAnsi="Times New Roman" w:cs="Times New Roman"/>
                <w:sz w:val="24"/>
                <w:lang w:val="en-US" w:eastAsia="zh-CN"/>
              </w:rPr>
              <w:t>有</w:t>
            </w:r>
            <w:r>
              <w:rPr>
                <w:rFonts w:hint="eastAsia" w:ascii="Times New Roman" w:hAnsi="Times New Roman" w:eastAsia="宋体" w:cs="Times New Roman"/>
                <w:sz w:val="24"/>
                <w:lang w:val="en-US" w:eastAsia="zh-CN"/>
              </w:rPr>
              <w:t>废水性油墨桶、废活性炭</w:t>
            </w:r>
            <w:r>
              <w:rPr>
                <w:rFonts w:hint="eastAsia" w:ascii="Times New Roman" w:hAnsi="Times New Roman" w:cs="Times New Roman"/>
                <w:sz w:val="24"/>
                <w:lang w:val="en-US" w:eastAsia="zh-CN"/>
              </w:rPr>
              <w:t>，共计2.968t/a，定期委托有资质单位进行处置，</w:t>
            </w:r>
            <w:r>
              <w:rPr>
                <w:rFonts w:hint="default" w:ascii="Times New Roman" w:hAnsi="Times New Roman" w:eastAsia="宋体" w:cs="Times New Roman"/>
                <w:color w:val="auto"/>
                <w:sz w:val="24"/>
              </w:rPr>
              <w:t>不会</w:t>
            </w:r>
            <w:r>
              <w:rPr>
                <w:rFonts w:hint="default" w:ascii="Times New Roman" w:hAnsi="Times New Roman" w:eastAsia="宋体" w:cs="Times New Roman"/>
                <w:color w:val="auto"/>
                <w:sz w:val="24"/>
                <w:lang w:val="en-US" w:eastAsia="zh-CN"/>
              </w:rPr>
              <w:t>长期</w:t>
            </w:r>
            <w:r>
              <w:rPr>
                <w:rFonts w:hint="default" w:ascii="Times New Roman" w:hAnsi="Times New Roman" w:eastAsia="宋体" w:cs="Times New Roman"/>
                <w:color w:val="auto"/>
                <w:sz w:val="24"/>
              </w:rPr>
              <w:t>占用</w:t>
            </w:r>
            <w:r>
              <w:rPr>
                <w:rFonts w:hint="eastAsia" w:ascii="Times New Roman" w:hAnsi="Times New Roman" w:cs="Times New Roman"/>
                <w:color w:val="auto"/>
                <w:sz w:val="24"/>
                <w:lang w:val="en-US" w:eastAsia="zh-CN"/>
              </w:rPr>
              <w:t>危废库</w:t>
            </w:r>
            <w:r>
              <w:rPr>
                <w:rFonts w:hint="default" w:ascii="Times New Roman" w:hAnsi="Times New Roman" w:eastAsia="宋体" w:cs="Times New Roman"/>
                <w:color w:val="auto"/>
                <w:sz w:val="24"/>
              </w:rPr>
              <w:t>面积</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因此</w:t>
            </w:r>
            <w:r>
              <w:rPr>
                <w:rFonts w:hint="eastAsia" w:ascii="Times New Roman" w:hAnsi="Times New Roman" w:eastAsia="宋体" w:cs="Times New Roman"/>
                <w:sz w:val="24"/>
                <w:lang w:eastAsia="zh-CN"/>
              </w:rPr>
              <w:t>依托现有</w:t>
            </w:r>
            <w:r>
              <w:rPr>
                <w:rFonts w:hint="eastAsia" w:ascii="Times New Roman" w:hAnsi="Times New Roman" w:cs="Times New Roman"/>
                <w:sz w:val="24"/>
                <w:lang w:val="en-US" w:eastAsia="zh-CN"/>
              </w:rPr>
              <w:t>危废库存放是可行的</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危废库废气经现有废气治理设施</w:t>
            </w:r>
            <w:r>
              <w:rPr>
                <w:rFonts w:hint="default" w:ascii="Times New Roman" w:hAnsi="Times New Roman" w:eastAsia="宋体" w:cs="Times New Roman"/>
                <w:sz w:val="24"/>
                <w:lang w:val="en-US" w:eastAsia="zh-CN"/>
              </w:rPr>
              <w:t>“喷淋塔+二级活性炭吸附”装置处理后通过1根15m 高排气筒（DA001）</w:t>
            </w:r>
            <w:r>
              <w:rPr>
                <w:rFonts w:hint="eastAsia" w:ascii="Times New Roman" w:hAnsi="Times New Roman" w:cs="Times New Roman"/>
                <w:sz w:val="24"/>
                <w:lang w:val="en-US" w:eastAsia="zh-CN"/>
              </w:rPr>
              <w:t>排放。</w:t>
            </w:r>
            <w:r>
              <w:rPr>
                <w:rFonts w:hint="eastAsia" w:ascii="Times New Roman" w:hAnsi="Times New Roman" w:eastAsia="宋体" w:cs="Times New Roman"/>
                <w:sz w:val="24"/>
                <w:lang w:eastAsia="zh-CN"/>
              </w:rPr>
              <w:t>项目</w:t>
            </w:r>
            <w:r>
              <w:rPr>
                <w:rFonts w:hint="eastAsia" w:ascii="Times New Roman" w:hAnsi="Times New Roman" w:cs="Times New Roman"/>
                <w:sz w:val="24"/>
                <w:lang w:val="en-US" w:eastAsia="zh-CN"/>
              </w:rPr>
              <w:t>租赁</w:t>
            </w:r>
            <w:r>
              <w:rPr>
                <w:rFonts w:hint="eastAsia" w:ascii="Times New Roman" w:hAnsi="Times New Roman" w:eastAsia="宋体" w:cs="Times New Roman"/>
                <w:sz w:val="24"/>
                <w:lang w:val="en-US" w:eastAsia="zh-CN"/>
              </w:rPr>
              <w:t>现</w:t>
            </w:r>
            <w:r>
              <w:rPr>
                <w:rFonts w:hint="eastAsia" w:ascii="Times New Roman" w:hAnsi="Times New Roman" w:cs="Times New Roman"/>
                <w:sz w:val="24"/>
                <w:lang w:val="en-US" w:eastAsia="zh-CN"/>
              </w:rPr>
              <w:t>有生产厂房</w:t>
            </w:r>
            <w:r>
              <w:rPr>
                <w:rFonts w:hint="eastAsia" w:ascii="Times New Roman" w:hAnsi="Times New Roman" w:eastAsia="宋体" w:cs="Times New Roman"/>
                <w:sz w:val="24"/>
                <w:lang w:eastAsia="zh-CN"/>
              </w:rPr>
              <w:t>，依托现有厂房的隔声措施。</w:t>
            </w:r>
          </w:p>
          <w:p>
            <w:pPr>
              <w:spacing w:line="460" w:lineRule="exact"/>
              <w:ind w:firstLine="482"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eastAsia="zh-CN"/>
              </w:rPr>
              <w:t>3、主要产品及产能</w:t>
            </w:r>
          </w:p>
          <w:p>
            <w:pPr>
              <w:spacing w:line="460" w:lineRule="exact"/>
              <w:ind w:firstLine="480" w:firstLineChars="200"/>
              <w:jc w:val="both"/>
              <w:rPr>
                <w:rFonts w:hint="default" w:ascii="Times New Roman" w:hAnsi="Times New Roman" w:eastAsia="宋体" w:cs="Times New Roman"/>
                <w:sz w:val="24"/>
                <w:lang w:eastAsia="zh-CN"/>
              </w:rPr>
            </w:pPr>
            <w:r>
              <w:rPr>
                <w:rFonts w:hint="default" w:ascii="Times New Roman" w:hAnsi="Times New Roman" w:eastAsia="宋体" w:cs="Times New Roman"/>
                <w:sz w:val="24"/>
                <w:lang w:val="en-US" w:eastAsia="zh-CN"/>
              </w:rPr>
              <w:t>本</w:t>
            </w:r>
            <w:r>
              <w:rPr>
                <w:rFonts w:hint="default" w:ascii="Times New Roman" w:hAnsi="Times New Roman" w:eastAsia="宋体" w:cs="Times New Roman"/>
                <w:sz w:val="24"/>
                <w:lang w:eastAsia="zh-CN"/>
              </w:rPr>
              <w:t>项目产品方案详见表2-2。</w:t>
            </w:r>
          </w:p>
          <w:p>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表2-2  项目产品方案</w:t>
            </w:r>
          </w:p>
          <w:tbl>
            <w:tblPr>
              <w:tblStyle w:val="23"/>
              <w:tblW w:w="499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15"/>
              <w:gridCol w:w="1423"/>
              <w:gridCol w:w="1579"/>
              <w:gridCol w:w="1661"/>
              <w:gridCol w:w="1439"/>
              <w:gridCol w:w="150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29" w:type="pct"/>
                  <w:vMerge w:val="restart"/>
                  <w:tcBorders>
                    <w:tl2br w:val="nil"/>
                    <w:tr2bl w:val="nil"/>
                  </w:tcBorders>
                  <w:vAlign w:val="center"/>
                </w:tcPr>
                <w:p>
                  <w:pPr>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
                      <w:sz w:val="21"/>
                      <w:szCs w:val="21"/>
                      <w:lang w:eastAsia="zh-CN"/>
                    </w:rPr>
                    <w:t>序号</w:t>
                  </w:r>
                </w:p>
              </w:tc>
              <w:tc>
                <w:tcPr>
                  <w:tcW w:w="855" w:type="pct"/>
                  <w:vMerge w:val="restart"/>
                  <w:tcBorders>
                    <w:tl2br w:val="nil"/>
                    <w:tr2bl w:val="nil"/>
                  </w:tcBorders>
                  <w:vAlign w:val="center"/>
                </w:tcPr>
                <w:p>
                  <w:pPr>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
                      <w:sz w:val="21"/>
                      <w:szCs w:val="21"/>
                      <w:lang w:eastAsia="zh-CN"/>
                    </w:rPr>
                    <w:t>产品名</w:t>
                  </w:r>
                </w:p>
              </w:tc>
              <w:tc>
                <w:tcPr>
                  <w:tcW w:w="2813" w:type="pct"/>
                  <w:gridSpan w:val="3"/>
                  <w:tcBorders>
                    <w:tl2br w:val="nil"/>
                    <w:tr2bl w:val="nil"/>
                  </w:tcBorders>
                  <w:vAlign w:val="center"/>
                </w:tcPr>
                <w:p>
                  <w:pPr>
                    <w:pStyle w:val="10"/>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设计规模</w:t>
                  </w:r>
                </w:p>
              </w:tc>
              <w:tc>
                <w:tcPr>
                  <w:tcW w:w="901" w:type="pct"/>
                  <w:vMerge w:val="restart"/>
                  <w:tcBorders>
                    <w:tl2br w:val="nil"/>
                    <w:tr2bl w:val="nil"/>
                  </w:tcBorders>
                  <w:vAlign w:val="center"/>
                </w:tcPr>
                <w:p>
                  <w:pPr>
                    <w:pStyle w:val="10"/>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年工作时间</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29" w:type="pct"/>
                  <w:vMerge w:val="continue"/>
                  <w:tcBorders>
                    <w:tl2br w:val="nil"/>
                    <w:tr2bl w:val="nil"/>
                  </w:tcBorders>
                  <w:vAlign w:val="center"/>
                </w:tcPr>
                <w:p>
                  <w:pPr>
                    <w:jc w:val="center"/>
                    <w:rPr>
                      <w:rFonts w:hint="default" w:ascii="Times New Roman" w:hAnsi="Times New Roman" w:eastAsia="宋体" w:cs="Times New Roman"/>
                      <w:b/>
                      <w:sz w:val="21"/>
                      <w:szCs w:val="21"/>
                      <w:lang w:eastAsia="zh-CN"/>
                    </w:rPr>
                  </w:pPr>
                </w:p>
              </w:tc>
              <w:tc>
                <w:tcPr>
                  <w:tcW w:w="855" w:type="pct"/>
                  <w:vMerge w:val="continue"/>
                  <w:tcBorders>
                    <w:tl2br w:val="nil"/>
                    <w:tr2bl w:val="nil"/>
                  </w:tcBorders>
                  <w:vAlign w:val="center"/>
                </w:tcPr>
                <w:p>
                  <w:pPr>
                    <w:jc w:val="center"/>
                    <w:rPr>
                      <w:rFonts w:hint="default" w:ascii="Times New Roman" w:hAnsi="Times New Roman" w:eastAsia="宋体" w:cs="Times New Roman"/>
                      <w:b/>
                      <w:sz w:val="21"/>
                      <w:szCs w:val="21"/>
                      <w:lang w:eastAsia="zh-CN"/>
                    </w:rPr>
                  </w:pPr>
                </w:p>
              </w:tc>
              <w:tc>
                <w:tcPr>
                  <w:tcW w:w="949" w:type="pct"/>
                  <w:tcBorders>
                    <w:tl2br w:val="nil"/>
                    <w:tr2bl w:val="nil"/>
                  </w:tcBorders>
                  <w:vAlign w:val="center"/>
                </w:tcPr>
                <w:p>
                  <w:pPr>
                    <w:pStyle w:val="10"/>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技改前</w:t>
                  </w:r>
                </w:p>
              </w:tc>
              <w:tc>
                <w:tcPr>
                  <w:tcW w:w="998" w:type="pct"/>
                  <w:tcBorders>
                    <w:tl2br w:val="nil"/>
                    <w:tr2bl w:val="nil"/>
                  </w:tcBorders>
                  <w:vAlign w:val="center"/>
                </w:tcPr>
                <w:p>
                  <w:pPr>
                    <w:pStyle w:val="10"/>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技改后</w:t>
                  </w:r>
                </w:p>
              </w:tc>
              <w:tc>
                <w:tcPr>
                  <w:tcW w:w="865" w:type="pct"/>
                  <w:tcBorders>
                    <w:tl2br w:val="nil"/>
                    <w:tr2bl w:val="nil"/>
                  </w:tcBorders>
                  <w:vAlign w:val="center"/>
                </w:tcPr>
                <w:p>
                  <w:pPr>
                    <w:pStyle w:val="10"/>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增减量</w:t>
                  </w:r>
                </w:p>
              </w:tc>
              <w:tc>
                <w:tcPr>
                  <w:tcW w:w="901" w:type="pct"/>
                  <w:vMerge w:val="continue"/>
                  <w:tcBorders>
                    <w:tl2br w:val="nil"/>
                    <w:tr2bl w:val="nil"/>
                  </w:tcBorders>
                  <w:vAlign w:val="center"/>
                </w:tcPr>
                <w:p>
                  <w:pPr>
                    <w:pStyle w:val="10"/>
                    <w:jc w:val="center"/>
                    <w:rPr>
                      <w:rFonts w:hint="default" w:ascii="Times New Roman" w:hAnsi="Times New Roman" w:eastAsia="宋体" w:cs="Times New Roman"/>
                      <w:b/>
                      <w:bCs/>
                      <w:sz w:val="21"/>
                      <w:szCs w:val="21"/>
                      <w:lang w:eastAsia="zh-CN"/>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29"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w:t>
                  </w:r>
                </w:p>
              </w:tc>
              <w:tc>
                <w:tcPr>
                  <w:tcW w:w="855" w:type="pct"/>
                  <w:tcBorders>
                    <w:tl2br w:val="nil"/>
                    <w:tr2bl w:val="nil"/>
                  </w:tcBorders>
                  <w:vAlign w:val="center"/>
                </w:tcPr>
                <w:p>
                  <w:pPr>
                    <w:keepNext w:val="0"/>
                    <w:keepLines w:val="0"/>
                    <w:widowControl/>
                    <w:suppressLineNumbers w:val="0"/>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包装袋</w:t>
                  </w:r>
                </w:p>
              </w:tc>
              <w:tc>
                <w:tcPr>
                  <w:tcW w:w="949" w:type="pct"/>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100万件</w:t>
                  </w:r>
                  <w:r>
                    <w:rPr>
                      <w:rFonts w:hint="default" w:ascii="Times New Roman" w:hAnsi="Times New Roman" w:eastAsia="宋体" w:cs="Times New Roman"/>
                      <w:sz w:val="21"/>
                      <w:szCs w:val="21"/>
                      <w:lang w:eastAsia="zh-CN"/>
                    </w:rPr>
                    <w:t>/年</w:t>
                  </w:r>
                </w:p>
              </w:tc>
              <w:tc>
                <w:tcPr>
                  <w:tcW w:w="998" w:type="pct"/>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lang w:val="en-US" w:eastAsia="zh-CN"/>
                    </w:rPr>
                    <w:t>100万件</w:t>
                  </w:r>
                  <w:r>
                    <w:rPr>
                      <w:rFonts w:hint="default" w:ascii="Times New Roman" w:hAnsi="Times New Roman" w:eastAsia="宋体" w:cs="Times New Roman"/>
                      <w:sz w:val="21"/>
                      <w:szCs w:val="21"/>
                      <w:lang w:eastAsia="zh-CN"/>
                    </w:rPr>
                    <w:t>/年</w:t>
                  </w:r>
                </w:p>
              </w:tc>
              <w:tc>
                <w:tcPr>
                  <w:tcW w:w="865" w:type="pct"/>
                  <w:tcBorders>
                    <w:tl2br w:val="nil"/>
                    <w:tr2bl w:val="nil"/>
                  </w:tcBorders>
                  <w:vAlign w:val="center"/>
                </w:tcPr>
                <w:p>
                  <w:pPr>
                    <w:pStyle w:val="1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lang w:val="en-US" w:eastAsia="zh-CN"/>
                    </w:rPr>
                    <w:t>0</w:t>
                  </w:r>
                </w:p>
              </w:tc>
              <w:tc>
                <w:tcPr>
                  <w:tcW w:w="901" w:type="pct"/>
                  <w:tcBorders>
                    <w:tl2br w:val="nil"/>
                    <w:tr2bl w:val="nil"/>
                  </w:tcBorders>
                  <w:vAlign w:val="center"/>
                </w:tcPr>
                <w:p>
                  <w:pPr>
                    <w:pStyle w:val="10"/>
                    <w:jc w:val="center"/>
                    <w:rPr>
                      <w:rFonts w:hint="default" w:ascii="Times New Roman" w:hAnsi="Times New Roman" w:eastAsia="宋体" w:cs="Times New Roman"/>
                      <w:bCs/>
                      <w:sz w:val="21"/>
                      <w:szCs w:val="21"/>
                      <w:lang w:eastAsia="zh-CN"/>
                    </w:rPr>
                  </w:pPr>
                  <w:r>
                    <w:rPr>
                      <w:rFonts w:hint="default" w:ascii="Times New Roman" w:hAnsi="Times New Roman" w:cs="Times New Roman"/>
                      <w:bCs/>
                      <w:sz w:val="21"/>
                      <w:szCs w:val="21"/>
                      <w:lang w:val="en-US" w:eastAsia="zh-CN"/>
                    </w:rPr>
                    <w:t>4800</w:t>
                  </w:r>
                  <w:r>
                    <w:rPr>
                      <w:rFonts w:hint="default" w:ascii="Times New Roman" w:hAnsi="Times New Roman" w:cs="Times New Roman"/>
                      <w:bCs/>
                      <w:sz w:val="21"/>
                      <w:szCs w:val="21"/>
                      <w:lang w:eastAsia="zh-CN"/>
                    </w:rPr>
                    <w:t>h</w:t>
                  </w:r>
                </w:p>
              </w:tc>
            </w:tr>
          </w:tbl>
          <w:p>
            <w:pPr>
              <w:spacing w:line="440" w:lineRule="exact"/>
              <w:ind w:firstLine="482" w:firstLineChars="200"/>
              <w:jc w:val="both"/>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eastAsia="zh-CN"/>
              </w:rPr>
              <w:t>4、主要原辅材料</w:t>
            </w:r>
            <w:r>
              <w:rPr>
                <w:rFonts w:hint="default" w:ascii="Times New Roman" w:hAnsi="Times New Roman" w:eastAsia="宋体" w:cs="Times New Roman"/>
                <w:b/>
                <w:bCs/>
                <w:sz w:val="24"/>
                <w:lang w:val="en-US" w:eastAsia="zh-CN"/>
              </w:rPr>
              <w:t>及能源消耗</w:t>
            </w:r>
          </w:p>
          <w:p>
            <w:pPr>
              <w:spacing w:line="460" w:lineRule="exact"/>
              <w:ind w:firstLine="480" w:firstLineChars="200"/>
              <w:jc w:val="both"/>
              <w:rPr>
                <w:rFonts w:hint="default" w:ascii="Times New Roman" w:hAnsi="Times New Roman" w:eastAsia="宋体" w:cs="Times New Roman"/>
                <w:sz w:val="24"/>
                <w:lang w:eastAsia="zh-CN"/>
              </w:rPr>
            </w:pPr>
            <w:r>
              <w:rPr>
                <w:rFonts w:hint="default" w:ascii="Times New Roman" w:hAnsi="Times New Roman" w:eastAsia="宋体" w:cs="Times New Roman"/>
                <w:sz w:val="24"/>
                <w:lang w:eastAsia="zh-CN"/>
              </w:rPr>
              <w:t>本项目主要</w:t>
            </w:r>
            <w:r>
              <w:rPr>
                <w:rFonts w:hint="default" w:ascii="Times New Roman" w:hAnsi="Times New Roman" w:cs="Times New Roman"/>
                <w:sz w:val="24"/>
                <w:lang w:val="en-US" w:eastAsia="zh-CN"/>
              </w:rPr>
              <w:t>新增</w:t>
            </w:r>
            <w:r>
              <w:rPr>
                <w:rFonts w:hint="default" w:ascii="Times New Roman" w:hAnsi="Times New Roman" w:eastAsia="宋体" w:cs="Times New Roman"/>
                <w:sz w:val="24"/>
                <w:lang w:eastAsia="zh-CN"/>
              </w:rPr>
              <w:t>原辅材料</w:t>
            </w:r>
            <w:r>
              <w:rPr>
                <w:rFonts w:hint="default" w:ascii="Times New Roman" w:hAnsi="Times New Roman" w:cs="Times New Roman"/>
                <w:sz w:val="24"/>
                <w:lang w:val="en-US" w:eastAsia="zh-CN"/>
              </w:rPr>
              <w:t>涂膜料、水性油墨，技改后全厂</w:t>
            </w:r>
            <w:r>
              <w:rPr>
                <w:rFonts w:hint="default" w:ascii="Times New Roman" w:hAnsi="Times New Roman" w:eastAsia="宋体" w:cs="Times New Roman"/>
                <w:sz w:val="24"/>
                <w:lang w:eastAsia="zh-CN"/>
              </w:rPr>
              <w:t>原辅材料</w:t>
            </w:r>
            <w:r>
              <w:rPr>
                <w:rFonts w:hint="default" w:ascii="Times New Roman" w:hAnsi="Times New Roman" w:eastAsia="宋体" w:cs="Times New Roman"/>
                <w:sz w:val="24"/>
                <w:lang w:val="en-US" w:eastAsia="zh-CN"/>
              </w:rPr>
              <w:t>和能源</w:t>
            </w:r>
            <w:r>
              <w:rPr>
                <w:rFonts w:hint="default" w:ascii="Times New Roman" w:hAnsi="Times New Roman" w:eastAsia="宋体" w:cs="Times New Roman"/>
                <w:sz w:val="24"/>
                <w:lang w:eastAsia="zh-CN"/>
              </w:rPr>
              <w:t>消耗情况见表2-</w:t>
            </w:r>
            <w:r>
              <w:rPr>
                <w:rFonts w:hint="default" w:ascii="Times New Roman" w:hAnsi="Times New Roman" w:eastAsia="宋体" w:cs="Times New Roman"/>
                <w:sz w:val="24"/>
                <w:lang w:val="en-US" w:eastAsia="zh-CN"/>
              </w:rPr>
              <w:t>3、2-4</w:t>
            </w:r>
            <w:r>
              <w:rPr>
                <w:rFonts w:hint="default" w:ascii="Times New Roman" w:hAnsi="Times New Roman" w:eastAsia="宋体" w:cs="Times New Roman"/>
                <w:sz w:val="24"/>
                <w:lang w:eastAsia="zh-CN"/>
              </w:rPr>
              <w:t>。</w:t>
            </w:r>
          </w:p>
          <w:p>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表2-</w:t>
            </w:r>
            <w:r>
              <w:rPr>
                <w:rFonts w:hint="default" w:ascii="Times New Roman" w:hAnsi="Times New Roman" w:eastAsia="宋体" w:cs="Times New Roman"/>
                <w:b/>
                <w:bCs/>
                <w:sz w:val="21"/>
                <w:szCs w:val="21"/>
                <w:lang w:val="en-US" w:eastAsia="zh-CN"/>
              </w:rPr>
              <w:t>3</w:t>
            </w:r>
            <w:r>
              <w:rPr>
                <w:rFonts w:hint="default" w:ascii="Times New Roman" w:hAnsi="Times New Roman" w:eastAsia="宋体" w:cs="Times New Roman"/>
                <w:b/>
                <w:bCs/>
                <w:sz w:val="21"/>
                <w:szCs w:val="21"/>
                <w:lang w:eastAsia="zh-CN"/>
              </w:rPr>
              <w:t xml:space="preserve">  </w:t>
            </w:r>
            <w:r>
              <w:rPr>
                <w:rFonts w:hint="default" w:ascii="Times New Roman" w:hAnsi="Times New Roman" w:cs="Times New Roman"/>
                <w:b/>
                <w:bCs/>
                <w:sz w:val="21"/>
                <w:szCs w:val="21"/>
                <w:lang w:val="en-US" w:eastAsia="zh-CN"/>
              </w:rPr>
              <w:t>技改后全厂</w:t>
            </w:r>
            <w:r>
              <w:rPr>
                <w:rFonts w:hint="default" w:ascii="Times New Roman" w:hAnsi="Times New Roman" w:eastAsia="宋体" w:cs="Times New Roman"/>
                <w:b/>
                <w:bCs/>
                <w:sz w:val="21"/>
                <w:szCs w:val="21"/>
                <w:lang w:eastAsia="zh-CN"/>
              </w:rPr>
              <w:t>主要原辅材料消耗情况</w:t>
            </w:r>
          </w:p>
          <w:tbl>
            <w:tblPr>
              <w:tblStyle w:val="23"/>
              <w:tblW w:w="84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211"/>
              <w:gridCol w:w="811"/>
              <w:gridCol w:w="812"/>
              <w:gridCol w:w="800"/>
              <w:gridCol w:w="755"/>
              <w:gridCol w:w="772"/>
              <w:gridCol w:w="918"/>
              <w:gridCol w:w="911"/>
              <w:gridCol w:w="1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 w:hRule="atLeast"/>
                <w:jc w:val="center"/>
              </w:trPr>
              <w:tc>
                <w:tcPr>
                  <w:tcW w:w="430" w:type="dxa"/>
                  <w:vMerge w:val="restart"/>
                  <w:tcBorders>
                    <w:tl2br w:val="nil"/>
                    <w:tr2bl w:val="nil"/>
                  </w:tcBorders>
                  <w:vAlign w:val="center"/>
                </w:tcPr>
                <w:p>
                  <w:pPr>
                    <w:snapToGrid w:val="0"/>
                    <w:jc w:val="center"/>
                    <w:rPr>
                      <w:rFonts w:hint="default" w:ascii="Times New Roman" w:hAnsi="Times New Roman" w:eastAsia="宋体" w:cs="Times New Roman"/>
                      <w:b/>
                      <w:sz w:val="21"/>
                      <w:szCs w:val="21"/>
                      <w:lang w:eastAsia="zh-CN"/>
                    </w:rPr>
                  </w:pPr>
                  <w:r>
                    <w:rPr>
                      <w:rFonts w:hint="default" w:ascii="Times New Roman" w:hAnsi="Times New Roman" w:cs="Times New Roman"/>
                      <w:b/>
                      <w:sz w:val="21"/>
                      <w:szCs w:val="21"/>
                      <w:lang w:eastAsia="zh-CN"/>
                    </w:rPr>
                    <w:t>序号</w:t>
                  </w:r>
                </w:p>
              </w:tc>
              <w:tc>
                <w:tcPr>
                  <w:tcW w:w="1211" w:type="dxa"/>
                  <w:vMerge w:val="restart"/>
                  <w:tcBorders>
                    <w:tl2br w:val="nil"/>
                    <w:tr2bl w:val="nil"/>
                  </w:tcBorders>
                  <w:vAlign w:val="center"/>
                </w:tcPr>
                <w:p>
                  <w:pPr>
                    <w:snapToGrid w:val="0"/>
                    <w:jc w:val="center"/>
                    <w:rPr>
                      <w:rFonts w:hint="default" w:ascii="Times New Roman" w:hAnsi="Times New Roman" w:eastAsia="宋体" w:cs="Times New Roman"/>
                      <w:b/>
                      <w:sz w:val="21"/>
                      <w:szCs w:val="21"/>
                      <w:lang w:eastAsia="zh-CN"/>
                    </w:rPr>
                  </w:pPr>
                  <w:r>
                    <w:rPr>
                      <w:rFonts w:hint="default" w:ascii="Times New Roman" w:hAnsi="Times New Roman" w:cs="Times New Roman"/>
                      <w:b/>
                      <w:sz w:val="21"/>
                      <w:szCs w:val="21"/>
                      <w:lang w:eastAsia="zh-CN"/>
                    </w:rPr>
                    <w:t>原料名称</w:t>
                  </w:r>
                </w:p>
              </w:tc>
              <w:tc>
                <w:tcPr>
                  <w:tcW w:w="3178" w:type="dxa"/>
                  <w:gridSpan w:val="4"/>
                  <w:tcBorders>
                    <w:tl2br w:val="nil"/>
                    <w:tr2bl w:val="nil"/>
                  </w:tcBorders>
                  <w:vAlign w:val="center"/>
                </w:tcPr>
                <w:p>
                  <w:pPr>
                    <w:snapToGrid w:val="0"/>
                    <w:jc w:val="center"/>
                    <w:rPr>
                      <w:rFonts w:hint="default" w:ascii="Times New Roman" w:hAnsi="Times New Roman" w:eastAsia="宋体" w:cs="Times New Roman"/>
                      <w:b/>
                      <w:sz w:val="21"/>
                      <w:szCs w:val="21"/>
                      <w:lang w:eastAsia="zh-CN"/>
                    </w:rPr>
                  </w:pPr>
                  <w:r>
                    <w:rPr>
                      <w:rFonts w:hint="default" w:ascii="Times New Roman" w:hAnsi="Times New Roman" w:cs="Times New Roman"/>
                      <w:b/>
                      <w:sz w:val="21"/>
                      <w:szCs w:val="21"/>
                      <w:lang w:eastAsia="zh-CN"/>
                    </w:rPr>
                    <w:t>年消耗量（t/a）</w:t>
                  </w:r>
                </w:p>
              </w:tc>
              <w:tc>
                <w:tcPr>
                  <w:tcW w:w="772" w:type="dxa"/>
                  <w:vMerge w:val="restart"/>
                  <w:tcBorders>
                    <w:tl2br w:val="nil"/>
                    <w:tr2bl w:val="nil"/>
                  </w:tcBorders>
                  <w:vAlign w:val="center"/>
                </w:tcPr>
                <w:p>
                  <w:pPr>
                    <w:adjustRightInd w:val="0"/>
                    <w:jc w:val="center"/>
                    <w:textAlignment w:val="baseline"/>
                    <w:rPr>
                      <w:rFonts w:hint="default" w:ascii="Times New Roman" w:hAnsi="Times New Roman" w:cs="Times New Roman"/>
                      <w:b/>
                      <w:sz w:val="21"/>
                      <w:szCs w:val="21"/>
                      <w:lang w:eastAsia="zh-CN"/>
                    </w:rPr>
                  </w:pPr>
                  <w:r>
                    <w:rPr>
                      <w:rFonts w:hint="default" w:ascii="Times New Roman" w:hAnsi="Times New Roman" w:cs="Times New Roman"/>
                      <w:b/>
                      <w:bCs/>
                      <w:kern w:val="0"/>
                      <w:sz w:val="21"/>
                      <w:szCs w:val="21"/>
                    </w:rPr>
                    <w:t>物料形态</w:t>
                  </w:r>
                </w:p>
              </w:tc>
              <w:tc>
                <w:tcPr>
                  <w:tcW w:w="918" w:type="dxa"/>
                  <w:vMerge w:val="restart"/>
                  <w:tcBorders>
                    <w:tl2br w:val="nil"/>
                    <w:tr2bl w:val="nil"/>
                  </w:tcBorders>
                  <w:vAlign w:val="center"/>
                </w:tcPr>
                <w:p>
                  <w:pPr>
                    <w:adjustRightInd w:val="0"/>
                    <w:jc w:val="center"/>
                    <w:textAlignment w:val="baseline"/>
                    <w:rPr>
                      <w:rFonts w:hint="default" w:ascii="Times New Roman" w:hAnsi="Times New Roman" w:cs="Times New Roman"/>
                      <w:b/>
                      <w:sz w:val="21"/>
                      <w:szCs w:val="21"/>
                      <w:lang w:eastAsia="zh-CN"/>
                    </w:rPr>
                  </w:pPr>
                  <w:r>
                    <w:rPr>
                      <w:rFonts w:hint="default" w:ascii="Times New Roman" w:hAnsi="Times New Roman" w:cs="Times New Roman"/>
                      <w:b/>
                      <w:bCs/>
                      <w:kern w:val="0"/>
                      <w:sz w:val="21"/>
                      <w:szCs w:val="21"/>
                    </w:rPr>
                    <w:t>包装形式</w:t>
                  </w:r>
                </w:p>
              </w:tc>
              <w:tc>
                <w:tcPr>
                  <w:tcW w:w="911" w:type="dxa"/>
                  <w:vMerge w:val="restart"/>
                  <w:tcBorders>
                    <w:tl2br w:val="nil"/>
                    <w:tr2bl w:val="nil"/>
                  </w:tcBorders>
                  <w:vAlign w:val="center"/>
                </w:tcPr>
                <w:p>
                  <w:pPr>
                    <w:adjustRightInd w:val="0"/>
                    <w:jc w:val="center"/>
                    <w:textAlignment w:val="baseline"/>
                    <w:rPr>
                      <w:rFonts w:hint="default" w:ascii="Times New Roman" w:hAnsi="Times New Roman" w:cs="Times New Roman"/>
                      <w:b/>
                      <w:sz w:val="21"/>
                      <w:szCs w:val="21"/>
                      <w:lang w:eastAsia="zh-CN"/>
                    </w:rPr>
                  </w:pPr>
                  <w:r>
                    <w:rPr>
                      <w:rFonts w:hint="default" w:ascii="Times New Roman" w:hAnsi="Times New Roman" w:cs="Times New Roman"/>
                      <w:b/>
                      <w:bCs/>
                      <w:kern w:val="0"/>
                      <w:sz w:val="21"/>
                      <w:szCs w:val="21"/>
                    </w:rPr>
                    <w:t>储存位置</w:t>
                  </w:r>
                </w:p>
              </w:tc>
              <w:tc>
                <w:tcPr>
                  <w:tcW w:w="1056" w:type="dxa"/>
                  <w:vMerge w:val="restart"/>
                  <w:tcBorders>
                    <w:tl2br w:val="nil"/>
                    <w:tr2bl w:val="nil"/>
                  </w:tcBorders>
                  <w:vAlign w:val="center"/>
                </w:tcPr>
                <w:p>
                  <w:pPr>
                    <w:snapToGrid w:val="0"/>
                    <w:jc w:val="center"/>
                    <w:rPr>
                      <w:rFonts w:hint="default" w:ascii="Times New Roman" w:hAnsi="Times New Roman" w:eastAsia="宋体" w:cs="Times New Roman"/>
                      <w:b/>
                      <w:sz w:val="21"/>
                      <w:szCs w:val="21"/>
                      <w:lang w:val="en-US" w:eastAsia="zh-CN"/>
                    </w:rPr>
                  </w:pPr>
                  <w:r>
                    <w:rPr>
                      <w:rFonts w:hint="default" w:ascii="Times New Roman" w:hAnsi="Times New Roman" w:cs="Times New Roman"/>
                      <w:b/>
                      <w:sz w:val="21"/>
                      <w:szCs w:val="21"/>
                      <w:lang w:eastAsia="zh-CN"/>
                    </w:rPr>
                    <w:t>厂内最大存储量</w:t>
                  </w:r>
                  <w:r>
                    <w:rPr>
                      <w:rFonts w:hint="default" w:ascii="Times New Roman" w:hAnsi="Times New Roman" w:cs="Times New Roman"/>
                      <w:b/>
                      <w:sz w:val="21"/>
                      <w:szCs w:val="21"/>
                      <w:lang w:val="en-US" w:eastAsia="zh-CN"/>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9" w:hRule="atLeast"/>
                <w:jc w:val="center"/>
              </w:trPr>
              <w:tc>
                <w:tcPr>
                  <w:tcW w:w="430" w:type="dxa"/>
                  <w:vMerge w:val="continue"/>
                  <w:tcBorders>
                    <w:tl2br w:val="nil"/>
                    <w:tr2bl w:val="nil"/>
                  </w:tcBorders>
                  <w:vAlign w:val="center"/>
                </w:tcPr>
                <w:p>
                  <w:pPr>
                    <w:snapToGrid w:val="0"/>
                    <w:jc w:val="center"/>
                    <w:rPr>
                      <w:rFonts w:hint="default" w:ascii="Times New Roman" w:hAnsi="Times New Roman" w:cs="Times New Roman"/>
                      <w:sz w:val="21"/>
                      <w:szCs w:val="21"/>
                    </w:rPr>
                  </w:pPr>
                </w:p>
              </w:tc>
              <w:tc>
                <w:tcPr>
                  <w:tcW w:w="1211" w:type="dxa"/>
                  <w:vMerge w:val="continue"/>
                  <w:tcBorders>
                    <w:tl2br w:val="nil"/>
                    <w:tr2bl w:val="nil"/>
                  </w:tcBorders>
                  <w:vAlign w:val="center"/>
                </w:tcPr>
                <w:p>
                  <w:pPr>
                    <w:snapToGrid w:val="0"/>
                    <w:jc w:val="center"/>
                    <w:rPr>
                      <w:rFonts w:hint="default" w:ascii="Times New Roman" w:hAnsi="Times New Roman" w:cs="Times New Roman"/>
                      <w:sz w:val="21"/>
                      <w:szCs w:val="21"/>
                    </w:rPr>
                  </w:pPr>
                </w:p>
              </w:tc>
              <w:tc>
                <w:tcPr>
                  <w:tcW w:w="811" w:type="dxa"/>
                  <w:tcBorders>
                    <w:tl2br w:val="nil"/>
                    <w:tr2bl w:val="nil"/>
                  </w:tcBorders>
                  <w:vAlign w:val="center"/>
                </w:tcPr>
                <w:p>
                  <w:pPr>
                    <w:snapToGrid w:val="0"/>
                    <w:jc w:val="center"/>
                    <w:rPr>
                      <w:rFonts w:hint="default" w:ascii="Times New Roman" w:hAnsi="Times New Roman" w:eastAsia="宋体" w:cs="Times New Roman"/>
                      <w:b/>
                      <w:sz w:val="21"/>
                      <w:szCs w:val="21"/>
                      <w:lang w:eastAsia="zh-CN"/>
                    </w:rPr>
                  </w:pPr>
                  <w:r>
                    <w:rPr>
                      <w:rFonts w:hint="default" w:ascii="Times New Roman" w:hAnsi="Times New Roman" w:cs="Times New Roman"/>
                      <w:b/>
                      <w:sz w:val="21"/>
                      <w:szCs w:val="21"/>
                      <w:lang w:eastAsia="zh-CN"/>
                    </w:rPr>
                    <w:t>现有</w:t>
                  </w:r>
                </w:p>
              </w:tc>
              <w:tc>
                <w:tcPr>
                  <w:tcW w:w="812" w:type="dxa"/>
                  <w:tcBorders>
                    <w:tl2br w:val="nil"/>
                    <w:tr2bl w:val="nil"/>
                  </w:tcBorders>
                  <w:vAlign w:val="center"/>
                </w:tcPr>
                <w:p>
                  <w:pPr>
                    <w:snapToGrid w:val="0"/>
                    <w:jc w:val="center"/>
                    <w:rPr>
                      <w:rFonts w:hint="default" w:ascii="Times New Roman" w:hAnsi="Times New Roman" w:eastAsia="宋体" w:cs="Times New Roman"/>
                      <w:b/>
                      <w:sz w:val="21"/>
                      <w:szCs w:val="21"/>
                      <w:lang w:eastAsia="zh-CN"/>
                    </w:rPr>
                  </w:pPr>
                  <w:r>
                    <w:rPr>
                      <w:rFonts w:hint="default" w:ascii="Times New Roman" w:hAnsi="Times New Roman" w:cs="Times New Roman"/>
                      <w:b/>
                      <w:sz w:val="21"/>
                      <w:szCs w:val="21"/>
                      <w:lang w:eastAsia="zh-CN"/>
                    </w:rPr>
                    <w:t>技改后</w:t>
                  </w:r>
                </w:p>
              </w:tc>
              <w:tc>
                <w:tcPr>
                  <w:tcW w:w="800" w:type="dxa"/>
                  <w:tcBorders>
                    <w:tl2br w:val="nil"/>
                    <w:tr2bl w:val="nil"/>
                  </w:tcBorders>
                  <w:vAlign w:val="center"/>
                </w:tcPr>
                <w:p>
                  <w:pPr>
                    <w:snapToGrid w:val="0"/>
                    <w:jc w:val="center"/>
                    <w:rPr>
                      <w:rFonts w:hint="default" w:ascii="Times New Roman" w:hAnsi="Times New Roman" w:eastAsia="宋体" w:cs="Times New Roman"/>
                      <w:b/>
                      <w:sz w:val="21"/>
                      <w:szCs w:val="21"/>
                      <w:lang w:eastAsia="zh-CN"/>
                    </w:rPr>
                  </w:pPr>
                  <w:r>
                    <w:rPr>
                      <w:rFonts w:hint="default" w:ascii="Times New Roman" w:hAnsi="Times New Roman" w:cs="Times New Roman"/>
                      <w:b/>
                      <w:sz w:val="21"/>
                      <w:szCs w:val="21"/>
                      <w:lang w:eastAsia="zh-CN"/>
                    </w:rPr>
                    <w:t>全厂</w:t>
                  </w:r>
                </w:p>
              </w:tc>
              <w:tc>
                <w:tcPr>
                  <w:tcW w:w="755" w:type="dxa"/>
                  <w:tcBorders>
                    <w:tl2br w:val="nil"/>
                    <w:tr2bl w:val="nil"/>
                  </w:tcBorders>
                  <w:vAlign w:val="center"/>
                </w:tcPr>
                <w:p>
                  <w:pPr>
                    <w:snapToGrid w:val="0"/>
                    <w:jc w:val="center"/>
                    <w:rPr>
                      <w:rFonts w:hint="default" w:ascii="Times New Roman" w:hAnsi="Times New Roman" w:cs="Times New Roman"/>
                      <w:b/>
                      <w:sz w:val="21"/>
                      <w:szCs w:val="21"/>
                      <w:lang w:eastAsia="zh-CN"/>
                    </w:rPr>
                  </w:pPr>
                  <w:r>
                    <w:rPr>
                      <w:rFonts w:hint="default" w:ascii="Times New Roman" w:hAnsi="Times New Roman" w:cs="Times New Roman"/>
                      <w:b/>
                      <w:sz w:val="21"/>
                      <w:szCs w:val="21"/>
                      <w:lang w:eastAsia="zh-CN"/>
                    </w:rPr>
                    <w:t>变化量</w:t>
                  </w:r>
                </w:p>
              </w:tc>
              <w:tc>
                <w:tcPr>
                  <w:tcW w:w="772" w:type="dxa"/>
                  <w:vMerge w:val="continue"/>
                  <w:tcBorders>
                    <w:tl2br w:val="nil"/>
                    <w:tr2bl w:val="nil"/>
                  </w:tcBorders>
                  <w:vAlign w:val="center"/>
                </w:tcPr>
                <w:p>
                  <w:pPr>
                    <w:snapToGrid w:val="0"/>
                    <w:jc w:val="center"/>
                    <w:rPr>
                      <w:rFonts w:hint="default" w:ascii="Times New Roman" w:hAnsi="Times New Roman" w:cs="Times New Roman"/>
                      <w:b/>
                      <w:sz w:val="21"/>
                      <w:szCs w:val="21"/>
                    </w:rPr>
                  </w:pPr>
                </w:p>
              </w:tc>
              <w:tc>
                <w:tcPr>
                  <w:tcW w:w="918" w:type="dxa"/>
                  <w:vMerge w:val="continue"/>
                  <w:tcBorders>
                    <w:tl2br w:val="nil"/>
                    <w:tr2bl w:val="nil"/>
                  </w:tcBorders>
                  <w:vAlign w:val="center"/>
                </w:tcPr>
                <w:p>
                  <w:pPr>
                    <w:snapToGrid w:val="0"/>
                    <w:jc w:val="center"/>
                    <w:rPr>
                      <w:rFonts w:hint="default" w:ascii="Times New Roman" w:hAnsi="Times New Roman" w:cs="Times New Roman"/>
                      <w:b/>
                      <w:sz w:val="21"/>
                      <w:szCs w:val="21"/>
                    </w:rPr>
                  </w:pPr>
                </w:p>
              </w:tc>
              <w:tc>
                <w:tcPr>
                  <w:tcW w:w="911" w:type="dxa"/>
                  <w:vMerge w:val="continue"/>
                  <w:tcBorders>
                    <w:tl2br w:val="nil"/>
                    <w:tr2bl w:val="nil"/>
                  </w:tcBorders>
                  <w:vAlign w:val="center"/>
                </w:tcPr>
                <w:p>
                  <w:pPr>
                    <w:snapToGrid w:val="0"/>
                    <w:jc w:val="center"/>
                    <w:rPr>
                      <w:rFonts w:hint="default" w:ascii="Times New Roman" w:hAnsi="Times New Roman" w:cs="Times New Roman"/>
                      <w:b/>
                      <w:sz w:val="21"/>
                      <w:szCs w:val="21"/>
                    </w:rPr>
                  </w:pPr>
                </w:p>
              </w:tc>
              <w:tc>
                <w:tcPr>
                  <w:tcW w:w="1056" w:type="dxa"/>
                  <w:vMerge w:val="continue"/>
                  <w:tcBorders>
                    <w:tl2br w:val="nil"/>
                    <w:tr2bl w:val="nil"/>
                  </w:tcBorders>
                  <w:vAlign w:val="center"/>
                </w:tcPr>
                <w:p>
                  <w:pPr>
                    <w:snapToGrid w:val="0"/>
                    <w:jc w:val="center"/>
                    <w:rPr>
                      <w:rFonts w:hint="default" w:ascii="Times New Roman" w:hAnsi="Times New Roman" w:cs="Times New Roman"/>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7" w:hRule="atLeast"/>
                <w:jc w:val="center"/>
              </w:trPr>
              <w:tc>
                <w:tcPr>
                  <w:tcW w:w="430" w:type="dxa"/>
                  <w:tcBorders>
                    <w:tl2br w:val="nil"/>
                    <w:tr2bl w:val="nil"/>
                  </w:tcBorders>
                  <w:vAlign w:val="center"/>
                </w:tcPr>
                <w:p>
                  <w:pPr>
                    <w:snapToGrid w:val="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1</w:t>
                  </w:r>
                </w:p>
              </w:tc>
              <w:tc>
                <w:tcPr>
                  <w:tcW w:w="1211" w:type="dxa"/>
                  <w:tcBorders>
                    <w:tl2br w:val="nil"/>
                    <w:tr2bl w:val="nil"/>
                  </w:tcBorders>
                  <w:tcMar>
                    <w:left w:w="0" w:type="dxa"/>
                    <w:right w:w="0" w:type="dxa"/>
                  </w:tcMar>
                  <w:vAlign w:val="center"/>
                </w:tcPr>
                <w:p>
                  <w:pPr>
                    <w:jc w:val="center"/>
                    <w:rPr>
                      <w:rFonts w:hint="default" w:ascii="Times New Roman" w:hAnsi="Times New Roman" w:eastAsia="宋体" w:cs="Times New Roman"/>
                      <w:color w:val="auto"/>
                      <w:kern w:val="2"/>
                      <w:sz w:val="21"/>
                      <w:szCs w:val="21"/>
                      <w:lang w:eastAsia="zh-CN"/>
                    </w:rPr>
                  </w:pPr>
                  <w:r>
                    <w:rPr>
                      <w:rFonts w:hint="default" w:ascii="Times New Roman" w:hAnsi="Times New Roman" w:cs="Times New Roman"/>
                      <w:color w:val="auto"/>
                      <w:sz w:val="21"/>
                      <w:szCs w:val="21"/>
                      <w:lang w:val="en-US" w:eastAsia="zh-CN"/>
                    </w:rPr>
                    <w:t>聚丙烯</w:t>
                  </w:r>
                </w:p>
              </w:tc>
              <w:tc>
                <w:tcPr>
                  <w:tcW w:w="811"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kern w:val="2"/>
                      <w:sz w:val="21"/>
                      <w:szCs w:val="21"/>
                      <w:lang w:eastAsia="zh-CN"/>
                    </w:rPr>
                  </w:pPr>
                  <w:r>
                    <w:rPr>
                      <w:rFonts w:hint="default" w:ascii="Times New Roman" w:hAnsi="Times New Roman" w:cs="Times New Roman"/>
                      <w:color w:val="auto"/>
                      <w:kern w:val="0"/>
                      <w:sz w:val="21"/>
                      <w:szCs w:val="21"/>
                      <w:lang w:val="en-US" w:eastAsia="zh-CN"/>
                    </w:rPr>
                    <w:t>150</w:t>
                  </w:r>
                </w:p>
              </w:tc>
              <w:tc>
                <w:tcPr>
                  <w:tcW w:w="812"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0"/>
                      <w:sz w:val="21"/>
                      <w:szCs w:val="21"/>
                      <w:lang w:val="en-US" w:eastAsia="zh-CN"/>
                    </w:rPr>
                    <w:t>150</w:t>
                  </w:r>
                </w:p>
              </w:tc>
              <w:tc>
                <w:tcPr>
                  <w:tcW w:w="800"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0"/>
                      <w:sz w:val="21"/>
                      <w:szCs w:val="21"/>
                      <w:lang w:val="en-US" w:eastAsia="zh-CN"/>
                    </w:rPr>
                    <w:t>150</w:t>
                  </w:r>
                </w:p>
              </w:tc>
              <w:tc>
                <w:tcPr>
                  <w:tcW w:w="755" w:type="dxa"/>
                  <w:tcBorders>
                    <w:tl2br w:val="nil"/>
                    <w:tr2bl w:val="nil"/>
                  </w:tcBorders>
                  <w:vAlign w:val="center"/>
                </w:tcPr>
                <w:p>
                  <w:pPr>
                    <w:snapToGrid w:val="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0</w:t>
                  </w:r>
                </w:p>
              </w:tc>
              <w:tc>
                <w:tcPr>
                  <w:tcW w:w="772" w:type="dxa"/>
                  <w:tcBorders>
                    <w:tl2br w:val="nil"/>
                    <w:tr2bl w:val="nil"/>
                  </w:tcBorders>
                  <w:vAlign w:val="center"/>
                </w:tcPr>
                <w:p>
                  <w:pPr>
                    <w:snapToGrid w:val="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固态</w:t>
                  </w:r>
                </w:p>
              </w:tc>
              <w:tc>
                <w:tcPr>
                  <w:tcW w:w="918"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0"/>
                      <w:sz w:val="21"/>
                      <w:szCs w:val="21"/>
                      <w:lang w:val="en-US" w:eastAsia="zh-CN"/>
                    </w:rPr>
                    <w:t>25kg/</w:t>
                  </w:r>
                  <w:r>
                    <w:rPr>
                      <w:rFonts w:hint="default" w:ascii="Times New Roman" w:hAnsi="Times New Roman" w:cs="Times New Roman"/>
                      <w:color w:val="auto"/>
                      <w:kern w:val="0"/>
                      <w:sz w:val="21"/>
                      <w:szCs w:val="21"/>
                    </w:rPr>
                    <w:t>袋</w:t>
                  </w:r>
                </w:p>
              </w:tc>
              <w:tc>
                <w:tcPr>
                  <w:tcW w:w="911" w:type="dxa"/>
                  <w:tcBorders>
                    <w:tl2br w:val="nil"/>
                    <w:tr2bl w:val="nil"/>
                  </w:tcBorders>
                  <w:vAlign w:val="center"/>
                </w:tcPr>
                <w:p>
                  <w:pPr>
                    <w:snapToGrid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原料库</w:t>
                  </w:r>
                </w:p>
              </w:tc>
              <w:tc>
                <w:tcPr>
                  <w:tcW w:w="1056" w:type="dxa"/>
                  <w:tcBorders>
                    <w:tl2br w:val="nil"/>
                    <w:tr2bl w:val="nil"/>
                  </w:tcBorders>
                  <w:vAlign w:val="center"/>
                </w:tcPr>
                <w:p>
                  <w:pPr>
                    <w:snapToGrid w:val="0"/>
                    <w:jc w:val="center"/>
                    <w:rPr>
                      <w:rFonts w:hint="default" w:ascii="Times New Roman" w:hAnsi="Times New Roman" w:eastAsia="宋体" w:cs="Times New Roman"/>
                      <w:kern w:val="2"/>
                      <w:sz w:val="21"/>
                      <w:szCs w:val="21"/>
                      <w:lang w:val="en-US" w:eastAsia="zh-CN"/>
                    </w:rPr>
                  </w:pPr>
                  <w:r>
                    <w:rPr>
                      <w:rFonts w:hint="default" w:ascii="Times New Roman" w:hAnsi="Times New Roman" w:cs="Times New Roman"/>
                      <w:kern w:val="2"/>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7" w:hRule="atLeast"/>
                <w:jc w:val="center"/>
              </w:trPr>
              <w:tc>
                <w:tcPr>
                  <w:tcW w:w="430" w:type="dxa"/>
                  <w:tcBorders>
                    <w:tl2br w:val="nil"/>
                    <w:tr2bl w:val="nil"/>
                  </w:tcBorders>
                  <w:vAlign w:val="center"/>
                </w:tcPr>
                <w:p>
                  <w:pPr>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2</w:t>
                  </w:r>
                </w:p>
              </w:tc>
              <w:tc>
                <w:tcPr>
                  <w:tcW w:w="1211" w:type="dxa"/>
                  <w:tcBorders>
                    <w:tl2br w:val="nil"/>
                    <w:tr2bl w:val="nil"/>
                  </w:tcBorders>
                  <w:tcMar>
                    <w:left w:w="0" w:type="dxa"/>
                    <w:right w:w="0" w:type="dxa"/>
                  </w:tcMar>
                  <w:vAlign w:val="center"/>
                </w:tcPr>
                <w:p>
                  <w:pPr>
                    <w:jc w:val="center"/>
                    <w:rPr>
                      <w:rFonts w:hint="default" w:ascii="Times New Roman" w:hAnsi="Times New Roman" w:eastAsia="宋体" w:cs="Times New Roman"/>
                      <w:color w:val="auto"/>
                      <w:kern w:val="2"/>
                      <w:sz w:val="21"/>
                      <w:szCs w:val="21"/>
                      <w:lang w:eastAsia="zh-CN"/>
                    </w:rPr>
                  </w:pPr>
                  <w:r>
                    <w:rPr>
                      <w:rFonts w:hint="default" w:ascii="Times New Roman" w:hAnsi="Times New Roman" w:cs="Times New Roman"/>
                      <w:color w:val="auto"/>
                      <w:sz w:val="21"/>
                      <w:szCs w:val="21"/>
                      <w:lang w:val="en-US" w:eastAsia="zh-CN"/>
                    </w:rPr>
                    <w:t>聚乙烯</w:t>
                  </w:r>
                </w:p>
              </w:tc>
              <w:tc>
                <w:tcPr>
                  <w:tcW w:w="811"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10</w:t>
                  </w:r>
                </w:p>
              </w:tc>
              <w:tc>
                <w:tcPr>
                  <w:tcW w:w="812"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lang w:val="en-US" w:eastAsia="zh-CN"/>
                    </w:rPr>
                    <w:t>10</w:t>
                  </w:r>
                </w:p>
              </w:tc>
              <w:tc>
                <w:tcPr>
                  <w:tcW w:w="800"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10</w:t>
                  </w:r>
                </w:p>
              </w:tc>
              <w:tc>
                <w:tcPr>
                  <w:tcW w:w="755" w:type="dxa"/>
                  <w:tcBorders>
                    <w:tl2br w:val="nil"/>
                    <w:tr2bl w:val="nil"/>
                  </w:tcBorders>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c>
                <w:tcPr>
                  <w:tcW w:w="772" w:type="dxa"/>
                  <w:tcBorders>
                    <w:tl2br w:val="nil"/>
                    <w:tr2bl w:val="nil"/>
                  </w:tcBorders>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rPr>
                    <w:t>固态</w:t>
                  </w:r>
                </w:p>
              </w:tc>
              <w:tc>
                <w:tcPr>
                  <w:tcW w:w="918"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lang w:val="en-US" w:eastAsia="zh-CN"/>
                    </w:rPr>
                    <w:t>25kg/</w:t>
                  </w:r>
                  <w:r>
                    <w:rPr>
                      <w:rFonts w:hint="default" w:ascii="Times New Roman" w:hAnsi="Times New Roman" w:cs="Times New Roman"/>
                      <w:color w:val="auto"/>
                      <w:kern w:val="0"/>
                      <w:sz w:val="21"/>
                      <w:szCs w:val="21"/>
                    </w:rPr>
                    <w:t>袋</w:t>
                  </w:r>
                </w:p>
              </w:tc>
              <w:tc>
                <w:tcPr>
                  <w:tcW w:w="911" w:type="dxa"/>
                  <w:tcBorders>
                    <w:tl2br w:val="nil"/>
                    <w:tr2bl w:val="nil"/>
                  </w:tcBorders>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kern w:val="2"/>
                      <w:sz w:val="21"/>
                      <w:szCs w:val="21"/>
                      <w:lang w:val="en-US" w:eastAsia="zh-CN"/>
                    </w:rPr>
                    <w:t>原料库</w:t>
                  </w:r>
                </w:p>
              </w:tc>
              <w:tc>
                <w:tcPr>
                  <w:tcW w:w="1056" w:type="dxa"/>
                  <w:tcBorders>
                    <w:tl2br w:val="nil"/>
                    <w:tr2bl w:val="nil"/>
                  </w:tcBorders>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4" w:hRule="atLeast"/>
                <w:jc w:val="center"/>
              </w:trPr>
              <w:tc>
                <w:tcPr>
                  <w:tcW w:w="430" w:type="dxa"/>
                  <w:tcBorders>
                    <w:tl2br w:val="nil"/>
                    <w:tr2bl w:val="nil"/>
                  </w:tcBorders>
                  <w:vAlign w:val="center"/>
                </w:tcPr>
                <w:p>
                  <w:pPr>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3</w:t>
                  </w:r>
                </w:p>
              </w:tc>
              <w:tc>
                <w:tcPr>
                  <w:tcW w:w="1211" w:type="dxa"/>
                  <w:tcBorders>
                    <w:tl2br w:val="nil"/>
                    <w:tr2bl w:val="nil"/>
                  </w:tcBorders>
                  <w:tcMar>
                    <w:left w:w="0" w:type="dxa"/>
                    <w:right w:w="0" w:type="dxa"/>
                  </w:tcMar>
                  <w:vAlign w:val="center"/>
                </w:tcPr>
                <w:p>
                  <w:pPr>
                    <w:jc w:val="center"/>
                    <w:rPr>
                      <w:rFonts w:hint="default" w:ascii="Times New Roman" w:hAnsi="Times New Roman" w:eastAsia="宋体" w:cs="Times New Roman"/>
                      <w:color w:val="auto"/>
                      <w:kern w:val="2"/>
                      <w:sz w:val="21"/>
                      <w:szCs w:val="21"/>
                      <w:lang w:eastAsia="zh-CN"/>
                    </w:rPr>
                  </w:pPr>
                  <w:r>
                    <w:rPr>
                      <w:rFonts w:hint="default" w:ascii="Times New Roman" w:hAnsi="Times New Roman" w:cs="Times New Roman"/>
                      <w:color w:val="auto"/>
                      <w:sz w:val="21"/>
                      <w:szCs w:val="21"/>
                      <w:lang w:val="en-US" w:eastAsia="zh-CN"/>
                    </w:rPr>
                    <w:t>填充母料</w:t>
                  </w:r>
                </w:p>
              </w:tc>
              <w:tc>
                <w:tcPr>
                  <w:tcW w:w="811"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2</w:t>
                  </w:r>
                  <w:r>
                    <w:rPr>
                      <w:rFonts w:hint="default" w:ascii="Times New Roman" w:hAnsi="Times New Roman" w:cs="Times New Roman"/>
                      <w:color w:val="auto"/>
                      <w:kern w:val="0"/>
                      <w:sz w:val="21"/>
                      <w:szCs w:val="21"/>
                    </w:rPr>
                    <w:t>0</w:t>
                  </w:r>
                </w:p>
              </w:tc>
              <w:tc>
                <w:tcPr>
                  <w:tcW w:w="812"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2</w:t>
                  </w:r>
                  <w:r>
                    <w:rPr>
                      <w:rFonts w:hint="default" w:ascii="Times New Roman" w:hAnsi="Times New Roman" w:cs="Times New Roman"/>
                      <w:color w:val="auto"/>
                      <w:kern w:val="0"/>
                      <w:sz w:val="21"/>
                      <w:szCs w:val="21"/>
                    </w:rPr>
                    <w:t>0</w:t>
                  </w:r>
                </w:p>
              </w:tc>
              <w:tc>
                <w:tcPr>
                  <w:tcW w:w="800"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2</w:t>
                  </w:r>
                  <w:r>
                    <w:rPr>
                      <w:rFonts w:hint="default" w:ascii="Times New Roman" w:hAnsi="Times New Roman" w:cs="Times New Roman"/>
                      <w:color w:val="auto"/>
                      <w:kern w:val="0"/>
                      <w:sz w:val="21"/>
                      <w:szCs w:val="21"/>
                    </w:rPr>
                    <w:t>0</w:t>
                  </w:r>
                </w:p>
              </w:tc>
              <w:tc>
                <w:tcPr>
                  <w:tcW w:w="755" w:type="dxa"/>
                  <w:tcBorders>
                    <w:tl2br w:val="nil"/>
                    <w:tr2bl w:val="nil"/>
                  </w:tcBorders>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c>
                <w:tcPr>
                  <w:tcW w:w="772" w:type="dxa"/>
                  <w:tcBorders>
                    <w:tl2br w:val="nil"/>
                    <w:tr2bl w:val="nil"/>
                  </w:tcBorders>
                  <w:vAlign w:val="center"/>
                </w:tcPr>
                <w:p>
                  <w:pPr>
                    <w:snapToGrid w:val="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rPr>
                    <w:t>固态</w:t>
                  </w:r>
                </w:p>
              </w:tc>
              <w:tc>
                <w:tcPr>
                  <w:tcW w:w="918" w:type="dxa"/>
                  <w:tcBorders>
                    <w:tl2br w:val="nil"/>
                    <w:tr2bl w:val="nil"/>
                  </w:tcBorders>
                  <w:vAlign w:val="center"/>
                </w:tcPr>
                <w:p>
                  <w:pPr>
                    <w:adjustRightInd w:val="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kern w:val="0"/>
                      <w:sz w:val="21"/>
                      <w:szCs w:val="21"/>
                      <w:lang w:val="en-US" w:eastAsia="zh-CN"/>
                    </w:rPr>
                    <w:t>25kg/</w:t>
                  </w:r>
                  <w:r>
                    <w:rPr>
                      <w:rFonts w:hint="default" w:ascii="Times New Roman" w:hAnsi="Times New Roman" w:cs="Times New Roman"/>
                      <w:color w:val="auto"/>
                      <w:kern w:val="0"/>
                      <w:sz w:val="21"/>
                      <w:szCs w:val="21"/>
                    </w:rPr>
                    <w:t>袋</w:t>
                  </w:r>
                </w:p>
              </w:tc>
              <w:tc>
                <w:tcPr>
                  <w:tcW w:w="911" w:type="dxa"/>
                  <w:tcBorders>
                    <w:tl2br w:val="nil"/>
                    <w:tr2bl w:val="nil"/>
                  </w:tcBorders>
                  <w:vAlign w:val="center"/>
                </w:tcPr>
                <w:p>
                  <w:pPr>
                    <w:snapToGrid w:val="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kern w:val="2"/>
                      <w:sz w:val="21"/>
                      <w:szCs w:val="21"/>
                      <w:lang w:val="en-US" w:eastAsia="zh-CN"/>
                    </w:rPr>
                    <w:t>原料库</w:t>
                  </w:r>
                </w:p>
              </w:tc>
              <w:tc>
                <w:tcPr>
                  <w:tcW w:w="1056" w:type="dxa"/>
                  <w:tcBorders>
                    <w:tl2br w:val="nil"/>
                    <w:tr2bl w:val="nil"/>
                  </w:tcBorders>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7" w:hRule="atLeast"/>
                <w:jc w:val="center"/>
              </w:trPr>
              <w:tc>
                <w:tcPr>
                  <w:tcW w:w="430" w:type="dxa"/>
                  <w:tcBorders>
                    <w:tl2br w:val="nil"/>
                    <w:tr2bl w:val="nil"/>
                  </w:tcBorders>
                  <w:vAlign w:val="center"/>
                </w:tcPr>
                <w:p>
                  <w:pPr>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4</w:t>
                  </w:r>
                </w:p>
              </w:tc>
              <w:tc>
                <w:tcPr>
                  <w:tcW w:w="1211" w:type="dxa"/>
                  <w:tcBorders>
                    <w:tl2br w:val="nil"/>
                    <w:tr2bl w:val="nil"/>
                  </w:tcBorders>
                  <w:tcMar>
                    <w:left w:w="0" w:type="dxa"/>
                    <w:right w:w="0" w:type="dxa"/>
                  </w:tcMar>
                  <w:vAlign w:val="center"/>
                </w:tcPr>
                <w:p>
                  <w:pPr>
                    <w:jc w:val="center"/>
                    <w:rPr>
                      <w:rFonts w:hint="default" w:ascii="Times New Roman" w:hAnsi="Times New Roman" w:eastAsia="宋体" w:cs="Times New Roman"/>
                      <w:color w:val="auto"/>
                      <w:kern w:val="2"/>
                      <w:sz w:val="21"/>
                      <w:szCs w:val="21"/>
                      <w:lang w:eastAsia="zh-CN"/>
                    </w:rPr>
                  </w:pPr>
                  <w:r>
                    <w:rPr>
                      <w:rFonts w:hint="default" w:ascii="Times New Roman" w:hAnsi="Times New Roman" w:cs="Times New Roman"/>
                      <w:color w:val="auto"/>
                      <w:sz w:val="21"/>
                      <w:szCs w:val="21"/>
                      <w:lang w:val="en-US" w:eastAsia="zh-CN"/>
                    </w:rPr>
                    <w:t>缝纫线</w:t>
                  </w:r>
                </w:p>
              </w:tc>
              <w:tc>
                <w:tcPr>
                  <w:tcW w:w="811"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24</w:t>
                  </w:r>
                </w:p>
              </w:tc>
              <w:tc>
                <w:tcPr>
                  <w:tcW w:w="812"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lang w:val="en-US" w:eastAsia="zh-CN"/>
                    </w:rPr>
                    <w:t>24</w:t>
                  </w:r>
                </w:p>
              </w:tc>
              <w:tc>
                <w:tcPr>
                  <w:tcW w:w="800"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24</w:t>
                  </w:r>
                </w:p>
              </w:tc>
              <w:tc>
                <w:tcPr>
                  <w:tcW w:w="755" w:type="dxa"/>
                  <w:tcBorders>
                    <w:tl2br w:val="nil"/>
                    <w:tr2bl w:val="nil"/>
                  </w:tcBorders>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w:t>
                  </w:r>
                </w:p>
              </w:tc>
              <w:tc>
                <w:tcPr>
                  <w:tcW w:w="772" w:type="dxa"/>
                  <w:tcBorders>
                    <w:tl2br w:val="nil"/>
                    <w:tr2bl w:val="nil"/>
                  </w:tcBorders>
                  <w:vAlign w:val="center"/>
                </w:tcPr>
                <w:p>
                  <w:pPr>
                    <w:snapToGrid w:val="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rPr>
                    <w:t>固态</w:t>
                  </w:r>
                </w:p>
              </w:tc>
              <w:tc>
                <w:tcPr>
                  <w:tcW w:w="918" w:type="dxa"/>
                  <w:tcBorders>
                    <w:tl2br w:val="nil"/>
                    <w:tr2bl w:val="nil"/>
                  </w:tcBorders>
                  <w:vAlign w:val="center"/>
                </w:tcPr>
                <w:p>
                  <w:pPr>
                    <w:adjustRightInd w:val="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kern w:val="0"/>
                      <w:sz w:val="21"/>
                      <w:szCs w:val="21"/>
                      <w:lang w:val="en-US" w:eastAsia="zh-CN"/>
                    </w:rPr>
                    <w:t>-</w:t>
                  </w:r>
                </w:p>
              </w:tc>
              <w:tc>
                <w:tcPr>
                  <w:tcW w:w="911" w:type="dxa"/>
                  <w:tcBorders>
                    <w:tl2br w:val="nil"/>
                    <w:tr2bl w:val="nil"/>
                  </w:tcBorders>
                  <w:vAlign w:val="center"/>
                </w:tcPr>
                <w:p>
                  <w:pPr>
                    <w:snapToGrid w:val="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kern w:val="2"/>
                      <w:sz w:val="21"/>
                      <w:szCs w:val="21"/>
                      <w:lang w:val="en-US" w:eastAsia="zh-CN"/>
                    </w:rPr>
                    <w:t>原料库</w:t>
                  </w:r>
                </w:p>
              </w:tc>
              <w:tc>
                <w:tcPr>
                  <w:tcW w:w="1056" w:type="dxa"/>
                  <w:tcBorders>
                    <w:tl2br w:val="nil"/>
                    <w:tr2bl w:val="nil"/>
                  </w:tcBorders>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3" w:hRule="atLeast"/>
                <w:jc w:val="center"/>
              </w:trPr>
              <w:tc>
                <w:tcPr>
                  <w:tcW w:w="430" w:type="dxa"/>
                  <w:tcBorders>
                    <w:tl2br w:val="nil"/>
                    <w:tr2bl w:val="nil"/>
                  </w:tcBorders>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1211" w:type="dxa"/>
                  <w:tcBorders>
                    <w:tl2br w:val="nil"/>
                    <w:tr2bl w:val="nil"/>
                  </w:tcBorders>
                  <w:tcMar>
                    <w:left w:w="0" w:type="dxa"/>
                    <w:right w:w="0" w:type="dxa"/>
                  </w:tcMar>
                  <w:vAlign w:val="center"/>
                </w:tcPr>
                <w:p>
                  <w:pPr>
                    <w:jc w:val="center"/>
                    <w:rPr>
                      <w:rFonts w:hint="default" w:ascii="Times New Roman" w:hAnsi="Times New Roman" w:eastAsia="宋体" w:cs="Times New Roman"/>
                      <w:b/>
                      <w:bCs/>
                      <w:color w:val="auto"/>
                      <w:kern w:val="2"/>
                      <w:sz w:val="21"/>
                      <w:szCs w:val="21"/>
                      <w:lang w:eastAsia="zh-CN"/>
                    </w:rPr>
                  </w:pPr>
                  <w:r>
                    <w:rPr>
                      <w:rFonts w:hint="default" w:ascii="Times New Roman" w:hAnsi="Times New Roman" w:cs="Times New Roman"/>
                      <w:b/>
                      <w:bCs/>
                      <w:color w:val="auto"/>
                      <w:szCs w:val="21"/>
                      <w:lang w:val="en-US" w:eastAsia="zh-CN"/>
                    </w:rPr>
                    <w:t>涂膜料</w:t>
                  </w:r>
                </w:p>
              </w:tc>
              <w:tc>
                <w:tcPr>
                  <w:tcW w:w="811" w:type="dxa"/>
                  <w:tcBorders>
                    <w:tl2br w:val="nil"/>
                    <w:tr2bl w:val="nil"/>
                  </w:tcBorders>
                  <w:vAlign w:val="center"/>
                </w:tcPr>
                <w:p>
                  <w:pPr>
                    <w:snapToGrid w:val="0"/>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0</w:t>
                  </w:r>
                </w:p>
              </w:tc>
              <w:tc>
                <w:tcPr>
                  <w:tcW w:w="812" w:type="dxa"/>
                  <w:tcBorders>
                    <w:tl2br w:val="nil"/>
                    <w:tr2bl w:val="nil"/>
                  </w:tcBorders>
                  <w:vAlign w:val="center"/>
                </w:tcPr>
                <w:p>
                  <w:pPr>
                    <w:snapToGrid w:val="0"/>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50</w:t>
                  </w:r>
                </w:p>
              </w:tc>
              <w:tc>
                <w:tcPr>
                  <w:tcW w:w="800" w:type="dxa"/>
                  <w:tcBorders>
                    <w:tl2br w:val="nil"/>
                    <w:tr2bl w:val="nil"/>
                  </w:tcBorders>
                  <w:vAlign w:val="center"/>
                </w:tcPr>
                <w:p>
                  <w:pPr>
                    <w:snapToGrid w:val="0"/>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50</w:t>
                  </w:r>
                </w:p>
              </w:tc>
              <w:tc>
                <w:tcPr>
                  <w:tcW w:w="755" w:type="dxa"/>
                  <w:tcBorders>
                    <w:tl2br w:val="nil"/>
                    <w:tr2bl w:val="nil"/>
                  </w:tcBorders>
                  <w:vAlign w:val="center"/>
                </w:tcPr>
                <w:p>
                  <w:pPr>
                    <w:snapToGrid w:val="0"/>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+50</w:t>
                  </w:r>
                </w:p>
              </w:tc>
              <w:tc>
                <w:tcPr>
                  <w:tcW w:w="772" w:type="dxa"/>
                  <w:tcBorders>
                    <w:tl2br w:val="nil"/>
                    <w:tr2bl w:val="nil"/>
                  </w:tcBorders>
                  <w:vAlign w:val="center"/>
                </w:tcPr>
                <w:p>
                  <w:pPr>
                    <w:snapToGrid w:val="0"/>
                    <w:jc w:val="center"/>
                    <w:rPr>
                      <w:rFonts w:hint="default" w:ascii="Times New Roman" w:hAnsi="Times New Roman" w:cs="Times New Roman"/>
                      <w:b/>
                      <w:bCs/>
                      <w:color w:val="auto"/>
                      <w:sz w:val="21"/>
                      <w:szCs w:val="21"/>
                      <w:lang w:val="en-US" w:eastAsia="zh-CN"/>
                    </w:rPr>
                  </w:pPr>
                  <w:r>
                    <w:rPr>
                      <w:rFonts w:hint="default" w:ascii="Times New Roman" w:hAnsi="Times New Roman" w:eastAsia="宋体" w:cs="Times New Roman"/>
                      <w:b/>
                      <w:bCs/>
                      <w:color w:val="auto"/>
                      <w:kern w:val="2"/>
                      <w:sz w:val="21"/>
                      <w:szCs w:val="21"/>
                      <w:lang w:val="en-US" w:eastAsia="zh-CN"/>
                    </w:rPr>
                    <w:t>固态</w:t>
                  </w:r>
                </w:p>
              </w:tc>
              <w:tc>
                <w:tcPr>
                  <w:tcW w:w="918" w:type="dxa"/>
                  <w:tcBorders>
                    <w:tl2br w:val="nil"/>
                    <w:tr2bl w:val="nil"/>
                  </w:tcBorders>
                  <w:vAlign w:val="center"/>
                </w:tcPr>
                <w:p>
                  <w:pPr>
                    <w:adjustRightInd w:val="0"/>
                    <w:jc w:val="center"/>
                    <w:textAlignment w:val="baseline"/>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kern w:val="0"/>
                      <w:sz w:val="21"/>
                      <w:szCs w:val="21"/>
                      <w:lang w:val="en-US" w:eastAsia="zh-CN"/>
                    </w:rPr>
                    <w:t>袋装</w:t>
                  </w:r>
                </w:p>
              </w:tc>
              <w:tc>
                <w:tcPr>
                  <w:tcW w:w="911" w:type="dxa"/>
                  <w:tcBorders>
                    <w:tl2br w:val="nil"/>
                    <w:tr2bl w:val="nil"/>
                  </w:tcBorders>
                  <w:vAlign w:val="center"/>
                </w:tcPr>
                <w:p>
                  <w:pPr>
                    <w:snapToGrid w:val="0"/>
                    <w:jc w:val="center"/>
                    <w:rPr>
                      <w:rFonts w:hint="default" w:ascii="Times New Roman" w:hAnsi="Times New Roman" w:cs="Times New Roman"/>
                      <w:b/>
                      <w:bCs/>
                      <w:color w:val="auto"/>
                      <w:sz w:val="21"/>
                      <w:szCs w:val="21"/>
                      <w:lang w:val="en-US" w:eastAsia="zh-CN"/>
                    </w:rPr>
                  </w:pPr>
                  <w:r>
                    <w:rPr>
                      <w:rFonts w:hint="default" w:ascii="Times New Roman" w:hAnsi="Times New Roman" w:eastAsia="宋体" w:cs="Times New Roman"/>
                      <w:b/>
                      <w:bCs/>
                      <w:color w:val="auto"/>
                      <w:kern w:val="2"/>
                      <w:sz w:val="21"/>
                      <w:szCs w:val="21"/>
                      <w:lang w:val="en-US" w:eastAsia="zh-CN"/>
                    </w:rPr>
                    <w:t>原料库</w:t>
                  </w:r>
                </w:p>
              </w:tc>
              <w:tc>
                <w:tcPr>
                  <w:tcW w:w="1056" w:type="dxa"/>
                  <w:tcBorders>
                    <w:tl2br w:val="nil"/>
                    <w:tr2bl w:val="nil"/>
                  </w:tcBorders>
                  <w:vAlign w:val="center"/>
                </w:tcPr>
                <w:p>
                  <w:pPr>
                    <w:snapToGrid w:val="0"/>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3" w:hRule="atLeast"/>
                <w:jc w:val="center"/>
              </w:trPr>
              <w:tc>
                <w:tcPr>
                  <w:tcW w:w="430" w:type="dxa"/>
                  <w:tcBorders>
                    <w:tl2br w:val="nil"/>
                    <w:tr2bl w:val="nil"/>
                  </w:tcBorders>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1211" w:type="dxa"/>
                  <w:tcBorders>
                    <w:tl2br w:val="nil"/>
                    <w:tr2bl w:val="nil"/>
                  </w:tcBorders>
                  <w:tcMar>
                    <w:left w:w="0" w:type="dxa"/>
                    <w:right w:w="0" w:type="dxa"/>
                  </w:tcMar>
                  <w:vAlign w:val="center"/>
                </w:tcPr>
                <w:p>
                  <w:pPr>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Cs w:val="21"/>
                      <w:lang w:val="en-US" w:eastAsia="zh-CN"/>
                    </w:rPr>
                    <w:t>水性油墨</w:t>
                  </w:r>
                </w:p>
              </w:tc>
              <w:tc>
                <w:tcPr>
                  <w:tcW w:w="811" w:type="dxa"/>
                  <w:tcBorders>
                    <w:tl2br w:val="nil"/>
                    <w:tr2bl w:val="nil"/>
                  </w:tcBorders>
                  <w:vAlign w:val="center"/>
                </w:tcPr>
                <w:p>
                  <w:pPr>
                    <w:snapToGrid w:val="0"/>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0</w:t>
                  </w:r>
                </w:p>
              </w:tc>
              <w:tc>
                <w:tcPr>
                  <w:tcW w:w="812" w:type="dxa"/>
                  <w:tcBorders>
                    <w:tl2br w:val="nil"/>
                    <w:tr2bl w:val="nil"/>
                  </w:tcBorders>
                  <w:vAlign w:val="center"/>
                </w:tcPr>
                <w:p>
                  <w:pPr>
                    <w:snapToGrid w:val="0"/>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7</w:t>
                  </w:r>
                </w:p>
              </w:tc>
              <w:tc>
                <w:tcPr>
                  <w:tcW w:w="800" w:type="dxa"/>
                  <w:tcBorders>
                    <w:tl2br w:val="nil"/>
                    <w:tr2bl w:val="nil"/>
                  </w:tcBorders>
                  <w:vAlign w:val="center"/>
                </w:tcPr>
                <w:p>
                  <w:pPr>
                    <w:snapToGrid w:val="0"/>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7</w:t>
                  </w:r>
                </w:p>
              </w:tc>
              <w:tc>
                <w:tcPr>
                  <w:tcW w:w="755" w:type="dxa"/>
                  <w:tcBorders>
                    <w:tl2br w:val="nil"/>
                    <w:tr2bl w:val="nil"/>
                  </w:tcBorders>
                  <w:vAlign w:val="center"/>
                </w:tcPr>
                <w:p>
                  <w:pPr>
                    <w:snapToGrid w:val="0"/>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+7</w:t>
                  </w:r>
                </w:p>
              </w:tc>
              <w:tc>
                <w:tcPr>
                  <w:tcW w:w="772" w:type="dxa"/>
                  <w:tcBorders>
                    <w:tl2br w:val="nil"/>
                    <w:tr2bl w:val="nil"/>
                  </w:tcBorders>
                  <w:vAlign w:val="center"/>
                </w:tcPr>
                <w:p>
                  <w:pPr>
                    <w:snapToGrid w:val="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cs="Times New Roman"/>
                      <w:b/>
                      <w:bCs/>
                      <w:color w:val="auto"/>
                      <w:kern w:val="2"/>
                      <w:sz w:val="21"/>
                      <w:szCs w:val="21"/>
                      <w:lang w:val="en-US" w:eastAsia="zh-CN"/>
                    </w:rPr>
                    <w:t>液态</w:t>
                  </w:r>
                </w:p>
              </w:tc>
              <w:tc>
                <w:tcPr>
                  <w:tcW w:w="918" w:type="dxa"/>
                  <w:tcBorders>
                    <w:tl2br w:val="nil"/>
                    <w:tr2bl w:val="nil"/>
                  </w:tcBorders>
                  <w:vAlign w:val="center"/>
                </w:tcPr>
                <w:p>
                  <w:pPr>
                    <w:adjustRightInd w:val="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kern w:val="0"/>
                      <w:sz w:val="21"/>
                      <w:szCs w:val="21"/>
                      <w:lang w:val="en-US" w:eastAsia="zh-CN"/>
                    </w:rPr>
                    <w:t>桶装</w:t>
                  </w:r>
                </w:p>
              </w:tc>
              <w:tc>
                <w:tcPr>
                  <w:tcW w:w="911" w:type="dxa"/>
                  <w:tcBorders>
                    <w:tl2br w:val="nil"/>
                    <w:tr2bl w:val="nil"/>
                  </w:tcBorders>
                  <w:vAlign w:val="center"/>
                </w:tcPr>
                <w:p>
                  <w:pPr>
                    <w:snapToGrid w:val="0"/>
                    <w:jc w:val="center"/>
                    <w:rPr>
                      <w:rFonts w:hint="default" w:ascii="Times New Roman" w:hAnsi="Times New Roman" w:eastAsia="宋体" w:cs="Times New Roman"/>
                      <w:b/>
                      <w:bCs/>
                      <w:color w:val="auto"/>
                      <w:kern w:val="2"/>
                      <w:sz w:val="21"/>
                      <w:szCs w:val="21"/>
                      <w:lang w:val="en-US" w:eastAsia="zh-CN"/>
                    </w:rPr>
                  </w:pPr>
                  <w:r>
                    <w:rPr>
                      <w:rFonts w:hint="default" w:ascii="Times New Roman" w:hAnsi="Times New Roman" w:eastAsia="宋体" w:cs="Times New Roman"/>
                      <w:b/>
                      <w:bCs/>
                      <w:color w:val="auto"/>
                      <w:kern w:val="2"/>
                      <w:sz w:val="21"/>
                      <w:szCs w:val="21"/>
                      <w:lang w:val="en-US" w:eastAsia="zh-CN"/>
                    </w:rPr>
                    <w:t>原料库</w:t>
                  </w:r>
                </w:p>
              </w:tc>
              <w:tc>
                <w:tcPr>
                  <w:tcW w:w="1056" w:type="dxa"/>
                  <w:tcBorders>
                    <w:tl2br w:val="nil"/>
                    <w:tr2bl w:val="nil"/>
                  </w:tcBorders>
                  <w:vAlign w:val="center"/>
                </w:tcPr>
                <w:p>
                  <w:pPr>
                    <w:snapToGrid w:val="0"/>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1</w:t>
                  </w:r>
                </w:p>
              </w:tc>
            </w:tr>
          </w:tbl>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lang w:val="en-US" w:eastAsia="zh-CN"/>
              </w:rPr>
            </w:pPr>
            <w:r>
              <w:rPr>
                <w:rFonts w:ascii="Times New Roman" w:hAnsi="Times New Roman" w:eastAsia="宋体" w:cs="Times New Roman"/>
                <w:sz w:val="21"/>
                <w:szCs w:val="21"/>
                <w:lang w:eastAsia="zh-CN"/>
              </w:rPr>
              <w:t>注：</w:t>
            </w:r>
            <w:r>
              <w:rPr>
                <w:rFonts w:hint="eastAsia" w:ascii="Times New Roman" w:hAnsi="Times New Roman" w:eastAsia="宋体" w:cs="Times New Roman"/>
                <w:sz w:val="21"/>
                <w:szCs w:val="21"/>
                <w:lang w:eastAsia="zh-CN"/>
              </w:rPr>
              <w:t>建设单位承诺，</w:t>
            </w:r>
            <w:r>
              <w:rPr>
                <w:rFonts w:hint="eastAsia" w:ascii="Times New Roman" w:hAnsi="Times New Roman" w:eastAsia="宋体" w:cs="Times New Roman"/>
                <w:sz w:val="21"/>
                <w:szCs w:val="21"/>
                <w:lang w:val="en-US" w:eastAsia="zh-CN"/>
              </w:rPr>
              <w:t>项目所使用的</w:t>
            </w:r>
            <w:r>
              <w:rPr>
                <w:rFonts w:hint="eastAsia" w:ascii="Times New Roman" w:hAnsi="Times New Roman" w:eastAsia="宋体" w:cs="Times New Roman"/>
                <w:sz w:val="21"/>
                <w:szCs w:val="21"/>
                <w:lang w:eastAsia="zh-CN"/>
              </w:rPr>
              <w:t>水性</w:t>
            </w:r>
            <w:r>
              <w:rPr>
                <w:rFonts w:hint="eastAsia" w:ascii="Times New Roman" w:hAnsi="Times New Roman" w:eastAsia="宋体" w:cs="Times New Roman"/>
                <w:sz w:val="21"/>
                <w:szCs w:val="21"/>
                <w:lang w:val="en-US" w:eastAsia="zh-CN"/>
              </w:rPr>
              <w:t>油墨</w:t>
            </w:r>
            <w:r>
              <w:rPr>
                <w:rFonts w:hint="eastAsia" w:ascii="Times New Roman" w:hAnsi="Times New Roman" w:eastAsia="宋体" w:cs="Times New Roman"/>
                <w:sz w:val="21"/>
                <w:szCs w:val="21"/>
                <w:lang w:eastAsia="zh-CN"/>
              </w:rPr>
              <w:t>满足《低挥发性有机化合物含量涂料产品技术要求》（</w:t>
            </w:r>
            <w:r>
              <w:rPr>
                <w:rFonts w:ascii="Times New Roman" w:hAnsi="Times New Roman" w:eastAsia="宋体" w:cs="Times New Roman"/>
                <w:sz w:val="21"/>
                <w:szCs w:val="21"/>
                <w:lang w:eastAsia="zh-CN"/>
              </w:rPr>
              <w:t>GB/T 38597-2020</w:t>
            </w:r>
            <w:r>
              <w:rPr>
                <w:rFonts w:hint="eastAsia" w:ascii="Times New Roman" w:hAnsi="Times New Roman" w:eastAsia="宋体" w:cs="Times New Roman"/>
                <w:sz w:val="21"/>
                <w:szCs w:val="21"/>
                <w:lang w:val="en-US" w:eastAsia="zh-CN"/>
              </w:rPr>
              <w:t>）中水性油墨</w:t>
            </w:r>
            <w:r>
              <w:rPr>
                <w:rFonts w:hint="default" w:ascii="Times New Roman" w:hAnsi="Times New Roman" w:eastAsia="宋体" w:cs="Times New Roman"/>
                <w:sz w:val="21"/>
                <w:szCs w:val="21"/>
                <w:lang w:val="en-US" w:eastAsia="zh-CN"/>
              </w:rPr>
              <w:t>-</w:t>
            </w:r>
            <w:r>
              <w:rPr>
                <w:rFonts w:hint="eastAsia" w:ascii="Times New Roman" w:hAnsi="Times New Roman" w:eastAsia="宋体" w:cs="Times New Roman"/>
                <w:sz w:val="21"/>
                <w:szCs w:val="21"/>
                <w:lang w:val="en-US" w:eastAsia="zh-CN"/>
              </w:rPr>
              <w:t>柔印油墨</w:t>
            </w:r>
            <w:r>
              <w:rPr>
                <w:rFonts w:hint="default" w:ascii="Times New Roman" w:hAnsi="Times New Roman" w:eastAsia="宋体" w:cs="Times New Roman"/>
                <w:sz w:val="21"/>
                <w:szCs w:val="21"/>
                <w:lang w:val="en-US" w:eastAsia="zh-CN"/>
              </w:rPr>
              <w:t>-</w:t>
            </w:r>
            <w:r>
              <w:rPr>
                <w:rFonts w:hint="eastAsia" w:ascii="Times New Roman" w:hAnsi="Times New Roman" w:eastAsia="宋体" w:cs="Times New Roman"/>
                <w:sz w:val="21"/>
                <w:szCs w:val="21"/>
                <w:lang w:val="en-US" w:eastAsia="zh-CN"/>
              </w:rPr>
              <w:t>吸收性承印物产品标准方</w:t>
            </w:r>
            <w:r>
              <w:rPr>
                <w:rFonts w:hint="eastAsia" w:ascii="Times New Roman" w:hAnsi="Times New Roman" w:cs="Times New Roman"/>
                <w:sz w:val="21"/>
                <w:szCs w:val="21"/>
                <w:lang w:val="en-US" w:eastAsia="zh-CN"/>
              </w:rPr>
              <w:t>可</w:t>
            </w:r>
            <w:r>
              <w:rPr>
                <w:rFonts w:hint="eastAsia" w:ascii="Times New Roman" w:hAnsi="Times New Roman" w:eastAsia="宋体" w:cs="Times New Roman"/>
                <w:sz w:val="21"/>
                <w:szCs w:val="21"/>
                <w:lang w:val="en-US" w:eastAsia="zh-CN"/>
              </w:rPr>
              <w:t>进厂使用。</w:t>
            </w:r>
          </w:p>
          <w:p>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表</w:t>
            </w:r>
            <w:r>
              <w:rPr>
                <w:rFonts w:hint="default" w:ascii="Times New Roman" w:hAnsi="Times New Roman" w:eastAsia="宋体" w:cs="Times New Roman"/>
                <w:b/>
                <w:bCs/>
                <w:sz w:val="21"/>
                <w:szCs w:val="21"/>
                <w:lang w:val="en-US" w:eastAsia="zh-CN"/>
              </w:rPr>
              <w:t xml:space="preserve">2-4 </w:t>
            </w:r>
            <w:r>
              <w:rPr>
                <w:rFonts w:hint="default" w:ascii="Times New Roman" w:hAnsi="Times New Roman" w:cs="Times New Roman"/>
                <w:b/>
                <w:bCs/>
                <w:sz w:val="21"/>
                <w:szCs w:val="21"/>
                <w:lang w:val="en-US" w:eastAsia="zh-CN"/>
              </w:rPr>
              <w:t>技改后全厂</w:t>
            </w:r>
            <w:r>
              <w:rPr>
                <w:rFonts w:hint="default" w:ascii="Times New Roman" w:hAnsi="Times New Roman" w:eastAsia="宋体" w:cs="Times New Roman"/>
                <w:b/>
                <w:bCs/>
                <w:sz w:val="21"/>
                <w:szCs w:val="21"/>
                <w:lang w:eastAsia="zh-CN"/>
              </w:rPr>
              <w:t>能源消耗一览表</w:t>
            </w:r>
          </w:p>
          <w:tbl>
            <w:tblPr>
              <w:tblStyle w:val="23"/>
              <w:tblW w:w="49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2043"/>
              <w:gridCol w:w="922"/>
              <w:gridCol w:w="911"/>
              <w:gridCol w:w="1011"/>
              <w:gridCol w:w="889"/>
              <w:gridCol w:w="18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408" w:type="pct"/>
                  <w:vMerge w:val="restart"/>
                  <w:vAlign w:val="center"/>
                </w:tcPr>
                <w:p>
                  <w:pPr>
                    <w:spacing w:before="100" w:beforeAutospacing="1" w:after="100" w:afterAutospacing="1" w:line="240" w:lineRule="auto"/>
                    <w:ind w:firstLine="0" w:firstLineChars="0"/>
                    <w:jc w:val="center"/>
                    <w:rPr>
                      <w:rFonts w:hint="default" w:ascii="Times New Roman" w:hAnsi="Times New Roman" w:cs="Times New Roman"/>
                      <w:b/>
                      <w:sz w:val="20"/>
                    </w:rPr>
                  </w:pPr>
                  <w:r>
                    <w:rPr>
                      <w:rFonts w:hint="default" w:ascii="Times New Roman" w:hAnsi="Times New Roman" w:cs="Times New Roman"/>
                      <w:b/>
                      <w:sz w:val="20"/>
                    </w:rPr>
                    <w:t>序号</w:t>
                  </w:r>
                </w:p>
              </w:tc>
              <w:tc>
                <w:tcPr>
                  <w:tcW w:w="1230" w:type="pct"/>
                  <w:vMerge w:val="restart"/>
                  <w:vAlign w:val="center"/>
                </w:tcPr>
                <w:p>
                  <w:pPr>
                    <w:spacing w:before="100" w:beforeAutospacing="1" w:after="100" w:afterAutospacing="1" w:line="240" w:lineRule="auto"/>
                    <w:ind w:firstLine="0" w:firstLineChars="0"/>
                    <w:jc w:val="center"/>
                    <w:rPr>
                      <w:rFonts w:hint="default" w:ascii="Times New Roman" w:hAnsi="Times New Roman" w:cs="Times New Roman"/>
                      <w:b/>
                      <w:sz w:val="20"/>
                    </w:rPr>
                  </w:pPr>
                  <w:r>
                    <w:rPr>
                      <w:rFonts w:hint="default" w:ascii="Times New Roman" w:hAnsi="Times New Roman" w:cs="Times New Roman"/>
                      <w:b/>
                      <w:sz w:val="20"/>
                    </w:rPr>
                    <w:t>名称及规格</w:t>
                  </w:r>
                </w:p>
              </w:tc>
              <w:tc>
                <w:tcPr>
                  <w:tcW w:w="2247" w:type="pct"/>
                  <w:gridSpan w:val="4"/>
                  <w:vAlign w:val="center"/>
                </w:tcPr>
                <w:p>
                  <w:pPr>
                    <w:spacing w:before="100" w:beforeAutospacing="1" w:after="100" w:afterAutospacing="1" w:line="240" w:lineRule="auto"/>
                    <w:ind w:firstLine="0" w:firstLineChars="0"/>
                    <w:jc w:val="center"/>
                    <w:rPr>
                      <w:rFonts w:hint="default" w:ascii="Times New Roman" w:hAnsi="Times New Roman" w:cs="Times New Roman"/>
                      <w:b/>
                      <w:color w:val="auto"/>
                      <w:sz w:val="20"/>
                    </w:rPr>
                  </w:pPr>
                  <w:r>
                    <w:rPr>
                      <w:rFonts w:hint="default" w:ascii="Times New Roman" w:hAnsi="Times New Roman" w:cs="Times New Roman"/>
                      <w:b/>
                      <w:color w:val="auto"/>
                      <w:sz w:val="20"/>
                    </w:rPr>
                    <w:t>年消耗/生产量</w:t>
                  </w:r>
                </w:p>
              </w:tc>
              <w:tc>
                <w:tcPr>
                  <w:tcW w:w="1113" w:type="pct"/>
                  <w:vMerge w:val="restart"/>
                  <w:vAlign w:val="center"/>
                </w:tcPr>
                <w:p>
                  <w:pPr>
                    <w:spacing w:before="100" w:beforeAutospacing="1" w:after="100" w:afterAutospacing="1" w:line="240" w:lineRule="auto"/>
                    <w:ind w:firstLine="0" w:firstLineChars="0"/>
                    <w:jc w:val="center"/>
                    <w:rPr>
                      <w:rFonts w:hint="default" w:ascii="Times New Roman" w:hAnsi="Times New Roman" w:cs="Times New Roman"/>
                      <w:b/>
                      <w:sz w:val="20"/>
                    </w:rPr>
                  </w:pPr>
                  <w:r>
                    <w:rPr>
                      <w:rFonts w:hint="default" w:ascii="Times New Roman" w:hAnsi="Times New Roman" w:cs="Times New Roman"/>
                      <w:b/>
                      <w:sz w:val="20"/>
                    </w:rPr>
                    <w:t>供应来源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408" w:type="pct"/>
                  <w:vMerge w:val="continue"/>
                  <w:vAlign w:val="center"/>
                </w:tcPr>
                <w:p>
                  <w:pPr>
                    <w:spacing w:before="100" w:beforeAutospacing="1" w:after="100" w:afterAutospacing="1" w:line="240" w:lineRule="auto"/>
                    <w:ind w:firstLine="0" w:firstLineChars="0"/>
                    <w:jc w:val="center"/>
                    <w:rPr>
                      <w:rFonts w:hint="default" w:ascii="Times New Roman" w:hAnsi="Times New Roman" w:cs="Times New Roman"/>
                      <w:b/>
                      <w:sz w:val="20"/>
                    </w:rPr>
                  </w:pPr>
                </w:p>
              </w:tc>
              <w:tc>
                <w:tcPr>
                  <w:tcW w:w="1230" w:type="pct"/>
                  <w:vMerge w:val="continue"/>
                  <w:vAlign w:val="center"/>
                </w:tcPr>
                <w:p>
                  <w:pPr>
                    <w:spacing w:before="100" w:beforeAutospacing="1" w:after="100" w:afterAutospacing="1" w:line="240" w:lineRule="auto"/>
                    <w:ind w:firstLine="0" w:firstLineChars="0"/>
                    <w:jc w:val="center"/>
                    <w:rPr>
                      <w:rFonts w:hint="default" w:ascii="Times New Roman" w:hAnsi="Times New Roman" w:cs="Times New Roman"/>
                      <w:b/>
                      <w:sz w:val="20"/>
                    </w:rPr>
                  </w:pPr>
                </w:p>
              </w:tc>
              <w:tc>
                <w:tcPr>
                  <w:tcW w:w="555" w:type="pct"/>
                  <w:vAlign w:val="center"/>
                </w:tcPr>
                <w:p>
                  <w:pPr>
                    <w:snapToGrid w:val="0"/>
                    <w:jc w:val="center"/>
                    <w:rPr>
                      <w:rFonts w:hint="default" w:ascii="Times New Roman" w:hAnsi="Times New Roman" w:cs="Times New Roman"/>
                      <w:b/>
                      <w:color w:val="auto"/>
                      <w:sz w:val="20"/>
                    </w:rPr>
                  </w:pPr>
                  <w:r>
                    <w:rPr>
                      <w:rFonts w:hint="default" w:ascii="Times New Roman" w:hAnsi="Times New Roman" w:cs="Times New Roman"/>
                      <w:b/>
                      <w:color w:val="auto"/>
                      <w:sz w:val="21"/>
                      <w:szCs w:val="21"/>
                      <w:lang w:eastAsia="zh-CN"/>
                    </w:rPr>
                    <w:t>现有</w:t>
                  </w:r>
                </w:p>
              </w:tc>
              <w:tc>
                <w:tcPr>
                  <w:tcW w:w="548" w:type="pct"/>
                  <w:vAlign w:val="center"/>
                </w:tcPr>
                <w:p>
                  <w:pPr>
                    <w:snapToGrid w:val="0"/>
                    <w:jc w:val="center"/>
                    <w:rPr>
                      <w:rFonts w:hint="default" w:ascii="Times New Roman" w:hAnsi="Times New Roman" w:cs="Times New Roman"/>
                      <w:b/>
                      <w:color w:val="auto"/>
                      <w:sz w:val="20"/>
                    </w:rPr>
                  </w:pPr>
                  <w:r>
                    <w:rPr>
                      <w:rFonts w:hint="default" w:ascii="Times New Roman" w:hAnsi="Times New Roman" w:cs="Times New Roman"/>
                      <w:b/>
                      <w:color w:val="auto"/>
                      <w:sz w:val="21"/>
                      <w:szCs w:val="21"/>
                      <w:lang w:eastAsia="zh-CN"/>
                    </w:rPr>
                    <w:t>技改后</w:t>
                  </w:r>
                </w:p>
              </w:tc>
              <w:tc>
                <w:tcPr>
                  <w:tcW w:w="608" w:type="pct"/>
                  <w:vAlign w:val="center"/>
                </w:tcPr>
                <w:p>
                  <w:pPr>
                    <w:snapToGrid w:val="0"/>
                    <w:jc w:val="center"/>
                    <w:rPr>
                      <w:rFonts w:hint="default" w:ascii="Times New Roman" w:hAnsi="Times New Roman" w:cs="Times New Roman"/>
                      <w:b/>
                      <w:color w:val="auto"/>
                      <w:sz w:val="20"/>
                    </w:rPr>
                  </w:pPr>
                  <w:r>
                    <w:rPr>
                      <w:rFonts w:hint="default" w:ascii="Times New Roman" w:hAnsi="Times New Roman" w:cs="Times New Roman"/>
                      <w:b/>
                      <w:color w:val="auto"/>
                      <w:sz w:val="21"/>
                      <w:szCs w:val="21"/>
                      <w:lang w:eastAsia="zh-CN"/>
                    </w:rPr>
                    <w:t>全厂</w:t>
                  </w:r>
                </w:p>
              </w:tc>
              <w:tc>
                <w:tcPr>
                  <w:tcW w:w="535" w:type="pct"/>
                  <w:vAlign w:val="center"/>
                </w:tcPr>
                <w:p>
                  <w:pPr>
                    <w:snapToGrid w:val="0"/>
                    <w:jc w:val="center"/>
                    <w:rPr>
                      <w:rFonts w:hint="default" w:ascii="Times New Roman" w:hAnsi="Times New Roman" w:cs="Times New Roman"/>
                      <w:b/>
                      <w:color w:val="auto"/>
                      <w:sz w:val="20"/>
                    </w:rPr>
                  </w:pPr>
                  <w:r>
                    <w:rPr>
                      <w:rFonts w:hint="default" w:ascii="Times New Roman" w:hAnsi="Times New Roman" w:cs="Times New Roman"/>
                      <w:b/>
                      <w:color w:val="auto"/>
                      <w:sz w:val="21"/>
                      <w:szCs w:val="21"/>
                      <w:lang w:eastAsia="zh-CN"/>
                    </w:rPr>
                    <w:t>变化量</w:t>
                  </w:r>
                </w:p>
              </w:tc>
              <w:tc>
                <w:tcPr>
                  <w:tcW w:w="1113" w:type="pct"/>
                  <w:vMerge w:val="continue"/>
                  <w:vAlign w:val="center"/>
                </w:tcPr>
                <w:p>
                  <w:pPr>
                    <w:spacing w:before="100" w:beforeAutospacing="1" w:after="100" w:afterAutospacing="1" w:line="240" w:lineRule="auto"/>
                    <w:ind w:firstLine="0" w:firstLineChars="0"/>
                    <w:jc w:val="center"/>
                    <w:rPr>
                      <w:rFonts w:hint="default" w:ascii="Times New Roman" w:hAnsi="Times New Roman" w:cs="Times New Roman"/>
                      <w:b/>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8" w:type="pct"/>
                  <w:vAlign w:val="center"/>
                </w:tcPr>
                <w:p>
                  <w:pPr>
                    <w:spacing w:before="100" w:beforeAutospacing="1" w:after="100" w:afterAutospacing="1" w:line="240" w:lineRule="auto"/>
                    <w:ind w:firstLine="0" w:firstLineChars="0"/>
                    <w:jc w:val="center"/>
                    <w:rPr>
                      <w:rFonts w:hint="default" w:ascii="Times New Roman" w:hAnsi="Times New Roman" w:cs="Times New Roman"/>
                      <w:sz w:val="20"/>
                    </w:rPr>
                  </w:pPr>
                  <w:r>
                    <w:rPr>
                      <w:rFonts w:hint="default" w:ascii="Times New Roman" w:hAnsi="Times New Roman" w:cs="Times New Roman"/>
                      <w:sz w:val="20"/>
                    </w:rPr>
                    <w:t>1</w:t>
                  </w:r>
                </w:p>
              </w:tc>
              <w:tc>
                <w:tcPr>
                  <w:tcW w:w="1230" w:type="pct"/>
                  <w:vAlign w:val="center"/>
                </w:tcPr>
                <w:p>
                  <w:pPr>
                    <w:spacing w:before="100" w:beforeAutospacing="1" w:after="100" w:afterAutospacing="1"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新鲜水（t/a）</w:t>
                  </w:r>
                </w:p>
              </w:tc>
              <w:tc>
                <w:tcPr>
                  <w:tcW w:w="555" w:type="pct"/>
                  <w:vAlign w:val="center"/>
                </w:tcPr>
                <w:p>
                  <w:pPr>
                    <w:spacing w:before="100" w:beforeAutospacing="1" w:after="100" w:afterAutospacing="1" w:line="240" w:lineRule="auto"/>
                    <w:ind w:firstLine="0" w:firstLineChars="0"/>
                    <w:jc w:val="center"/>
                    <w:rPr>
                      <w:rFonts w:hint="default" w:ascii="Times New Roman" w:hAnsi="Times New Roman" w:eastAsia="宋体" w:cs="Times New Roman"/>
                      <w:color w:val="auto"/>
                      <w:sz w:val="20"/>
                      <w:lang w:val="en-US" w:eastAsia="zh-CN"/>
                    </w:rPr>
                  </w:pPr>
                  <w:r>
                    <w:rPr>
                      <w:rFonts w:hint="default" w:ascii="Times New Roman" w:hAnsi="Times New Roman" w:cs="Times New Roman"/>
                      <w:color w:val="auto"/>
                      <w:sz w:val="20"/>
                      <w:lang w:val="en-US" w:eastAsia="zh-CN"/>
                    </w:rPr>
                    <w:t>6</w:t>
                  </w:r>
                  <w:r>
                    <w:rPr>
                      <w:rFonts w:hint="default" w:ascii="Times New Roman" w:hAnsi="Times New Roman" w:eastAsia="宋体" w:cs="Times New Roman"/>
                      <w:color w:val="auto"/>
                      <w:sz w:val="20"/>
                      <w:lang w:val="en-US" w:eastAsia="zh-CN"/>
                    </w:rPr>
                    <w:t>00</w:t>
                  </w:r>
                </w:p>
              </w:tc>
              <w:tc>
                <w:tcPr>
                  <w:tcW w:w="548" w:type="pct"/>
                  <w:vAlign w:val="center"/>
                </w:tcPr>
                <w:p>
                  <w:pPr>
                    <w:spacing w:before="100" w:beforeAutospacing="1" w:after="100" w:afterAutospacing="1" w:line="240" w:lineRule="auto"/>
                    <w:ind w:firstLine="0" w:firstLineChars="0"/>
                    <w:jc w:val="center"/>
                    <w:rPr>
                      <w:rFonts w:hint="default" w:ascii="Times New Roman" w:hAnsi="Times New Roman" w:eastAsia="楷体" w:cs="Times New Roman"/>
                      <w:color w:val="auto"/>
                      <w:sz w:val="21"/>
                      <w:szCs w:val="21"/>
                      <w:lang w:val="en-US" w:eastAsia="zh-CN"/>
                    </w:rPr>
                  </w:pPr>
                  <w:r>
                    <w:rPr>
                      <w:rFonts w:hint="default" w:ascii="Times New Roman" w:hAnsi="Times New Roman" w:eastAsia="楷体" w:cs="Times New Roman"/>
                      <w:color w:val="auto"/>
                      <w:sz w:val="21"/>
                      <w:szCs w:val="21"/>
                      <w:lang w:val="en-US" w:eastAsia="zh-CN"/>
                    </w:rPr>
                    <w:t>600</w:t>
                  </w:r>
                </w:p>
              </w:tc>
              <w:tc>
                <w:tcPr>
                  <w:tcW w:w="608" w:type="pct"/>
                  <w:vAlign w:val="center"/>
                </w:tcPr>
                <w:p>
                  <w:pPr>
                    <w:spacing w:before="100" w:beforeAutospacing="1" w:after="100" w:afterAutospacing="1" w:line="240" w:lineRule="auto"/>
                    <w:ind w:firstLine="0" w:firstLineChars="0"/>
                    <w:jc w:val="center"/>
                    <w:rPr>
                      <w:rFonts w:hint="default" w:ascii="Times New Roman" w:hAnsi="Times New Roman" w:eastAsia="楷体" w:cs="Times New Roman"/>
                      <w:color w:val="auto"/>
                      <w:sz w:val="21"/>
                      <w:szCs w:val="21"/>
                      <w:lang w:val="en-US" w:eastAsia="zh-CN"/>
                    </w:rPr>
                  </w:pPr>
                  <w:r>
                    <w:rPr>
                      <w:rFonts w:hint="default" w:ascii="Times New Roman" w:hAnsi="Times New Roman" w:eastAsia="楷体" w:cs="Times New Roman"/>
                      <w:color w:val="auto"/>
                      <w:sz w:val="21"/>
                      <w:szCs w:val="21"/>
                      <w:lang w:val="en-US" w:eastAsia="zh-CN"/>
                    </w:rPr>
                    <w:t>600</w:t>
                  </w:r>
                </w:p>
              </w:tc>
              <w:tc>
                <w:tcPr>
                  <w:tcW w:w="535" w:type="pct"/>
                  <w:vAlign w:val="center"/>
                </w:tcPr>
                <w:p>
                  <w:pPr>
                    <w:spacing w:before="100" w:beforeAutospacing="1" w:after="100" w:afterAutospacing="1" w:line="240" w:lineRule="auto"/>
                    <w:ind w:firstLine="0" w:firstLineChars="0"/>
                    <w:jc w:val="center"/>
                    <w:rPr>
                      <w:rFonts w:hint="default" w:ascii="Times New Roman" w:hAnsi="Times New Roman" w:eastAsia="楷体" w:cs="Times New Roman"/>
                      <w:color w:val="auto"/>
                      <w:sz w:val="21"/>
                      <w:szCs w:val="21"/>
                      <w:lang w:val="en-US" w:eastAsia="zh-CN"/>
                    </w:rPr>
                  </w:pPr>
                  <w:r>
                    <w:rPr>
                      <w:rFonts w:hint="default" w:ascii="Times New Roman" w:hAnsi="Times New Roman" w:eastAsia="楷体" w:cs="Times New Roman"/>
                      <w:color w:val="auto"/>
                      <w:sz w:val="21"/>
                      <w:szCs w:val="21"/>
                      <w:lang w:val="en-US" w:eastAsia="zh-CN"/>
                    </w:rPr>
                    <w:t>0</w:t>
                  </w:r>
                </w:p>
              </w:tc>
              <w:tc>
                <w:tcPr>
                  <w:tcW w:w="1113" w:type="pct"/>
                  <w:vAlign w:val="center"/>
                </w:tcPr>
                <w:p>
                  <w:pPr>
                    <w:spacing w:before="100" w:beforeAutospacing="1" w:after="100" w:afterAutospacing="1" w:line="240" w:lineRule="auto"/>
                    <w:ind w:firstLine="0" w:firstLineChars="0"/>
                    <w:jc w:val="center"/>
                    <w:rPr>
                      <w:rFonts w:hint="default" w:ascii="Times New Roman" w:hAnsi="Times New Roman" w:cs="Times New Roman"/>
                      <w:sz w:val="20"/>
                    </w:rPr>
                  </w:pPr>
                  <w:r>
                    <w:rPr>
                      <w:rFonts w:hint="default" w:ascii="Times New Roman" w:hAnsi="Times New Roman" w:cs="Times New Roman"/>
                      <w:sz w:val="20"/>
                      <w:lang w:val="en-US" w:eastAsia="zh-CN"/>
                    </w:rPr>
                    <w:t>区域</w:t>
                  </w:r>
                  <w:r>
                    <w:rPr>
                      <w:rFonts w:hint="default" w:ascii="Times New Roman" w:hAnsi="Times New Roman" w:cs="Times New Roman"/>
                      <w:sz w:val="20"/>
                    </w:rPr>
                    <w:t>市政管网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408" w:type="pct"/>
                  <w:vAlign w:val="center"/>
                </w:tcPr>
                <w:p>
                  <w:pPr>
                    <w:spacing w:before="100" w:beforeAutospacing="1" w:after="100" w:afterAutospacing="1" w:line="240" w:lineRule="auto"/>
                    <w:ind w:firstLine="0" w:firstLineChars="0"/>
                    <w:jc w:val="center"/>
                    <w:rPr>
                      <w:rFonts w:hint="default" w:ascii="Times New Roman" w:hAnsi="Times New Roman" w:cs="Times New Roman"/>
                      <w:sz w:val="20"/>
                    </w:rPr>
                  </w:pPr>
                  <w:r>
                    <w:rPr>
                      <w:rFonts w:hint="default" w:ascii="Times New Roman" w:hAnsi="Times New Roman" w:cs="Times New Roman"/>
                      <w:sz w:val="20"/>
                    </w:rPr>
                    <w:t>2</w:t>
                  </w:r>
                </w:p>
              </w:tc>
              <w:tc>
                <w:tcPr>
                  <w:tcW w:w="1230" w:type="pct"/>
                  <w:vAlign w:val="center"/>
                </w:tcPr>
                <w:p>
                  <w:pPr>
                    <w:spacing w:before="100" w:beforeAutospacing="1" w:after="100" w:afterAutospacing="1"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电（万kwh/a）</w:t>
                  </w:r>
                </w:p>
              </w:tc>
              <w:tc>
                <w:tcPr>
                  <w:tcW w:w="555" w:type="pct"/>
                  <w:vAlign w:val="center"/>
                </w:tcPr>
                <w:p>
                  <w:pPr>
                    <w:spacing w:before="100" w:beforeAutospacing="1" w:after="100" w:afterAutospacing="1" w:line="240" w:lineRule="auto"/>
                    <w:ind w:firstLine="0" w:firstLineChars="0"/>
                    <w:jc w:val="center"/>
                    <w:rPr>
                      <w:rFonts w:hint="default" w:ascii="Times New Roman" w:hAnsi="Times New Roman" w:eastAsia="宋体" w:cs="Times New Roman"/>
                      <w:sz w:val="20"/>
                      <w:lang w:val="en-US" w:eastAsia="zh-CN"/>
                    </w:rPr>
                  </w:pPr>
                  <w:r>
                    <w:rPr>
                      <w:rFonts w:hint="default" w:ascii="Times New Roman" w:hAnsi="Times New Roman" w:eastAsia="宋体" w:cs="Times New Roman"/>
                      <w:sz w:val="20"/>
                      <w:lang w:val="en-US" w:eastAsia="zh-CN"/>
                    </w:rPr>
                    <w:t>50</w:t>
                  </w:r>
                </w:p>
              </w:tc>
              <w:tc>
                <w:tcPr>
                  <w:tcW w:w="548" w:type="pct"/>
                  <w:vAlign w:val="center"/>
                </w:tcPr>
                <w:p>
                  <w:pPr>
                    <w:spacing w:before="100" w:beforeAutospacing="1" w:after="100" w:afterAutospacing="1" w:line="240" w:lineRule="auto"/>
                    <w:ind w:firstLine="0" w:firstLineChars="0"/>
                    <w:jc w:val="center"/>
                    <w:rPr>
                      <w:rFonts w:hint="default" w:ascii="Times New Roman" w:hAnsi="Times New Roman" w:eastAsia="楷体" w:cs="Times New Roman"/>
                      <w:sz w:val="21"/>
                      <w:szCs w:val="21"/>
                      <w:lang w:val="en-US" w:eastAsia="zh-CN"/>
                    </w:rPr>
                  </w:pPr>
                  <w:r>
                    <w:rPr>
                      <w:rFonts w:hint="default" w:ascii="Times New Roman" w:hAnsi="Times New Roman" w:eastAsia="楷体" w:cs="Times New Roman"/>
                      <w:sz w:val="21"/>
                      <w:szCs w:val="21"/>
                      <w:lang w:val="en-US" w:eastAsia="zh-CN"/>
                    </w:rPr>
                    <w:t>55</w:t>
                  </w:r>
                </w:p>
              </w:tc>
              <w:tc>
                <w:tcPr>
                  <w:tcW w:w="608" w:type="pct"/>
                  <w:vAlign w:val="center"/>
                </w:tcPr>
                <w:p>
                  <w:pPr>
                    <w:spacing w:before="100" w:beforeAutospacing="1" w:after="100" w:afterAutospacing="1" w:line="240" w:lineRule="auto"/>
                    <w:ind w:firstLine="0" w:firstLineChars="0"/>
                    <w:jc w:val="center"/>
                    <w:rPr>
                      <w:rFonts w:hint="default" w:ascii="Times New Roman" w:hAnsi="Times New Roman" w:eastAsia="楷体" w:cs="Times New Roman"/>
                      <w:sz w:val="21"/>
                      <w:szCs w:val="21"/>
                      <w:lang w:val="en-US" w:eastAsia="zh-CN"/>
                    </w:rPr>
                  </w:pPr>
                  <w:r>
                    <w:rPr>
                      <w:rFonts w:hint="default" w:ascii="Times New Roman" w:hAnsi="Times New Roman" w:eastAsia="楷体" w:cs="Times New Roman"/>
                      <w:sz w:val="21"/>
                      <w:szCs w:val="21"/>
                      <w:lang w:val="en-US" w:eastAsia="zh-CN"/>
                    </w:rPr>
                    <w:t>55</w:t>
                  </w:r>
                </w:p>
              </w:tc>
              <w:tc>
                <w:tcPr>
                  <w:tcW w:w="535" w:type="pct"/>
                  <w:vAlign w:val="center"/>
                </w:tcPr>
                <w:p>
                  <w:pPr>
                    <w:spacing w:before="100" w:beforeAutospacing="1" w:after="100" w:afterAutospacing="1" w:line="240" w:lineRule="auto"/>
                    <w:ind w:firstLine="0" w:firstLineChars="0"/>
                    <w:jc w:val="center"/>
                    <w:rPr>
                      <w:rFonts w:hint="default" w:ascii="Times New Roman" w:hAnsi="Times New Roman" w:eastAsia="楷体" w:cs="Times New Roman"/>
                      <w:sz w:val="21"/>
                      <w:szCs w:val="21"/>
                      <w:lang w:val="en-US" w:eastAsia="zh-CN"/>
                    </w:rPr>
                  </w:pPr>
                  <w:r>
                    <w:rPr>
                      <w:rFonts w:hint="default" w:ascii="Times New Roman" w:hAnsi="Times New Roman" w:eastAsia="楷体" w:cs="Times New Roman"/>
                      <w:sz w:val="21"/>
                      <w:szCs w:val="21"/>
                      <w:lang w:val="en-US" w:eastAsia="zh-CN"/>
                    </w:rPr>
                    <w:t>+5</w:t>
                  </w:r>
                </w:p>
              </w:tc>
              <w:tc>
                <w:tcPr>
                  <w:tcW w:w="1113" w:type="pct"/>
                  <w:vAlign w:val="center"/>
                </w:tcPr>
                <w:p>
                  <w:pPr>
                    <w:spacing w:before="100" w:beforeAutospacing="1" w:after="100" w:afterAutospacing="1" w:line="240" w:lineRule="auto"/>
                    <w:ind w:firstLine="0" w:firstLineChars="0"/>
                    <w:jc w:val="center"/>
                    <w:rPr>
                      <w:rFonts w:hint="default" w:ascii="Times New Roman" w:hAnsi="Times New Roman" w:cs="Times New Roman"/>
                      <w:sz w:val="20"/>
                    </w:rPr>
                  </w:pPr>
                  <w:r>
                    <w:rPr>
                      <w:rFonts w:hint="default" w:ascii="Times New Roman" w:hAnsi="Times New Roman" w:cs="Times New Roman"/>
                      <w:sz w:val="20"/>
                      <w:lang w:val="en-US" w:eastAsia="zh-CN"/>
                    </w:rPr>
                    <w:t>区域</w:t>
                  </w:r>
                  <w:r>
                    <w:rPr>
                      <w:rFonts w:hint="default" w:ascii="Times New Roman" w:hAnsi="Times New Roman" w:cs="Times New Roman"/>
                      <w:sz w:val="20"/>
                    </w:rPr>
                    <w:t>变电站</w:t>
                  </w:r>
                </w:p>
              </w:tc>
            </w:tr>
          </w:tbl>
          <w:p>
            <w:pPr>
              <w:keepNext w:val="0"/>
              <w:keepLines w:val="0"/>
              <w:pageBreakBefore w:val="0"/>
              <w:widowControl w:val="0"/>
              <w:tabs>
                <w:tab w:val="left" w:pos="5142"/>
              </w:tabs>
              <w:kinsoku/>
              <w:wordWrap/>
              <w:overflowPunct/>
              <w:topLinePunct w:val="0"/>
              <w:autoSpaceDE/>
              <w:autoSpaceDN/>
              <w:bidi w:val="0"/>
              <w:adjustRightInd/>
              <w:snapToGrid w:val="0"/>
              <w:spacing w:line="460" w:lineRule="exact"/>
              <w:jc w:val="center"/>
              <w:textAlignment w:val="auto"/>
              <w:rPr>
                <w:rFonts w:hint="default" w:ascii="Times New Roman" w:hAnsi="Times New Roman" w:cs="Times New Roman" w:eastAsiaTheme="majorEastAsia"/>
                <w:b/>
                <w:bCs/>
                <w:color w:val="auto"/>
                <w:sz w:val="21"/>
                <w:szCs w:val="21"/>
                <w:lang w:eastAsia="zh-CN"/>
              </w:rPr>
            </w:pPr>
            <w:r>
              <w:rPr>
                <w:rFonts w:hint="default" w:ascii="Times New Roman" w:hAnsi="Times New Roman" w:cs="Times New Roman" w:eastAsiaTheme="majorEastAsia"/>
                <w:b/>
                <w:bCs/>
                <w:color w:val="auto"/>
                <w:sz w:val="21"/>
                <w:szCs w:val="21"/>
                <w:lang w:eastAsia="zh-CN"/>
              </w:rPr>
              <w:t>表2-</w:t>
            </w:r>
            <w:r>
              <w:rPr>
                <w:rFonts w:hint="eastAsia" w:ascii="Times New Roman" w:hAnsi="Times New Roman" w:cs="Times New Roman" w:eastAsiaTheme="majorEastAsia"/>
                <w:b/>
                <w:bCs/>
                <w:color w:val="auto"/>
                <w:sz w:val="21"/>
                <w:szCs w:val="21"/>
                <w:lang w:val="en-US" w:eastAsia="zh-CN"/>
              </w:rPr>
              <w:t>5</w:t>
            </w:r>
            <w:r>
              <w:rPr>
                <w:rFonts w:hint="default" w:ascii="Times New Roman" w:hAnsi="Times New Roman" w:cs="Times New Roman" w:eastAsiaTheme="majorEastAsia"/>
                <w:b/>
                <w:bCs/>
                <w:color w:val="auto"/>
                <w:sz w:val="21"/>
                <w:szCs w:val="21"/>
                <w:lang w:eastAsia="zh-CN"/>
              </w:rPr>
              <w:t xml:space="preserve">  </w:t>
            </w:r>
            <w:r>
              <w:rPr>
                <w:rFonts w:hint="eastAsia" w:ascii="Times New Roman" w:hAnsi="Times New Roman" w:cs="Times New Roman" w:eastAsiaTheme="majorEastAsia"/>
                <w:b/>
                <w:bCs/>
                <w:color w:val="auto"/>
                <w:sz w:val="21"/>
                <w:szCs w:val="21"/>
                <w:lang w:val="en-US" w:eastAsia="zh-CN"/>
              </w:rPr>
              <w:t>原材料理化性质及毒理性</w:t>
            </w:r>
            <w:r>
              <w:rPr>
                <w:rFonts w:hint="default" w:ascii="Times New Roman" w:hAnsi="Times New Roman" w:cs="Times New Roman" w:eastAsiaTheme="majorEastAsia"/>
                <w:b/>
                <w:bCs/>
                <w:color w:val="auto"/>
                <w:sz w:val="21"/>
                <w:szCs w:val="21"/>
                <w:lang w:eastAsia="zh-CN"/>
              </w:rPr>
              <w:t>一览表</w:t>
            </w:r>
          </w:p>
          <w:tbl>
            <w:tblPr>
              <w:tblStyle w:val="24"/>
              <w:tblW w:w="83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4700"/>
              <w:gridCol w:w="1311"/>
              <w:gridCol w:w="1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4" w:type="dxa"/>
                  <w:vAlign w:val="center"/>
                </w:tcPr>
                <w:p>
                  <w:pPr>
                    <w:pStyle w:val="28"/>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名称</w:t>
                  </w:r>
                </w:p>
              </w:tc>
              <w:tc>
                <w:tcPr>
                  <w:tcW w:w="4700" w:type="dxa"/>
                  <w:vAlign w:val="center"/>
                </w:tcPr>
                <w:p>
                  <w:pPr>
                    <w:pStyle w:val="28"/>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理化性质</w:t>
                  </w:r>
                </w:p>
              </w:tc>
              <w:tc>
                <w:tcPr>
                  <w:tcW w:w="1311" w:type="dxa"/>
                  <w:vAlign w:val="center"/>
                </w:tcPr>
                <w:p>
                  <w:pPr>
                    <w:pStyle w:val="28"/>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危险性</w:t>
                  </w:r>
                </w:p>
              </w:tc>
              <w:tc>
                <w:tcPr>
                  <w:tcW w:w="1072" w:type="dxa"/>
                  <w:vAlign w:val="center"/>
                </w:tcPr>
                <w:p>
                  <w:pPr>
                    <w:pStyle w:val="28"/>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毒理性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4"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涂膜料</w:t>
                  </w:r>
                </w:p>
              </w:tc>
              <w:tc>
                <w:tcPr>
                  <w:tcW w:w="4700"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聚丙烯和聚乙烯</w:t>
                  </w:r>
                  <w:r>
                    <w:rPr>
                      <w:rFonts w:hint="eastAsia" w:ascii="Times New Roman" w:hAnsi="Times New Roman" w:cs="Times New Roman"/>
                      <w:color w:val="auto"/>
                      <w:sz w:val="21"/>
                      <w:szCs w:val="21"/>
                      <w:vertAlign w:val="baseline"/>
                      <w:lang w:val="en-US" w:eastAsia="zh-CN"/>
                    </w:rPr>
                    <w:t>按照比例形成的</w:t>
                  </w:r>
                  <w:r>
                    <w:rPr>
                      <w:rFonts w:hint="default" w:ascii="Times New Roman" w:hAnsi="Times New Roman" w:cs="Times New Roman"/>
                      <w:color w:val="auto"/>
                      <w:sz w:val="21"/>
                      <w:szCs w:val="21"/>
                      <w:vertAlign w:val="baseline"/>
                      <w:lang w:val="en-US" w:eastAsia="zh-CN"/>
                    </w:rPr>
                    <w:t>混合料</w:t>
                  </w:r>
                </w:p>
              </w:tc>
              <w:tc>
                <w:tcPr>
                  <w:tcW w:w="1311"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72"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4"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聚丙烯</w:t>
                  </w:r>
                </w:p>
              </w:tc>
              <w:tc>
                <w:tcPr>
                  <w:tcW w:w="4700"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熔点170℃，脆化温度为-50℃，密度0.91g/cm³，浊度&lt;1.5%，光泽度&gt;85%，拉伸强度(纵向/横向)&gt;120/200MPa。</w:t>
                  </w:r>
                </w:p>
              </w:tc>
              <w:tc>
                <w:tcPr>
                  <w:tcW w:w="1311"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72"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4"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聚乙烯</w:t>
                  </w:r>
                </w:p>
              </w:tc>
              <w:tc>
                <w:tcPr>
                  <w:tcW w:w="4700"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熔点85~110℃，闪点270℃，低分子量为无色液体，高分子量为无色乳白色蜡状颗粒或粉末。</w:t>
                  </w:r>
                </w:p>
              </w:tc>
              <w:tc>
                <w:tcPr>
                  <w:tcW w:w="1311"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72"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4" w:type="dxa"/>
                  <w:vAlign w:val="center"/>
                </w:tcPr>
                <w:p>
                  <w:pPr>
                    <w:autoSpaceDN w:val="0"/>
                    <w:jc w:val="center"/>
                    <w:textAlignment w:val="center"/>
                    <w:rPr>
                      <w:rFonts w:hint="default" w:ascii="Times New Roman" w:hAnsi="Times New Roman" w:cs="Times New Roman"/>
                      <w:color w:val="auto"/>
                      <w:sz w:val="21"/>
                      <w:szCs w:val="21"/>
                      <w:vertAlign w:val="baseline"/>
                      <w:lang w:val="en-US" w:eastAsia="zh-CN"/>
                    </w:rPr>
                  </w:pPr>
                  <w:r>
                    <w:rPr>
                      <w:rFonts w:ascii="Times New Roman" w:hAnsi="Times New Roman" w:eastAsia="宋体" w:cs="Times New Roman"/>
                      <w:sz w:val="21"/>
                      <w:szCs w:val="21"/>
                      <w:lang w:eastAsia="zh-CN"/>
                    </w:rPr>
                    <w:t>水性</w:t>
                  </w:r>
                  <w:r>
                    <w:rPr>
                      <w:rFonts w:hint="eastAsia" w:ascii="Times New Roman" w:hAnsi="Times New Roman" w:cs="Times New Roman"/>
                      <w:sz w:val="21"/>
                      <w:szCs w:val="21"/>
                      <w:lang w:val="en-US" w:eastAsia="zh-CN"/>
                    </w:rPr>
                    <w:t>油</w:t>
                  </w:r>
                  <w:r>
                    <w:rPr>
                      <w:rFonts w:ascii="Times New Roman" w:hAnsi="Times New Roman" w:eastAsia="宋体" w:cs="Times New Roman"/>
                      <w:sz w:val="21"/>
                      <w:szCs w:val="21"/>
                      <w:lang w:eastAsia="zh-CN"/>
                    </w:rPr>
                    <w:t>墨</w:t>
                  </w:r>
                </w:p>
              </w:tc>
              <w:tc>
                <w:tcPr>
                  <w:tcW w:w="4700" w:type="dxa"/>
                  <w:vAlign w:val="center"/>
                </w:tcPr>
                <w:p>
                  <w:pPr>
                    <w:jc w:val="center"/>
                    <w:rPr>
                      <w:rFonts w:hint="default" w:ascii="Times New Roman" w:hAnsi="Times New Roman" w:cs="Times New Roman"/>
                      <w:color w:val="auto"/>
                      <w:sz w:val="21"/>
                      <w:szCs w:val="21"/>
                      <w:vertAlign w:val="baseline"/>
                      <w:lang w:val="en-US" w:eastAsia="zh-CN"/>
                    </w:rPr>
                  </w:pPr>
                  <w:r>
                    <w:rPr>
                      <w:rFonts w:ascii="Times New Roman" w:hAnsi="Times New Roman" w:eastAsia="宋体" w:cs="Times New Roman"/>
                      <w:sz w:val="21"/>
                      <w:szCs w:val="21"/>
                      <w:lang w:eastAsia="zh-CN"/>
                    </w:rPr>
                    <w:t>相对密度：1.3-1.4，熔点（℃）：120℃，溶解性：微溶于醇、酮、甲苯等非极性有机溶剂</w:t>
                  </w:r>
                </w:p>
              </w:tc>
              <w:tc>
                <w:tcPr>
                  <w:tcW w:w="1311"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72" w:type="dxa"/>
                  <w:vAlign w:val="center"/>
                </w:tcPr>
                <w:p>
                  <w:pPr>
                    <w:pStyle w:val="2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bl>
          <w:p>
            <w:pPr>
              <w:keepNext w:val="0"/>
              <w:keepLines w:val="0"/>
              <w:pageBreakBefore w:val="0"/>
              <w:widowControl w:val="0"/>
              <w:kinsoku/>
              <w:wordWrap/>
              <w:overflowPunct/>
              <w:topLinePunct w:val="0"/>
              <w:autoSpaceDE/>
              <w:autoSpaceDN/>
              <w:bidi w:val="0"/>
              <w:adjustRightInd/>
              <w:spacing w:line="460" w:lineRule="exact"/>
              <w:ind w:firstLine="482" w:firstLineChars="200"/>
              <w:jc w:val="both"/>
              <w:textAlignment w:val="auto"/>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eastAsia="zh-CN"/>
              </w:rPr>
              <w:t>5、主要生产设施及设施参数</w:t>
            </w:r>
          </w:p>
          <w:p>
            <w:pPr>
              <w:keepNext w:val="0"/>
              <w:keepLines w:val="0"/>
              <w:pageBreakBefore w:val="0"/>
              <w:widowControl w:val="0"/>
              <w:kinsoku/>
              <w:wordWrap/>
              <w:overflowPunct/>
              <w:topLinePunct w:val="0"/>
              <w:autoSpaceDE/>
              <w:autoSpaceDN/>
              <w:bidi w:val="0"/>
              <w:adjustRightInd/>
              <w:spacing w:line="460" w:lineRule="exact"/>
              <w:ind w:firstLine="480" w:firstLineChars="200"/>
              <w:jc w:val="both"/>
              <w:textAlignment w:val="auto"/>
              <w:rPr>
                <w:rFonts w:hint="default" w:ascii="Times New Roman" w:hAnsi="Times New Roman" w:eastAsia="宋体" w:cs="Times New Roman"/>
                <w:sz w:val="24"/>
                <w:lang w:eastAsia="zh-CN"/>
              </w:rPr>
            </w:pPr>
            <w:r>
              <w:rPr>
                <w:rFonts w:hint="default" w:ascii="Times New Roman" w:hAnsi="Times New Roman" w:cs="Times New Roman"/>
                <w:bCs/>
                <w:sz w:val="24"/>
                <w:szCs w:val="24"/>
                <w:lang w:val="en-US" w:eastAsia="zh-CN"/>
              </w:rPr>
              <w:t>本项目对现有</w:t>
            </w:r>
            <w:r>
              <w:rPr>
                <w:rFonts w:hint="default" w:ascii="Times New Roman" w:hAnsi="Times New Roman" w:eastAsia="宋体" w:cs="Times New Roman"/>
                <w:sz w:val="24"/>
                <w:lang w:val="en-US" w:eastAsia="zh-CN"/>
              </w:rPr>
              <w:t>包装材</w:t>
            </w:r>
            <w:r>
              <w:rPr>
                <w:rFonts w:hint="default" w:ascii="Times New Roman" w:hAnsi="Times New Roman" w:eastAsia="宋体" w:cs="Times New Roman"/>
                <w:color w:val="auto"/>
                <w:sz w:val="24"/>
                <w:lang w:val="en-US" w:eastAsia="zh-CN"/>
              </w:rPr>
              <w:t>料制造项目</w:t>
            </w:r>
            <w:r>
              <w:rPr>
                <w:rFonts w:hint="default" w:ascii="Times New Roman" w:hAnsi="Times New Roman" w:cs="Times New Roman"/>
                <w:bCs/>
                <w:color w:val="auto"/>
                <w:sz w:val="24"/>
                <w:szCs w:val="24"/>
                <w:lang w:val="en-US" w:eastAsia="zh-CN"/>
              </w:rPr>
              <w:t>进行技术改造，新购置涂膜机、吨包切印一体机、缝纫机等设备，</w:t>
            </w:r>
            <w:r>
              <w:rPr>
                <w:rFonts w:hint="default" w:ascii="Times New Roman" w:hAnsi="Times New Roman" w:eastAsia="宋体" w:cs="Times New Roman"/>
                <w:color w:val="auto"/>
                <w:sz w:val="24"/>
                <w:lang w:eastAsia="zh-CN"/>
              </w:rPr>
              <w:t>技改</w:t>
            </w:r>
            <w:r>
              <w:rPr>
                <w:rFonts w:hint="default" w:ascii="Times New Roman" w:hAnsi="Times New Roman" w:cs="Times New Roman"/>
                <w:sz w:val="24"/>
                <w:lang w:val="en-US" w:eastAsia="zh-CN"/>
              </w:rPr>
              <w:t>后全厂</w:t>
            </w:r>
            <w:r>
              <w:rPr>
                <w:rFonts w:hint="default" w:ascii="Times New Roman" w:hAnsi="Times New Roman" w:eastAsia="宋体" w:cs="Times New Roman"/>
                <w:sz w:val="24"/>
                <w:lang w:eastAsia="zh-CN"/>
              </w:rPr>
              <w:t>生产设施变化情况见表2-</w:t>
            </w:r>
            <w:r>
              <w:rPr>
                <w:rFonts w:hint="default" w:ascii="Times New Roman" w:hAnsi="Times New Roman" w:eastAsia="宋体" w:cs="Times New Roman"/>
                <w:sz w:val="24"/>
                <w:lang w:val="en-US" w:eastAsia="zh-CN"/>
              </w:rPr>
              <w:t>6</w:t>
            </w:r>
            <w:r>
              <w:rPr>
                <w:rFonts w:hint="default" w:ascii="Times New Roman" w:hAnsi="Times New Roman" w:eastAsia="宋体" w:cs="Times New Roman"/>
                <w:sz w:val="24"/>
                <w:lang w:eastAsia="zh-CN"/>
              </w:rPr>
              <w:t>。</w:t>
            </w:r>
          </w:p>
          <w:p>
            <w:pPr>
              <w:keepNext w:val="0"/>
              <w:keepLines w:val="0"/>
              <w:pageBreakBefore w:val="0"/>
              <w:widowControl w:val="0"/>
              <w:tabs>
                <w:tab w:val="left" w:pos="5142"/>
              </w:tabs>
              <w:kinsoku/>
              <w:wordWrap/>
              <w:overflowPunct/>
              <w:topLinePunct w:val="0"/>
              <w:autoSpaceDE/>
              <w:autoSpaceDN/>
              <w:bidi w:val="0"/>
              <w:adjustRightInd/>
              <w:snapToGrid w:val="0"/>
              <w:spacing w:line="460" w:lineRule="exact"/>
              <w:jc w:val="center"/>
              <w:textAlignment w:val="auto"/>
              <w:rPr>
                <w:rFonts w:hint="default" w:ascii="Times New Roman" w:hAnsi="Times New Roman" w:cs="Times New Roman" w:eastAsiaTheme="majorEastAsia"/>
                <w:b/>
                <w:bCs/>
                <w:sz w:val="21"/>
                <w:szCs w:val="21"/>
                <w:lang w:eastAsia="zh-CN"/>
              </w:rPr>
            </w:pPr>
            <w:r>
              <w:rPr>
                <w:rFonts w:hint="default" w:ascii="Times New Roman" w:hAnsi="Times New Roman" w:cs="Times New Roman" w:eastAsiaTheme="majorEastAsia"/>
                <w:b/>
                <w:bCs/>
                <w:sz w:val="21"/>
                <w:szCs w:val="21"/>
                <w:lang w:eastAsia="zh-CN"/>
              </w:rPr>
              <w:t>表2-</w:t>
            </w:r>
            <w:r>
              <w:rPr>
                <w:rFonts w:hint="default" w:ascii="Times New Roman" w:hAnsi="Times New Roman" w:cs="Times New Roman" w:eastAsiaTheme="majorEastAsia"/>
                <w:b/>
                <w:bCs/>
                <w:sz w:val="21"/>
                <w:szCs w:val="21"/>
                <w:lang w:val="en-US" w:eastAsia="zh-CN"/>
              </w:rPr>
              <w:t>6</w:t>
            </w:r>
            <w:r>
              <w:rPr>
                <w:rFonts w:hint="default" w:ascii="Times New Roman" w:hAnsi="Times New Roman" w:cs="Times New Roman" w:eastAsiaTheme="majorEastAsia"/>
                <w:b/>
                <w:bCs/>
                <w:sz w:val="21"/>
                <w:szCs w:val="21"/>
                <w:lang w:eastAsia="zh-CN"/>
              </w:rPr>
              <w:t xml:space="preserve">  技改</w:t>
            </w:r>
            <w:r>
              <w:rPr>
                <w:rFonts w:hint="default" w:ascii="Times New Roman" w:hAnsi="Times New Roman" w:cs="Times New Roman" w:eastAsiaTheme="majorEastAsia"/>
                <w:b/>
                <w:bCs/>
                <w:sz w:val="21"/>
                <w:szCs w:val="21"/>
                <w:lang w:val="en-US" w:eastAsia="zh-CN"/>
              </w:rPr>
              <w:t>后全厂</w:t>
            </w:r>
            <w:r>
              <w:rPr>
                <w:rFonts w:hint="default" w:ascii="Times New Roman" w:hAnsi="Times New Roman" w:cs="Times New Roman" w:eastAsiaTheme="majorEastAsia"/>
                <w:b/>
                <w:bCs/>
                <w:sz w:val="21"/>
                <w:szCs w:val="21"/>
                <w:lang w:eastAsia="zh-CN"/>
              </w:rPr>
              <w:t>生产设施变化情况一览表</w:t>
            </w:r>
          </w:p>
          <w:tbl>
            <w:tblPr>
              <w:tblStyle w:val="23"/>
              <w:tblW w:w="83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508"/>
              <w:gridCol w:w="2278"/>
              <w:gridCol w:w="789"/>
              <w:gridCol w:w="1087"/>
              <w:gridCol w:w="1087"/>
              <w:gridCol w:w="10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62" w:type="dxa"/>
                  <w:vMerge w:val="restart"/>
                  <w:tcBorders>
                    <w:tl2br w:val="nil"/>
                    <w:tr2bl w:val="nil"/>
                  </w:tcBorders>
                  <w:vAlign w:val="center"/>
                </w:tcPr>
                <w:p>
                  <w:pPr>
                    <w:widowControl/>
                    <w:adjustRightInd w:val="0"/>
                    <w:snapToGrid w:val="0"/>
                    <w:ind w:left="-110" w:leftChars="-50" w:right="-110" w:rightChars="-5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序号</w:t>
                  </w:r>
                </w:p>
              </w:tc>
              <w:tc>
                <w:tcPr>
                  <w:tcW w:w="1508" w:type="dxa"/>
                  <w:vMerge w:val="restart"/>
                  <w:tcBorders>
                    <w:tl2br w:val="nil"/>
                    <w:tr2bl w:val="nil"/>
                  </w:tcBorders>
                  <w:vAlign w:val="center"/>
                </w:tcPr>
                <w:p>
                  <w:pPr>
                    <w:widowControl/>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设备名称</w:t>
                  </w:r>
                </w:p>
              </w:tc>
              <w:tc>
                <w:tcPr>
                  <w:tcW w:w="2278" w:type="dxa"/>
                  <w:vMerge w:val="restart"/>
                  <w:tcBorders>
                    <w:tl2br w:val="nil"/>
                    <w:tr2bl w:val="nil"/>
                  </w:tcBorders>
                  <w:vAlign w:val="center"/>
                </w:tcPr>
                <w:p>
                  <w:pPr>
                    <w:widowControl/>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设备型号</w:t>
                  </w:r>
                </w:p>
              </w:tc>
              <w:tc>
                <w:tcPr>
                  <w:tcW w:w="4050" w:type="dxa"/>
                  <w:gridSpan w:val="4"/>
                  <w:tcBorders>
                    <w:tl2br w:val="nil"/>
                    <w:tr2bl w:val="nil"/>
                  </w:tcBorders>
                  <w:vAlign w:val="center"/>
                </w:tcPr>
                <w:p>
                  <w:pPr>
                    <w:widowControl/>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62" w:type="dxa"/>
                  <w:vMerge w:val="continue"/>
                  <w:tcBorders>
                    <w:tl2br w:val="nil"/>
                    <w:tr2bl w:val="nil"/>
                  </w:tcBorders>
                  <w:vAlign w:val="center"/>
                </w:tcPr>
                <w:p>
                  <w:pPr>
                    <w:widowControl/>
                    <w:adjustRightInd w:val="0"/>
                    <w:snapToGrid w:val="0"/>
                    <w:jc w:val="center"/>
                    <w:rPr>
                      <w:rFonts w:hint="default" w:ascii="Times New Roman" w:hAnsi="Times New Roman" w:eastAsia="宋体" w:cs="Times New Roman"/>
                      <w:b/>
                      <w:bCs/>
                      <w:color w:val="auto"/>
                      <w:sz w:val="21"/>
                      <w:szCs w:val="21"/>
                    </w:rPr>
                  </w:pPr>
                </w:p>
              </w:tc>
              <w:tc>
                <w:tcPr>
                  <w:tcW w:w="1508" w:type="dxa"/>
                  <w:vMerge w:val="continue"/>
                  <w:tcBorders>
                    <w:tl2br w:val="nil"/>
                    <w:tr2bl w:val="nil"/>
                  </w:tcBorders>
                  <w:vAlign w:val="center"/>
                </w:tcPr>
                <w:p>
                  <w:pPr>
                    <w:widowControl/>
                    <w:adjustRightInd w:val="0"/>
                    <w:snapToGrid w:val="0"/>
                    <w:jc w:val="center"/>
                    <w:rPr>
                      <w:rFonts w:hint="default" w:ascii="Times New Roman" w:hAnsi="Times New Roman" w:eastAsia="宋体" w:cs="Times New Roman"/>
                      <w:b/>
                      <w:bCs/>
                      <w:color w:val="auto"/>
                      <w:sz w:val="21"/>
                      <w:szCs w:val="21"/>
                    </w:rPr>
                  </w:pPr>
                </w:p>
              </w:tc>
              <w:tc>
                <w:tcPr>
                  <w:tcW w:w="2278" w:type="dxa"/>
                  <w:vMerge w:val="continue"/>
                  <w:tcBorders>
                    <w:tl2br w:val="nil"/>
                    <w:tr2bl w:val="nil"/>
                  </w:tcBorders>
                  <w:vAlign w:val="center"/>
                </w:tcPr>
                <w:p>
                  <w:pPr>
                    <w:widowControl/>
                    <w:adjustRightInd w:val="0"/>
                    <w:snapToGrid w:val="0"/>
                    <w:jc w:val="center"/>
                    <w:rPr>
                      <w:rFonts w:hint="default" w:ascii="Times New Roman" w:hAnsi="Times New Roman" w:eastAsia="宋体" w:cs="Times New Roman"/>
                      <w:b/>
                      <w:bCs/>
                      <w:color w:val="auto"/>
                      <w:sz w:val="21"/>
                      <w:szCs w:val="21"/>
                    </w:rPr>
                  </w:pPr>
                </w:p>
              </w:tc>
              <w:tc>
                <w:tcPr>
                  <w:tcW w:w="789" w:type="dxa"/>
                  <w:tcBorders>
                    <w:tl2br w:val="nil"/>
                    <w:tr2bl w:val="nil"/>
                  </w:tcBorders>
                  <w:vAlign w:val="center"/>
                </w:tcPr>
                <w:p>
                  <w:pPr>
                    <w:widowControl/>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现有</w:t>
                  </w:r>
                </w:p>
              </w:tc>
              <w:tc>
                <w:tcPr>
                  <w:tcW w:w="1087" w:type="dxa"/>
                  <w:tcBorders>
                    <w:tl2br w:val="nil"/>
                    <w:tr2bl w:val="nil"/>
                  </w:tcBorders>
                  <w:vAlign w:val="center"/>
                </w:tcPr>
                <w:p>
                  <w:pPr>
                    <w:widowControl/>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技改后</w:t>
                  </w:r>
                </w:p>
              </w:tc>
              <w:tc>
                <w:tcPr>
                  <w:tcW w:w="1087" w:type="dxa"/>
                  <w:tcBorders>
                    <w:tl2br w:val="nil"/>
                    <w:tr2bl w:val="nil"/>
                  </w:tcBorders>
                  <w:vAlign w:val="center"/>
                </w:tcPr>
                <w:p>
                  <w:pPr>
                    <w:widowControl/>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全厂</w:t>
                  </w:r>
                </w:p>
              </w:tc>
              <w:tc>
                <w:tcPr>
                  <w:tcW w:w="1087" w:type="dxa"/>
                  <w:tcBorders>
                    <w:tl2br w:val="nil"/>
                    <w:tr2bl w:val="nil"/>
                  </w:tcBorders>
                  <w:vAlign w:val="center"/>
                </w:tcPr>
                <w:p>
                  <w:pPr>
                    <w:widowControl/>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62" w:type="dxa"/>
                  <w:tcBorders>
                    <w:tl2br w:val="nil"/>
                    <w:tr2bl w:val="nil"/>
                  </w:tcBorders>
                  <w:vAlign w:val="center"/>
                </w:tcPr>
                <w:p>
                  <w:pPr>
                    <w:tabs>
                      <w:tab w:val="left" w:pos="600"/>
                    </w:tabs>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1</w:t>
                  </w:r>
                </w:p>
              </w:tc>
              <w:tc>
                <w:tcPr>
                  <w:tcW w:w="1508"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拉丝</w:t>
                  </w:r>
                  <w:r>
                    <w:rPr>
                      <w:rFonts w:hint="default" w:ascii="Times New Roman" w:hAnsi="Times New Roman" w:cs="Times New Roman"/>
                      <w:color w:val="auto"/>
                      <w:sz w:val="21"/>
                      <w:szCs w:val="21"/>
                    </w:rPr>
                    <w:t>机</w:t>
                  </w:r>
                </w:p>
              </w:tc>
              <w:tc>
                <w:tcPr>
                  <w:tcW w:w="2278"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CC1100-700</w:t>
                  </w:r>
                </w:p>
              </w:tc>
              <w:tc>
                <w:tcPr>
                  <w:tcW w:w="789"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rPr>
                    <w:t>1</w:t>
                  </w:r>
                  <w:r>
                    <w:rPr>
                      <w:rFonts w:hint="default" w:ascii="Times New Roman" w:hAnsi="Times New Roman" w:cs="Times New Roman"/>
                      <w:color w:val="auto"/>
                      <w:kern w:val="0"/>
                      <w:sz w:val="21"/>
                      <w:szCs w:val="21"/>
                      <w:lang w:val="en-US" w:eastAsia="zh-CN"/>
                    </w:rPr>
                    <w:t>套</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rPr>
                    <w:t>1</w:t>
                  </w:r>
                  <w:r>
                    <w:rPr>
                      <w:rFonts w:hint="default" w:ascii="Times New Roman" w:hAnsi="Times New Roman" w:cs="Times New Roman"/>
                      <w:color w:val="auto"/>
                      <w:kern w:val="0"/>
                      <w:sz w:val="21"/>
                      <w:szCs w:val="21"/>
                      <w:lang w:val="en-US" w:eastAsia="zh-CN"/>
                    </w:rPr>
                    <w:t>套</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rPr>
                    <w:t>1</w:t>
                  </w:r>
                  <w:r>
                    <w:rPr>
                      <w:rFonts w:hint="default" w:ascii="Times New Roman" w:hAnsi="Times New Roman" w:cs="Times New Roman"/>
                      <w:color w:val="auto"/>
                      <w:kern w:val="0"/>
                      <w:sz w:val="21"/>
                      <w:szCs w:val="21"/>
                      <w:lang w:val="en-US" w:eastAsia="zh-CN"/>
                    </w:rPr>
                    <w:t>套</w:t>
                  </w:r>
                </w:p>
              </w:tc>
              <w:tc>
                <w:tcPr>
                  <w:tcW w:w="1087"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62" w:type="dxa"/>
                  <w:tcBorders>
                    <w:tl2br w:val="nil"/>
                    <w:tr2bl w:val="nil"/>
                  </w:tcBorders>
                  <w:vAlign w:val="center"/>
                </w:tcPr>
                <w:p>
                  <w:pPr>
                    <w:tabs>
                      <w:tab w:val="left" w:pos="600"/>
                    </w:tabs>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1.1</w:t>
                  </w:r>
                </w:p>
              </w:tc>
              <w:tc>
                <w:tcPr>
                  <w:tcW w:w="1508" w:type="dxa"/>
                  <w:tcBorders>
                    <w:tl2br w:val="nil"/>
                    <w:tr2bl w:val="nil"/>
                  </w:tcBorders>
                  <w:vAlign w:val="center"/>
                </w:tcPr>
                <w:p>
                  <w:pPr>
                    <w:adjustRightInd w:val="0"/>
                    <w:snapToGrid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sz w:val="21"/>
                      <w:szCs w:val="21"/>
                      <w:lang w:val="en-US" w:eastAsia="zh-CN"/>
                    </w:rPr>
                    <w:t>干燥机</w:t>
                  </w:r>
                </w:p>
              </w:tc>
              <w:tc>
                <w:tcPr>
                  <w:tcW w:w="2278"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sz w:val="21"/>
                      <w:szCs w:val="21"/>
                      <w:lang w:val="en-US" w:eastAsia="zh-CN"/>
                    </w:rPr>
                    <w:t>-</w:t>
                  </w:r>
                </w:p>
              </w:tc>
              <w:tc>
                <w:tcPr>
                  <w:tcW w:w="789"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62" w:type="dxa"/>
                  <w:tcBorders>
                    <w:tl2br w:val="nil"/>
                    <w:tr2bl w:val="nil"/>
                  </w:tcBorders>
                  <w:vAlign w:val="center"/>
                </w:tcPr>
                <w:p>
                  <w:pPr>
                    <w:tabs>
                      <w:tab w:val="left" w:pos="600"/>
                    </w:tabs>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1.2</w:t>
                  </w:r>
                </w:p>
              </w:tc>
              <w:tc>
                <w:tcPr>
                  <w:tcW w:w="1508"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热熔挤出机</w:t>
                  </w:r>
                </w:p>
              </w:tc>
              <w:tc>
                <w:tcPr>
                  <w:tcW w:w="2278"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w:t>
                  </w:r>
                </w:p>
              </w:tc>
              <w:tc>
                <w:tcPr>
                  <w:tcW w:w="789"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562" w:type="dxa"/>
                  <w:tcBorders>
                    <w:tl2br w:val="nil"/>
                    <w:tr2bl w:val="nil"/>
                  </w:tcBorders>
                  <w:vAlign w:val="center"/>
                </w:tcPr>
                <w:p>
                  <w:pPr>
                    <w:tabs>
                      <w:tab w:val="left" w:pos="600"/>
                    </w:tabs>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1.3</w:t>
                  </w:r>
                </w:p>
              </w:tc>
              <w:tc>
                <w:tcPr>
                  <w:tcW w:w="1508"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牵伸烘箱</w:t>
                  </w:r>
                </w:p>
              </w:tc>
              <w:tc>
                <w:tcPr>
                  <w:tcW w:w="2278"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w:t>
                  </w:r>
                </w:p>
              </w:tc>
              <w:tc>
                <w:tcPr>
                  <w:tcW w:w="789"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62" w:type="dxa"/>
                  <w:tcBorders>
                    <w:tl2br w:val="nil"/>
                    <w:tr2bl w:val="nil"/>
                  </w:tcBorders>
                  <w:vAlign w:val="center"/>
                </w:tcPr>
                <w:p>
                  <w:pPr>
                    <w:tabs>
                      <w:tab w:val="left" w:pos="600"/>
                    </w:tabs>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1.4</w:t>
                  </w:r>
                </w:p>
              </w:tc>
              <w:tc>
                <w:tcPr>
                  <w:tcW w:w="1508"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定型烘箱</w:t>
                  </w:r>
                </w:p>
              </w:tc>
              <w:tc>
                <w:tcPr>
                  <w:tcW w:w="2278"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w:t>
                  </w:r>
                </w:p>
              </w:tc>
              <w:tc>
                <w:tcPr>
                  <w:tcW w:w="789"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562" w:type="dxa"/>
                  <w:tcBorders>
                    <w:tl2br w:val="nil"/>
                    <w:tr2bl w:val="nil"/>
                  </w:tcBorders>
                  <w:vAlign w:val="center"/>
                </w:tcPr>
                <w:p>
                  <w:pPr>
                    <w:tabs>
                      <w:tab w:val="left" w:pos="600"/>
                    </w:tabs>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1.5</w:t>
                  </w:r>
                </w:p>
              </w:tc>
              <w:tc>
                <w:tcPr>
                  <w:tcW w:w="1508"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收卷机</w:t>
                  </w:r>
                </w:p>
              </w:tc>
              <w:tc>
                <w:tcPr>
                  <w:tcW w:w="2278"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w:t>
                  </w:r>
                </w:p>
              </w:tc>
              <w:tc>
                <w:tcPr>
                  <w:tcW w:w="789"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62" w:type="dxa"/>
                  <w:tcBorders>
                    <w:tl2br w:val="nil"/>
                    <w:tr2bl w:val="nil"/>
                  </w:tcBorders>
                  <w:vAlign w:val="center"/>
                </w:tcPr>
                <w:p>
                  <w:pPr>
                    <w:tabs>
                      <w:tab w:val="left" w:pos="600"/>
                    </w:tabs>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2</w:t>
                  </w:r>
                </w:p>
              </w:tc>
              <w:tc>
                <w:tcPr>
                  <w:tcW w:w="1508" w:type="dxa"/>
                  <w:tcBorders>
                    <w:tl2br w:val="nil"/>
                    <w:tr2bl w:val="nil"/>
                  </w:tcBorders>
                  <w:vAlign w:val="center"/>
                </w:tcPr>
                <w:p>
                  <w:pPr>
                    <w:adjustRightInd w:val="0"/>
                    <w:snapToGrid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sz w:val="21"/>
                      <w:szCs w:val="21"/>
                      <w:lang w:val="en-US" w:eastAsia="zh-CN"/>
                    </w:rPr>
                    <w:t>圆织</w:t>
                  </w:r>
                  <w:r>
                    <w:rPr>
                      <w:rFonts w:hint="default" w:ascii="Times New Roman" w:hAnsi="Times New Roman" w:cs="Times New Roman"/>
                      <w:color w:val="auto"/>
                      <w:sz w:val="21"/>
                      <w:szCs w:val="21"/>
                    </w:rPr>
                    <w:t>机</w:t>
                  </w:r>
                </w:p>
              </w:tc>
              <w:tc>
                <w:tcPr>
                  <w:tcW w:w="2278" w:type="dxa"/>
                  <w:tcBorders>
                    <w:tl2br w:val="nil"/>
                    <w:tr2bl w:val="nil"/>
                  </w:tcBorders>
                  <w:vAlign w:val="center"/>
                </w:tcPr>
                <w:p>
                  <w:pPr>
                    <w:adjustRightInd w:val="0"/>
                    <w:snapToGrid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sz w:val="21"/>
                      <w:szCs w:val="21"/>
                      <w:lang w:val="en-US" w:eastAsia="zh-CN"/>
                    </w:rPr>
                    <w:t>HLD-6S-12S</w:t>
                  </w:r>
                </w:p>
              </w:tc>
              <w:tc>
                <w:tcPr>
                  <w:tcW w:w="789"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10台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10台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10台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62" w:type="dxa"/>
                  <w:tcBorders>
                    <w:tl2br w:val="nil"/>
                    <w:tr2bl w:val="nil"/>
                  </w:tcBorders>
                  <w:vAlign w:val="center"/>
                </w:tcPr>
                <w:p>
                  <w:pPr>
                    <w:tabs>
                      <w:tab w:val="left" w:pos="600"/>
                    </w:tabs>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3</w:t>
                  </w:r>
                </w:p>
              </w:tc>
              <w:tc>
                <w:tcPr>
                  <w:tcW w:w="1508" w:type="dxa"/>
                  <w:tcBorders>
                    <w:tl2br w:val="nil"/>
                    <w:tr2bl w:val="nil"/>
                  </w:tcBorders>
                  <w:vAlign w:val="center"/>
                </w:tcPr>
                <w:p>
                  <w:pPr>
                    <w:adjustRightInd w:val="0"/>
                    <w:snapToGrid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sz w:val="21"/>
                      <w:szCs w:val="21"/>
                      <w:lang w:val="en-US" w:eastAsia="zh-CN"/>
                    </w:rPr>
                    <w:t>吊带</w:t>
                  </w:r>
                  <w:r>
                    <w:rPr>
                      <w:rFonts w:hint="default" w:ascii="Times New Roman" w:hAnsi="Times New Roman" w:cs="Times New Roman"/>
                      <w:color w:val="auto"/>
                      <w:sz w:val="21"/>
                      <w:szCs w:val="21"/>
                    </w:rPr>
                    <w:t>机</w:t>
                  </w:r>
                </w:p>
              </w:tc>
              <w:tc>
                <w:tcPr>
                  <w:tcW w:w="2278" w:type="dxa"/>
                  <w:tcBorders>
                    <w:tl2br w:val="nil"/>
                    <w:tr2bl w:val="nil"/>
                  </w:tcBorders>
                  <w:vAlign w:val="center"/>
                </w:tcPr>
                <w:p>
                  <w:pPr>
                    <w:adjustRightInd w:val="0"/>
                    <w:snapToGrid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sz w:val="21"/>
                      <w:szCs w:val="21"/>
                      <w:lang w:val="en-US" w:eastAsia="zh-CN"/>
                    </w:rPr>
                    <w:t>-</w:t>
                  </w:r>
                </w:p>
              </w:tc>
              <w:tc>
                <w:tcPr>
                  <w:tcW w:w="789"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9台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9台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9台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62" w:type="dxa"/>
                  <w:tcBorders>
                    <w:tl2br w:val="nil"/>
                    <w:tr2bl w:val="nil"/>
                  </w:tcBorders>
                  <w:vAlign w:val="center"/>
                </w:tcPr>
                <w:p>
                  <w:pPr>
                    <w:tabs>
                      <w:tab w:val="left" w:pos="600"/>
                    </w:tabs>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4</w:t>
                  </w:r>
                </w:p>
              </w:tc>
              <w:tc>
                <w:tcPr>
                  <w:tcW w:w="1508" w:type="dxa"/>
                  <w:tcBorders>
                    <w:tl2br w:val="nil"/>
                    <w:tr2bl w:val="nil"/>
                  </w:tcBorders>
                  <w:vAlign w:val="center"/>
                </w:tcPr>
                <w:p>
                  <w:pPr>
                    <w:adjustRightInd w:val="0"/>
                    <w:snapToGrid w:val="0"/>
                    <w:jc w:val="center"/>
                    <w:rPr>
                      <w:rFonts w:hint="default" w:ascii="Times New Roman" w:hAnsi="Times New Roman" w:eastAsia="宋体" w:cs="Times New Roman"/>
                      <w:b/>
                      <w:bCs/>
                      <w:color w:val="auto"/>
                      <w:kern w:val="0"/>
                      <w:sz w:val="21"/>
                      <w:szCs w:val="21"/>
                      <w:lang w:val="en-US" w:eastAsia="zh-CN"/>
                    </w:rPr>
                  </w:pPr>
                  <w:r>
                    <w:rPr>
                      <w:rFonts w:hint="default" w:ascii="Times New Roman" w:hAnsi="Times New Roman" w:cs="Times New Roman"/>
                      <w:b/>
                      <w:bCs/>
                      <w:color w:val="auto"/>
                      <w:sz w:val="21"/>
                      <w:szCs w:val="21"/>
                      <w:lang w:val="en-US" w:eastAsia="zh-CN"/>
                    </w:rPr>
                    <w:t>缝纫</w:t>
                  </w:r>
                  <w:r>
                    <w:rPr>
                      <w:rFonts w:hint="default" w:ascii="Times New Roman" w:hAnsi="Times New Roman" w:cs="Times New Roman"/>
                      <w:b/>
                      <w:bCs/>
                      <w:color w:val="auto"/>
                      <w:sz w:val="21"/>
                      <w:szCs w:val="21"/>
                    </w:rPr>
                    <w:t>机</w:t>
                  </w:r>
                  <w:r>
                    <w:rPr>
                      <w:rFonts w:hint="default" w:ascii="Times New Roman" w:hAnsi="Times New Roman" w:cs="Times New Roman"/>
                      <w:b/>
                      <w:bCs/>
                      <w:color w:val="auto"/>
                      <w:sz w:val="21"/>
                      <w:szCs w:val="21"/>
                      <w:lang w:val="en-US" w:eastAsia="zh-CN"/>
                    </w:rPr>
                    <w:t>*</w:t>
                  </w:r>
                </w:p>
              </w:tc>
              <w:tc>
                <w:tcPr>
                  <w:tcW w:w="2278" w:type="dxa"/>
                  <w:tcBorders>
                    <w:tl2br w:val="nil"/>
                    <w:tr2bl w:val="nil"/>
                  </w:tcBorders>
                  <w:vAlign w:val="center"/>
                </w:tcPr>
                <w:p>
                  <w:pPr>
                    <w:jc w:val="center"/>
                    <w:rPr>
                      <w:rFonts w:hint="default" w:ascii="Times New Roman" w:hAnsi="Times New Roman" w:cs="Times New Roman"/>
                      <w:b/>
                      <w:bCs/>
                      <w:color w:val="auto"/>
                      <w:kern w:val="0"/>
                      <w:sz w:val="21"/>
                      <w:szCs w:val="21"/>
                      <w:lang w:val="en-US" w:eastAsia="zh-CN"/>
                    </w:rPr>
                  </w:pPr>
                  <w:r>
                    <w:rPr>
                      <w:rFonts w:hint="default" w:ascii="Times New Roman" w:hAnsi="Times New Roman" w:cs="Times New Roman"/>
                      <w:b/>
                      <w:bCs/>
                      <w:color w:val="auto"/>
                      <w:sz w:val="21"/>
                      <w:szCs w:val="21"/>
                      <w:lang w:val="en-US" w:eastAsia="zh-CN"/>
                    </w:rPr>
                    <w:t>SGB4-1、直驱、双针、双针锁边、255等</w:t>
                  </w:r>
                </w:p>
              </w:tc>
              <w:tc>
                <w:tcPr>
                  <w:tcW w:w="789" w:type="dxa"/>
                  <w:tcBorders>
                    <w:tl2br w:val="nil"/>
                    <w:tr2bl w:val="nil"/>
                  </w:tcBorders>
                  <w:vAlign w:val="center"/>
                </w:tcPr>
                <w:p>
                  <w:pPr>
                    <w:jc w:val="center"/>
                    <w:rPr>
                      <w:rFonts w:hint="default" w:ascii="Times New Roman" w:hAnsi="Times New Roman" w:eastAsia="宋体"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10台</w:t>
                  </w:r>
                </w:p>
              </w:tc>
              <w:tc>
                <w:tcPr>
                  <w:tcW w:w="1087" w:type="dxa"/>
                  <w:tcBorders>
                    <w:tl2br w:val="nil"/>
                    <w:tr2bl w:val="nil"/>
                  </w:tcBorders>
                  <w:vAlign w:val="center"/>
                </w:tcPr>
                <w:p>
                  <w:pPr>
                    <w:jc w:val="center"/>
                    <w:rPr>
                      <w:rFonts w:hint="default" w:ascii="Times New Roman" w:hAnsi="Times New Roman"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50台</w:t>
                  </w:r>
                </w:p>
              </w:tc>
              <w:tc>
                <w:tcPr>
                  <w:tcW w:w="1087" w:type="dxa"/>
                  <w:tcBorders>
                    <w:tl2br w:val="nil"/>
                    <w:tr2bl w:val="nil"/>
                  </w:tcBorders>
                  <w:vAlign w:val="center"/>
                </w:tcPr>
                <w:p>
                  <w:pPr>
                    <w:jc w:val="center"/>
                    <w:rPr>
                      <w:rFonts w:hint="default" w:ascii="Times New Roman" w:hAnsi="Times New Roman"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50台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62" w:type="dxa"/>
                  <w:tcBorders>
                    <w:tl2br w:val="nil"/>
                    <w:tr2bl w:val="nil"/>
                  </w:tcBorders>
                  <w:vAlign w:val="center"/>
                </w:tcPr>
                <w:p>
                  <w:pPr>
                    <w:tabs>
                      <w:tab w:val="left" w:pos="600"/>
                    </w:tabs>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5</w:t>
                  </w:r>
                </w:p>
              </w:tc>
              <w:tc>
                <w:tcPr>
                  <w:tcW w:w="1508" w:type="dxa"/>
                  <w:tcBorders>
                    <w:tl2br w:val="nil"/>
                    <w:tr2bl w:val="nil"/>
                  </w:tcBorders>
                  <w:vAlign w:val="center"/>
                </w:tcPr>
                <w:p>
                  <w:pPr>
                    <w:adjustRightInd w:val="0"/>
                    <w:snapToGrid w:val="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sz w:val="21"/>
                      <w:szCs w:val="21"/>
                      <w:lang w:val="en-US" w:eastAsia="zh-CN"/>
                    </w:rPr>
                    <w:t>打包</w:t>
                  </w:r>
                  <w:r>
                    <w:rPr>
                      <w:rFonts w:hint="default" w:ascii="Times New Roman" w:hAnsi="Times New Roman" w:cs="Times New Roman"/>
                      <w:color w:val="auto"/>
                      <w:sz w:val="21"/>
                      <w:szCs w:val="21"/>
                    </w:rPr>
                    <w:t>机</w:t>
                  </w:r>
                </w:p>
              </w:tc>
              <w:tc>
                <w:tcPr>
                  <w:tcW w:w="2278"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sz w:val="21"/>
                      <w:szCs w:val="21"/>
                      <w:lang w:val="en-US" w:eastAsia="zh-CN"/>
                    </w:rPr>
                    <w:t>GH3</w:t>
                  </w:r>
                </w:p>
              </w:tc>
              <w:tc>
                <w:tcPr>
                  <w:tcW w:w="789"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62" w:type="dxa"/>
                  <w:tcBorders>
                    <w:tl2br w:val="nil"/>
                    <w:tr2bl w:val="nil"/>
                  </w:tcBorders>
                  <w:vAlign w:val="center"/>
                </w:tcPr>
                <w:p>
                  <w:pPr>
                    <w:tabs>
                      <w:tab w:val="left" w:pos="600"/>
                    </w:tabs>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6</w:t>
                  </w:r>
                </w:p>
              </w:tc>
              <w:tc>
                <w:tcPr>
                  <w:tcW w:w="1508"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拉力测试机</w:t>
                  </w:r>
                </w:p>
              </w:tc>
              <w:tc>
                <w:tcPr>
                  <w:tcW w:w="2278" w:type="dxa"/>
                  <w:tcBorders>
                    <w:tl2br w:val="nil"/>
                    <w:tr2bl w:val="nil"/>
                  </w:tcBorders>
                  <w:vAlign w:val="center"/>
                </w:tcPr>
                <w:p>
                  <w:pPr>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sz w:val="21"/>
                      <w:szCs w:val="21"/>
                      <w:lang w:val="en-US" w:eastAsia="zh-CN"/>
                    </w:rPr>
                    <w:t>-</w:t>
                  </w:r>
                </w:p>
              </w:tc>
              <w:tc>
                <w:tcPr>
                  <w:tcW w:w="789" w:type="dxa"/>
                  <w:tcBorders>
                    <w:tl2br w:val="nil"/>
                    <w:tr2bl w:val="nil"/>
                  </w:tcBorders>
                  <w:vAlign w:val="center"/>
                </w:tcPr>
                <w:p>
                  <w:pPr>
                    <w:adjustRightInd w:val="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62" w:type="dxa"/>
                  <w:tcBorders>
                    <w:tl2br w:val="nil"/>
                    <w:tr2bl w:val="nil"/>
                  </w:tcBorders>
                  <w:vAlign w:val="center"/>
                </w:tcPr>
                <w:p>
                  <w:pPr>
                    <w:tabs>
                      <w:tab w:val="left" w:pos="600"/>
                    </w:tabs>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val="en-US" w:eastAsia="zh-CN"/>
                    </w:rPr>
                    <w:t>7</w:t>
                  </w:r>
                </w:p>
              </w:tc>
              <w:tc>
                <w:tcPr>
                  <w:tcW w:w="1508" w:type="dxa"/>
                  <w:tcBorders>
                    <w:tl2br w:val="nil"/>
                    <w:tr2bl w:val="nil"/>
                  </w:tcBorders>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涂膜机</w:t>
                  </w:r>
                </w:p>
              </w:tc>
              <w:tc>
                <w:tcPr>
                  <w:tcW w:w="2278" w:type="dxa"/>
                  <w:tcBorders>
                    <w:tl2br w:val="nil"/>
                    <w:tr2bl w:val="nil"/>
                  </w:tcBorders>
                  <w:vAlign w:val="center"/>
                </w:tcPr>
                <w:p>
                  <w:pPr>
                    <w:adjustRightInd w:val="0"/>
                    <w:snapToGrid w:val="0"/>
                    <w:jc w:val="center"/>
                    <w:rPr>
                      <w:rFonts w:hint="default" w:ascii="Times New Roman" w:hAnsi="Times New Roman" w:cs="Times New Roman"/>
                      <w:b/>
                      <w:bCs/>
                      <w:color w:val="auto"/>
                      <w:kern w:val="0"/>
                      <w:sz w:val="21"/>
                      <w:szCs w:val="21"/>
                      <w:lang w:val="en-US" w:eastAsia="zh-CN"/>
                    </w:rPr>
                  </w:pPr>
                  <w:r>
                    <w:rPr>
                      <w:rFonts w:hint="default" w:ascii="Times New Roman" w:hAnsi="Times New Roman" w:cs="Times New Roman"/>
                      <w:b/>
                      <w:bCs/>
                      <w:color w:val="auto"/>
                      <w:sz w:val="21"/>
                      <w:szCs w:val="21"/>
                      <w:lang w:val="en-US" w:eastAsia="zh-CN"/>
                    </w:rPr>
                    <w:t>SJF MZ2300型</w:t>
                  </w:r>
                </w:p>
              </w:tc>
              <w:tc>
                <w:tcPr>
                  <w:tcW w:w="789" w:type="dxa"/>
                  <w:tcBorders>
                    <w:tl2br w:val="nil"/>
                    <w:tr2bl w:val="nil"/>
                  </w:tcBorders>
                  <w:vAlign w:val="center"/>
                </w:tcPr>
                <w:p>
                  <w:pPr>
                    <w:adjustRightInd w:val="0"/>
                    <w:jc w:val="center"/>
                    <w:textAlignment w:val="baseline"/>
                    <w:rPr>
                      <w:rFonts w:hint="default" w:ascii="Times New Roman" w:hAnsi="Times New Roman" w:eastAsia="宋体"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0台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62" w:type="dxa"/>
                  <w:tcBorders>
                    <w:tl2br w:val="nil"/>
                    <w:tr2bl w:val="nil"/>
                  </w:tcBorders>
                  <w:vAlign w:val="center"/>
                </w:tcPr>
                <w:p>
                  <w:pPr>
                    <w:tabs>
                      <w:tab w:val="left" w:pos="600"/>
                    </w:tabs>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8</w:t>
                  </w:r>
                </w:p>
              </w:tc>
              <w:tc>
                <w:tcPr>
                  <w:tcW w:w="1508" w:type="dxa"/>
                  <w:tcBorders>
                    <w:tl2br w:val="nil"/>
                    <w:tr2bl w:val="nil"/>
                  </w:tcBorders>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吨包切印一体机</w:t>
                  </w:r>
                </w:p>
              </w:tc>
              <w:tc>
                <w:tcPr>
                  <w:tcW w:w="2278" w:type="dxa"/>
                  <w:tcBorders>
                    <w:tl2br w:val="nil"/>
                    <w:tr2bl w:val="nil"/>
                  </w:tcBorders>
                  <w:vAlign w:val="center"/>
                </w:tcPr>
                <w:p>
                  <w:pPr>
                    <w:adjustRightInd w:val="0"/>
                    <w:snapToGrid w:val="0"/>
                    <w:jc w:val="center"/>
                    <w:rPr>
                      <w:rFonts w:hint="default" w:ascii="Times New Roman" w:hAnsi="Times New Roman" w:eastAsia="宋体" w:cs="Times New Roman"/>
                      <w:b/>
                      <w:bCs/>
                      <w:color w:val="auto"/>
                      <w:kern w:val="0"/>
                      <w:sz w:val="21"/>
                      <w:szCs w:val="21"/>
                      <w:lang w:val="en-US" w:eastAsia="zh-CN"/>
                    </w:rPr>
                  </w:pPr>
                  <w:r>
                    <w:rPr>
                      <w:rFonts w:hint="default" w:ascii="Times New Roman" w:hAnsi="Times New Roman" w:cs="Times New Roman"/>
                      <w:b/>
                      <w:bCs/>
                      <w:color w:val="auto"/>
                      <w:sz w:val="21"/>
                      <w:szCs w:val="21"/>
                      <w:lang w:val="en-US" w:eastAsia="zh-CN"/>
                    </w:rPr>
                    <w:t>DBQY2200-2000-3A</w:t>
                  </w:r>
                </w:p>
              </w:tc>
              <w:tc>
                <w:tcPr>
                  <w:tcW w:w="789" w:type="dxa"/>
                  <w:tcBorders>
                    <w:tl2br w:val="nil"/>
                    <w:tr2bl w:val="nil"/>
                  </w:tcBorders>
                  <w:vAlign w:val="center"/>
                </w:tcPr>
                <w:p>
                  <w:pPr>
                    <w:adjustRightInd w:val="0"/>
                    <w:jc w:val="center"/>
                    <w:textAlignment w:val="baseline"/>
                    <w:rPr>
                      <w:rFonts w:hint="default" w:ascii="Times New Roman" w:hAnsi="Times New Roman" w:eastAsia="宋体"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0台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eastAsia="宋体"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1台</w:t>
                  </w:r>
                </w:p>
              </w:tc>
              <w:tc>
                <w:tcPr>
                  <w:tcW w:w="1087" w:type="dxa"/>
                  <w:tcBorders>
                    <w:tl2br w:val="nil"/>
                    <w:tr2bl w:val="nil"/>
                  </w:tcBorders>
                  <w:vAlign w:val="center"/>
                </w:tcPr>
                <w:p>
                  <w:pPr>
                    <w:adjustRightInd w:val="0"/>
                    <w:jc w:val="center"/>
                    <w:textAlignment w:val="baseline"/>
                    <w:rPr>
                      <w:rFonts w:hint="default" w:ascii="Times New Roman" w:hAnsi="Times New Roman"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+1</w:t>
                  </w:r>
                </w:p>
              </w:tc>
            </w:tr>
          </w:tbl>
          <w:p>
            <w:pPr>
              <w:adjustRightInd w:val="0"/>
              <w:snapToGrid w:val="0"/>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注：根据厂家的需求采取不同型号的缝纫机进行缝纫，不同时使用。</w:t>
            </w:r>
          </w:p>
          <w:p>
            <w:pPr>
              <w:spacing w:line="460" w:lineRule="exact"/>
              <w:ind w:firstLine="482" w:firstLineChars="200"/>
              <w:jc w:val="both"/>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eastAsia="zh-CN"/>
              </w:rPr>
              <w:t>6、</w:t>
            </w:r>
            <w:r>
              <w:rPr>
                <w:rFonts w:hint="default" w:ascii="Times New Roman" w:hAnsi="Times New Roman" w:eastAsia="宋体" w:cs="Times New Roman"/>
                <w:b/>
                <w:bCs/>
                <w:sz w:val="24"/>
                <w:lang w:val="en-US" w:eastAsia="zh-CN"/>
              </w:rPr>
              <w:t>水平衡分析</w:t>
            </w:r>
          </w:p>
          <w:p>
            <w:pPr>
              <w:spacing w:line="500" w:lineRule="exact"/>
              <w:ind w:firstLine="480" w:firstLineChars="200"/>
              <w:jc w:val="both"/>
              <w:rPr>
                <w:rFonts w:hint="default" w:ascii="Times New Roman" w:hAnsi="Times New Roman" w:cs="Times New Roman"/>
                <w:sz w:val="24"/>
              </w:rPr>
            </w:pPr>
            <w:r>
              <w:rPr>
                <w:rFonts w:hint="default" w:ascii="Times New Roman" w:hAnsi="Times New Roman" w:cs="Times New Roman"/>
                <w:bCs/>
                <w:sz w:val="24"/>
              </w:rPr>
              <w:t>（1）给水</w:t>
            </w:r>
          </w:p>
          <w:p>
            <w:pPr>
              <w:spacing w:line="500" w:lineRule="exact"/>
              <w:ind w:firstLine="480" w:firstLineChars="200"/>
              <w:jc w:val="both"/>
              <w:rPr>
                <w:rFonts w:hint="default" w:ascii="Times New Roman" w:hAnsi="Times New Roman" w:eastAsia="宋体" w:cs="Times New Roman"/>
                <w:sz w:val="24"/>
                <w:szCs w:val="24"/>
                <w:lang w:eastAsia="zh-CN"/>
              </w:rPr>
            </w:pPr>
            <w:r>
              <w:rPr>
                <w:rFonts w:hint="default" w:ascii="Times New Roman" w:hAnsi="Times New Roman" w:eastAsia="宋体" w:cs="Times New Roman"/>
                <w:snapToGrid w:val="0"/>
                <w:sz w:val="24"/>
                <w:szCs w:val="24"/>
                <w:lang w:eastAsia="zh-CN"/>
              </w:rPr>
              <w:t>①生活用水</w:t>
            </w:r>
          </w:p>
          <w:p>
            <w:pPr>
              <w:spacing w:line="500" w:lineRule="exact"/>
              <w:ind w:firstLine="480" w:firstLineChars="200"/>
              <w:jc w:val="both"/>
              <w:rPr>
                <w:rFonts w:hint="default" w:ascii="Times New Roman" w:hAnsi="Times New Roman" w:cs="Times New Roman"/>
                <w:kern w:val="0"/>
                <w:sz w:val="24"/>
                <w:szCs w:val="24"/>
              </w:rPr>
            </w:pPr>
            <w:r>
              <w:rPr>
                <w:rFonts w:hint="default" w:ascii="Times New Roman" w:hAnsi="Times New Roman" w:eastAsia="宋体" w:cs="Times New Roman"/>
                <w:sz w:val="24"/>
                <w:szCs w:val="24"/>
                <w:lang w:val="en-US" w:eastAsia="zh-CN"/>
              </w:rPr>
              <w:t>本</w:t>
            </w:r>
            <w:r>
              <w:rPr>
                <w:rFonts w:hint="default" w:ascii="Times New Roman" w:hAnsi="Times New Roman" w:eastAsia="宋体" w:cs="Times New Roman"/>
                <w:sz w:val="24"/>
                <w:szCs w:val="24"/>
                <w:lang w:eastAsia="zh-CN"/>
              </w:rPr>
              <w:t>项目不新增员工，</w:t>
            </w:r>
            <w:r>
              <w:rPr>
                <w:rFonts w:hint="default" w:ascii="Times New Roman" w:hAnsi="Times New Roman" w:eastAsia="宋体" w:cs="Times New Roman"/>
                <w:sz w:val="24"/>
                <w:szCs w:val="24"/>
                <w:lang w:val="en-US" w:eastAsia="zh-CN"/>
              </w:rPr>
              <w:t>利用厂区内现有工人</w:t>
            </w:r>
            <w:r>
              <w:rPr>
                <w:rFonts w:hint="default" w:ascii="Times New Roman" w:hAnsi="Times New Roman" w:cs="Times New Roman"/>
                <w:sz w:val="24"/>
                <w:szCs w:val="24"/>
                <w:lang w:val="en-US" w:eastAsia="zh-CN"/>
              </w:rPr>
              <w:t>，不新增生活用水。</w:t>
            </w:r>
          </w:p>
          <w:p>
            <w:pPr>
              <w:spacing w:line="460" w:lineRule="exact"/>
              <w:ind w:firstLine="480" w:firstLineChars="200"/>
              <w:jc w:val="both"/>
              <w:rPr>
                <w:rFonts w:hint="default" w:ascii="Times New Roman" w:hAnsi="Times New Roman" w:eastAsia="宋体" w:cs="Times New Roman"/>
                <w:snapToGrid w:val="0"/>
                <w:color w:val="auto"/>
                <w:sz w:val="24"/>
                <w:lang w:eastAsia="zh-CN"/>
              </w:rPr>
            </w:pPr>
            <w:r>
              <w:rPr>
                <w:rFonts w:hint="default" w:ascii="Times New Roman" w:hAnsi="Times New Roman" w:eastAsia="宋体" w:cs="Times New Roman"/>
                <w:snapToGrid w:val="0"/>
                <w:color w:val="auto"/>
                <w:sz w:val="24"/>
                <w:lang w:eastAsia="zh-CN"/>
              </w:rPr>
              <w:t>②生产用水</w:t>
            </w:r>
          </w:p>
          <w:p>
            <w:pPr>
              <w:spacing w:line="46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根据企业提供资料，</w:t>
            </w:r>
            <w:r>
              <w:rPr>
                <w:rFonts w:hint="default" w:ascii="Times New Roman" w:hAnsi="Times New Roman" w:cs="Times New Roman"/>
                <w:color w:val="auto"/>
                <w:sz w:val="24"/>
                <w:szCs w:val="24"/>
                <w:highlight w:val="none"/>
                <w:lang w:val="en-US" w:eastAsia="zh-CN"/>
              </w:rPr>
              <w:t>本次技改不涉及生产工艺新增用水。</w:t>
            </w:r>
          </w:p>
          <w:p>
            <w:pPr>
              <w:spacing w:line="500" w:lineRule="exact"/>
              <w:ind w:firstLine="480" w:firstLineChars="200"/>
              <w:jc w:val="both"/>
              <w:rPr>
                <w:rFonts w:hint="default" w:ascii="Times New Roman" w:hAnsi="Times New Roman" w:cs="Times New Roman"/>
                <w:bCs/>
                <w:color w:val="auto"/>
                <w:sz w:val="24"/>
              </w:rPr>
            </w:pPr>
            <w:r>
              <w:rPr>
                <w:rFonts w:hint="default" w:ascii="Times New Roman" w:hAnsi="Times New Roman" w:cs="Times New Roman"/>
                <w:bCs/>
                <w:color w:val="auto"/>
                <w:sz w:val="24"/>
              </w:rPr>
              <w:t>（2）</w:t>
            </w:r>
            <w:r>
              <w:rPr>
                <w:rFonts w:hint="default" w:ascii="Times New Roman" w:hAnsi="Times New Roman" w:cs="Times New Roman"/>
                <w:color w:val="auto"/>
                <w:sz w:val="24"/>
              </w:rPr>
              <w:t>排水</w:t>
            </w:r>
          </w:p>
          <w:p>
            <w:pPr>
              <w:spacing w:line="460" w:lineRule="exact"/>
              <w:ind w:firstLine="480" w:firstLineChars="200"/>
              <w:jc w:val="both"/>
              <w:rPr>
                <w:rFonts w:hint="default" w:ascii="Times New Roman" w:hAnsi="Times New Roman" w:eastAsia="宋体" w:cs="Times New Roman"/>
                <w:sz w:val="24"/>
                <w:lang w:eastAsia="zh-CN"/>
              </w:rPr>
            </w:pPr>
            <w:r>
              <w:rPr>
                <w:rFonts w:hint="default" w:ascii="Times New Roman" w:hAnsi="Times New Roman" w:eastAsia="宋体" w:cs="Times New Roman"/>
                <w:sz w:val="24"/>
                <w:lang w:eastAsia="zh-CN"/>
              </w:rPr>
              <w:t>本项目废水主要为生活污水。</w:t>
            </w:r>
            <w:r>
              <w:rPr>
                <w:rFonts w:hint="default" w:ascii="Times New Roman" w:hAnsi="Times New Roman" w:eastAsia="宋体" w:cs="Times New Roman"/>
                <w:sz w:val="24"/>
                <w:lang w:val="en-US" w:eastAsia="zh-CN"/>
              </w:rPr>
              <w:t>本项目不新增员工，不新增生活污水，生产过程中亦无废水外排。</w:t>
            </w:r>
          </w:p>
          <w:p>
            <w:pPr>
              <w:spacing w:line="460" w:lineRule="exact"/>
              <w:ind w:firstLine="482" w:firstLineChars="200"/>
              <w:jc w:val="both"/>
              <w:rPr>
                <w:rFonts w:hint="default" w:ascii="Times New Roman" w:hAnsi="Times New Roman" w:cs="Times New Roman" w:eastAsiaTheme="majorEastAsia"/>
                <w:sz w:val="24"/>
                <w:szCs w:val="24"/>
                <w:lang w:eastAsia="zh-CN"/>
              </w:rPr>
            </w:pPr>
            <w:r>
              <w:rPr>
                <w:rFonts w:hint="default" w:ascii="Times New Roman" w:hAnsi="Times New Roman" w:eastAsia="宋体" w:cs="Times New Roman"/>
                <w:b/>
                <w:bCs/>
                <w:sz w:val="24"/>
                <w:lang w:eastAsia="zh-CN"/>
              </w:rPr>
              <w:t>7、劳动定员及工作制度</w:t>
            </w:r>
          </w:p>
          <w:p>
            <w:pPr>
              <w:spacing w:line="460" w:lineRule="exact"/>
              <w:ind w:firstLine="480" w:firstLineChars="200"/>
              <w:jc w:val="both"/>
              <w:rPr>
                <w:rFonts w:hint="default" w:ascii="Times New Roman" w:hAnsi="Times New Roman" w:cs="Times New Roman"/>
                <w:b/>
                <w:bCs/>
                <w:sz w:val="24"/>
                <w:szCs w:val="24"/>
                <w:lang w:val="en-US" w:eastAsia="zh-CN"/>
              </w:rPr>
            </w:pPr>
            <w:r>
              <w:rPr>
                <w:rFonts w:hint="default" w:ascii="Times New Roman" w:hAnsi="Times New Roman" w:eastAsia="宋体" w:cs="Times New Roman"/>
                <w:sz w:val="24"/>
                <w:szCs w:val="24"/>
                <w:lang w:eastAsia="zh-CN"/>
              </w:rPr>
              <w:t>本项目</w:t>
            </w:r>
            <w:r>
              <w:rPr>
                <w:rFonts w:hint="default" w:ascii="Times New Roman" w:hAnsi="Times New Roman" w:eastAsia="宋体" w:cs="Times New Roman"/>
                <w:sz w:val="24"/>
                <w:szCs w:val="24"/>
                <w:lang w:val="en-US" w:eastAsia="zh-CN"/>
              </w:rPr>
              <w:t>不新增员工，利用厂区内现有工人，</w:t>
            </w:r>
            <w:r>
              <w:rPr>
                <w:rFonts w:hint="default" w:ascii="Times New Roman" w:hAnsi="Times New Roman" w:cs="Times New Roman"/>
                <w:sz w:val="24"/>
                <w:szCs w:val="24"/>
                <w:lang w:eastAsia="zh-CN"/>
              </w:rPr>
              <w:t>工人数为</w:t>
            </w:r>
            <w:r>
              <w:rPr>
                <w:rFonts w:hint="default" w:ascii="Times New Roman" w:hAnsi="Times New Roman" w:cs="Times New Roman"/>
                <w:sz w:val="24"/>
                <w:szCs w:val="24"/>
                <w:lang w:val="en-US" w:eastAsia="zh-CN"/>
              </w:rPr>
              <w:t>30</w:t>
            </w:r>
            <w:r>
              <w:rPr>
                <w:rFonts w:hint="default" w:ascii="Times New Roman" w:hAnsi="Times New Roman" w:cs="Times New Roman"/>
                <w:sz w:val="24"/>
                <w:szCs w:val="24"/>
                <w:lang w:eastAsia="zh-CN"/>
              </w:rPr>
              <w:t>人，</w:t>
            </w:r>
            <w:r>
              <w:rPr>
                <w:rFonts w:hint="default" w:ascii="Times New Roman" w:hAnsi="Times New Roman" w:cs="Times New Roman"/>
                <w:sz w:val="24"/>
                <w:szCs w:val="24"/>
                <w:lang w:val="en-US" w:eastAsia="zh-CN"/>
              </w:rPr>
              <w:t>采用两班工作</w:t>
            </w:r>
            <w:r>
              <w:rPr>
                <w:rFonts w:hint="default" w:ascii="Times New Roman" w:hAnsi="Times New Roman" w:cs="Times New Roman"/>
                <w:sz w:val="24"/>
                <w:szCs w:val="24"/>
                <w:lang w:eastAsia="zh-CN"/>
              </w:rPr>
              <w:t>制，每班8小时，</w:t>
            </w:r>
            <w:r>
              <w:rPr>
                <w:rFonts w:hint="default" w:ascii="Times New Roman" w:hAnsi="Times New Roman" w:cs="Times New Roman"/>
                <w:sz w:val="24"/>
                <w:szCs w:val="24"/>
                <w:lang w:val="en-US" w:eastAsia="zh-CN"/>
              </w:rPr>
              <w:t>全</w:t>
            </w:r>
            <w:r>
              <w:rPr>
                <w:rFonts w:hint="default" w:ascii="Times New Roman" w:hAnsi="Times New Roman" w:cs="Times New Roman"/>
                <w:sz w:val="24"/>
                <w:szCs w:val="24"/>
                <w:lang w:eastAsia="zh-CN"/>
              </w:rPr>
              <w:t>年工作约</w:t>
            </w:r>
            <w:r>
              <w:rPr>
                <w:rFonts w:hint="default" w:ascii="Times New Roman" w:hAnsi="Times New Roman" w:cs="Times New Roman"/>
                <w:sz w:val="24"/>
                <w:szCs w:val="24"/>
                <w:lang w:val="en-US" w:eastAsia="zh-CN"/>
              </w:rPr>
              <w:t>30</w:t>
            </w:r>
            <w:r>
              <w:rPr>
                <w:rFonts w:hint="default" w:ascii="Times New Roman" w:hAnsi="Times New Roman" w:cs="Times New Roman"/>
                <w:sz w:val="24"/>
                <w:szCs w:val="24"/>
                <w:lang w:eastAsia="zh-CN"/>
              </w:rPr>
              <w:t>0天，年工作</w:t>
            </w:r>
            <w:r>
              <w:rPr>
                <w:rFonts w:hint="default" w:ascii="Times New Roman" w:hAnsi="Times New Roman" w:cs="Times New Roman"/>
                <w:sz w:val="24"/>
                <w:szCs w:val="24"/>
                <w:lang w:val="en-US" w:eastAsia="zh-CN"/>
              </w:rPr>
              <w:t>4800</w:t>
            </w:r>
            <w:r>
              <w:rPr>
                <w:rFonts w:hint="default" w:ascii="Times New Roman" w:hAnsi="Times New Roman" w:cs="Times New Roman"/>
                <w:sz w:val="24"/>
                <w:szCs w:val="24"/>
                <w:lang w:eastAsia="zh-CN"/>
              </w:rPr>
              <w:t>小时。</w:t>
            </w:r>
            <w:r>
              <w:rPr>
                <w:rFonts w:hint="default" w:ascii="Times New Roman" w:hAnsi="Times New Roman" w:cs="Times New Roman"/>
                <w:sz w:val="24"/>
                <w:szCs w:val="24"/>
                <w:lang w:val="en-US" w:eastAsia="zh-CN"/>
              </w:rPr>
              <w:t>项目厂区不设置食宿。</w:t>
            </w:r>
          </w:p>
          <w:p>
            <w:pPr>
              <w:spacing w:line="460" w:lineRule="exact"/>
              <w:ind w:firstLine="482" w:firstLineChars="200"/>
              <w:jc w:val="both"/>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eastAsia="zh-CN"/>
              </w:rPr>
              <w:t>8、厂区平面布置</w:t>
            </w:r>
            <w:r>
              <w:rPr>
                <w:rFonts w:hint="default" w:ascii="Times New Roman" w:hAnsi="Times New Roman" w:cs="Times New Roman"/>
                <w:b/>
                <w:bCs/>
                <w:color w:val="auto"/>
                <w:sz w:val="24"/>
                <w:lang w:val="en-US" w:eastAsia="zh-CN"/>
              </w:rPr>
              <w:t>及周边环境概况</w:t>
            </w:r>
          </w:p>
          <w:p>
            <w:pPr>
              <w:spacing w:line="500" w:lineRule="exact"/>
              <w:ind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rPr>
              <w:t>项目</w:t>
            </w:r>
            <w:r>
              <w:rPr>
                <w:rFonts w:hint="default" w:ascii="Times New Roman" w:hAnsi="Times New Roman" w:cs="Times New Roman"/>
                <w:color w:val="auto"/>
                <w:sz w:val="24"/>
                <w:lang w:val="en-US" w:eastAsia="zh-CN"/>
              </w:rPr>
              <w:t>新</w:t>
            </w:r>
            <w:r>
              <w:rPr>
                <w:rFonts w:hint="default" w:ascii="Times New Roman" w:hAnsi="Times New Roman" w:cs="Times New Roman"/>
                <w:color w:val="auto"/>
                <w:sz w:val="24"/>
              </w:rPr>
              <w:t>租用汇中</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连云港</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装备制造有限公司内的</w:t>
            </w:r>
            <w:r>
              <w:rPr>
                <w:rFonts w:hint="default" w:ascii="Times New Roman" w:hAnsi="Times New Roman" w:cs="Times New Roman"/>
                <w:color w:val="auto"/>
                <w:sz w:val="24"/>
                <w:lang w:val="en-US" w:eastAsia="zh-CN"/>
              </w:rPr>
              <w:t>2号车间</w:t>
            </w:r>
            <w:r>
              <w:rPr>
                <w:rFonts w:hint="default" w:ascii="Times New Roman" w:hAnsi="Times New Roman" w:cs="Times New Roman"/>
                <w:color w:val="auto"/>
                <w:sz w:val="24"/>
              </w:rPr>
              <w:t>。厂区东侧为连云港晓行金属设备制造有限公司，南侧为东方大道，西侧为连云港广宇电子有限公司，北侧为东方国际集装箱(连云港)有限公司。项目500米范围内土地利用现状图见附图2。</w:t>
            </w:r>
          </w:p>
          <w:p>
            <w:pPr>
              <w:spacing w:line="500" w:lineRule="exact"/>
              <w:ind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现有</w:t>
            </w:r>
            <w:r>
              <w:rPr>
                <w:rFonts w:hint="default" w:ascii="Times New Roman" w:hAnsi="Times New Roman" w:cs="Times New Roman"/>
                <w:color w:val="auto"/>
                <w:sz w:val="24"/>
              </w:rPr>
              <w:t>项目</w:t>
            </w:r>
            <w:r>
              <w:rPr>
                <w:rFonts w:hint="default" w:ascii="Times New Roman" w:hAnsi="Times New Roman" w:cs="Times New Roman"/>
                <w:color w:val="auto"/>
                <w:sz w:val="24"/>
                <w:lang w:val="en-US" w:eastAsia="zh-CN"/>
              </w:rPr>
              <w:t>生产线主要位于1号车间</w:t>
            </w:r>
            <w:r>
              <w:rPr>
                <w:rFonts w:hint="default" w:ascii="Times New Roman" w:hAnsi="Times New Roman" w:cs="Times New Roman"/>
                <w:color w:val="auto"/>
                <w:sz w:val="24"/>
              </w:rPr>
              <w:t>，2号车间</w:t>
            </w:r>
            <w:r>
              <w:rPr>
                <w:rFonts w:hint="default" w:ascii="Times New Roman" w:hAnsi="Times New Roman" w:cs="Times New Roman"/>
                <w:color w:val="auto"/>
                <w:sz w:val="24"/>
                <w:lang w:val="en-US" w:eastAsia="zh-CN"/>
              </w:rPr>
              <w:t>主要为本次技改涉及的涂膜、印刷等工序</w:t>
            </w:r>
            <w:r>
              <w:rPr>
                <w:rFonts w:hint="default" w:ascii="Times New Roman" w:hAnsi="Times New Roman" w:cs="Times New Roman"/>
                <w:color w:val="auto"/>
                <w:sz w:val="24"/>
              </w:rPr>
              <w:t>及暂存仓库，办公区位于厂区西南侧。项目厂区总平面布置基本合理，项目</w:t>
            </w:r>
            <w:r>
              <w:rPr>
                <w:rFonts w:hint="default" w:ascii="Times New Roman" w:hAnsi="Times New Roman" w:cs="Times New Roman"/>
                <w:color w:val="auto"/>
                <w:sz w:val="24"/>
                <w:lang w:val="en-US" w:eastAsia="zh-CN"/>
              </w:rPr>
              <w:t>全厂</w:t>
            </w:r>
            <w:r>
              <w:rPr>
                <w:rFonts w:hint="default" w:ascii="Times New Roman" w:hAnsi="Times New Roman" w:cs="Times New Roman"/>
                <w:color w:val="auto"/>
                <w:sz w:val="24"/>
              </w:rPr>
              <w:t>平面布置图见附图3。</w:t>
            </w:r>
          </w:p>
          <w:p>
            <w:pPr>
              <w:spacing w:line="440" w:lineRule="exact"/>
              <w:jc w:val="center"/>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sz w:val="21"/>
                <w:szCs w:val="21"/>
              </w:rPr>
              <w:t>表2-</w:t>
            </w:r>
            <w:r>
              <w:rPr>
                <w:rFonts w:hint="default" w:ascii="Times New Roman" w:hAnsi="Times New Roman" w:eastAsia="宋体" w:cs="Times New Roman"/>
                <w:b/>
                <w:color w:val="auto"/>
                <w:sz w:val="21"/>
                <w:szCs w:val="21"/>
                <w:lang w:val="en-US" w:eastAsia="zh-CN"/>
              </w:rPr>
              <w:t>7</w:t>
            </w:r>
            <w:r>
              <w:rPr>
                <w:rFonts w:hint="default" w:ascii="Times New Roman" w:hAnsi="Times New Roman" w:eastAsia="宋体" w:cs="Times New Roman"/>
                <w:b/>
                <w:color w:val="auto"/>
                <w:sz w:val="21"/>
                <w:szCs w:val="21"/>
              </w:rPr>
              <w:t xml:space="preserve"> 主要构筑物一览表</w:t>
            </w:r>
          </w:p>
          <w:tbl>
            <w:tblPr>
              <w:tblStyle w:val="23"/>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20"/>
              <w:gridCol w:w="1307"/>
              <w:gridCol w:w="1321"/>
              <w:gridCol w:w="1223"/>
              <w:gridCol w:w="713"/>
              <w:gridCol w:w="1189"/>
              <w:gridCol w:w="15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613" w:type="pct"/>
                  <w:tcBorders>
                    <w:tl2br w:val="nil"/>
                    <w:tr2bl w:val="nil"/>
                  </w:tcBorders>
                  <w:noWrap w:val="0"/>
                  <w:vAlign w:val="center"/>
                </w:tcPr>
                <w:p>
                  <w:pPr>
                    <w:pStyle w:val="29"/>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序号</w:t>
                  </w:r>
                </w:p>
              </w:tc>
              <w:tc>
                <w:tcPr>
                  <w:tcW w:w="786" w:type="pct"/>
                  <w:tcBorders>
                    <w:tl2br w:val="nil"/>
                    <w:tr2bl w:val="nil"/>
                  </w:tcBorders>
                  <w:noWrap w:val="0"/>
                  <w:vAlign w:val="center"/>
                </w:tcPr>
                <w:p>
                  <w:pPr>
                    <w:pStyle w:val="29"/>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建、构筑物名称</w:t>
                  </w:r>
                </w:p>
              </w:tc>
              <w:tc>
                <w:tcPr>
                  <w:tcW w:w="794" w:type="pct"/>
                  <w:tcBorders>
                    <w:tl2br w:val="nil"/>
                    <w:tr2bl w:val="nil"/>
                  </w:tcBorders>
                  <w:noWrap w:val="0"/>
                  <w:vAlign w:val="center"/>
                </w:tcPr>
                <w:p>
                  <w:pPr>
                    <w:pStyle w:val="29"/>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占地面积（m</w:t>
                  </w:r>
                  <w:r>
                    <w:rPr>
                      <w:rFonts w:hint="default" w:ascii="Times New Roman" w:hAnsi="Times New Roman" w:eastAsia="宋体" w:cs="Times New Roman"/>
                      <w:b/>
                      <w:color w:val="auto"/>
                      <w:sz w:val="21"/>
                      <w:szCs w:val="21"/>
                      <w:vertAlign w:val="superscript"/>
                    </w:rPr>
                    <w:t>2</w:t>
                  </w:r>
                  <w:r>
                    <w:rPr>
                      <w:rFonts w:hint="default" w:ascii="Times New Roman" w:hAnsi="Times New Roman" w:eastAsia="宋体" w:cs="Times New Roman"/>
                      <w:b/>
                      <w:color w:val="auto"/>
                      <w:sz w:val="21"/>
                      <w:szCs w:val="21"/>
                    </w:rPr>
                    <w:t>）</w:t>
                  </w:r>
                </w:p>
              </w:tc>
              <w:tc>
                <w:tcPr>
                  <w:tcW w:w="735" w:type="pct"/>
                  <w:tcBorders>
                    <w:tl2br w:val="nil"/>
                    <w:tr2bl w:val="nil"/>
                  </w:tcBorders>
                  <w:noWrap w:val="0"/>
                  <w:vAlign w:val="center"/>
                </w:tcPr>
                <w:p>
                  <w:pPr>
                    <w:pStyle w:val="29"/>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建筑面积（m</w:t>
                  </w:r>
                  <w:r>
                    <w:rPr>
                      <w:rFonts w:hint="default" w:ascii="Times New Roman" w:hAnsi="Times New Roman" w:eastAsia="宋体" w:cs="Times New Roman"/>
                      <w:b/>
                      <w:color w:val="auto"/>
                      <w:sz w:val="21"/>
                      <w:szCs w:val="21"/>
                      <w:vertAlign w:val="superscript"/>
                    </w:rPr>
                    <w:t>2</w:t>
                  </w:r>
                  <w:r>
                    <w:rPr>
                      <w:rFonts w:hint="default" w:ascii="Times New Roman" w:hAnsi="Times New Roman" w:eastAsia="宋体" w:cs="Times New Roman"/>
                      <w:b/>
                      <w:color w:val="auto"/>
                      <w:sz w:val="21"/>
                      <w:szCs w:val="21"/>
                    </w:rPr>
                    <w:t>）</w:t>
                  </w:r>
                </w:p>
              </w:tc>
              <w:tc>
                <w:tcPr>
                  <w:tcW w:w="428" w:type="pct"/>
                  <w:tcBorders>
                    <w:tl2br w:val="nil"/>
                    <w:tr2bl w:val="nil"/>
                  </w:tcBorders>
                  <w:noWrap w:val="0"/>
                  <w:vAlign w:val="center"/>
                </w:tcPr>
                <w:p>
                  <w:pPr>
                    <w:pStyle w:val="29"/>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层数</w:t>
                  </w:r>
                </w:p>
              </w:tc>
              <w:tc>
                <w:tcPr>
                  <w:tcW w:w="715" w:type="pct"/>
                  <w:tcBorders>
                    <w:tl2br w:val="nil"/>
                    <w:tr2bl w:val="nil"/>
                  </w:tcBorders>
                  <w:noWrap w:val="0"/>
                  <w:vAlign w:val="center"/>
                </w:tcPr>
                <w:p>
                  <w:pPr>
                    <w:pStyle w:val="29"/>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结构形式</w:t>
                  </w:r>
                </w:p>
              </w:tc>
              <w:tc>
                <w:tcPr>
                  <w:tcW w:w="926" w:type="pct"/>
                  <w:tcBorders>
                    <w:tl2br w:val="nil"/>
                    <w:tr2bl w:val="nil"/>
                  </w:tcBorders>
                  <w:noWrap w:val="0"/>
                  <w:vAlign w:val="center"/>
                </w:tcPr>
                <w:p>
                  <w:pPr>
                    <w:pStyle w:val="29"/>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613"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786"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w:t>
                  </w:r>
                  <w:r>
                    <w:rPr>
                      <w:rFonts w:hint="default" w:ascii="Times New Roman" w:hAnsi="Times New Roman" w:eastAsia="宋体" w:cs="Times New Roman"/>
                      <w:color w:val="auto"/>
                      <w:sz w:val="21"/>
                      <w:szCs w:val="21"/>
                    </w:rPr>
                    <w:t>车间</w:t>
                  </w:r>
                  <w:r>
                    <w:rPr>
                      <w:rFonts w:hint="default" w:ascii="Times New Roman" w:hAnsi="Times New Roman" w:eastAsia="宋体" w:cs="Times New Roman"/>
                      <w:color w:val="auto"/>
                      <w:sz w:val="21"/>
                      <w:szCs w:val="21"/>
                      <w:lang w:val="en-US" w:eastAsia="zh-CN"/>
                    </w:rPr>
                    <w:t>1</w:t>
                  </w:r>
                </w:p>
              </w:tc>
              <w:tc>
                <w:tcPr>
                  <w:tcW w:w="794"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5100</w:t>
                  </w:r>
                </w:p>
              </w:tc>
              <w:tc>
                <w:tcPr>
                  <w:tcW w:w="73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5100</w:t>
                  </w:r>
                </w:p>
              </w:tc>
              <w:tc>
                <w:tcPr>
                  <w:tcW w:w="428"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71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钢结构</w:t>
                  </w:r>
                </w:p>
              </w:tc>
              <w:tc>
                <w:tcPr>
                  <w:tcW w:w="92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现有项目生产车间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613"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w:t>
                  </w:r>
                </w:p>
              </w:tc>
              <w:tc>
                <w:tcPr>
                  <w:tcW w:w="78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原料库</w:t>
                  </w:r>
                </w:p>
              </w:tc>
              <w:tc>
                <w:tcPr>
                  <w:tcW w:w="794"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850</w:t>
                  </w:r>
                </w:p>
              </w:tc>
              <w:tc>
                <w:tcPr>
                  <w:tcW w:w="73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850</w:t>
                  </w:r>
                </w:p>
              </w:tc>
              <w:tc>
                <w:tcPr>
                  <w:tcW w:w="428"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1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2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613"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78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成品库</w:t>
                  </w:r>
                </w:p>
              </w:tc>
              <w:tc>
                <w:tcPr>
                  <w:tcW w:w="794"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800</w:t>
                  </w:r>
                </w:p>
              </w:tc>
              <w:tc>
                <w:tcPr>
                  <w:tcW w:w="73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800</w:t>
                  </w:r>
                </w:p>
              </w:tc>
              <w:tc>
                <w:tcPr>
                  <w:tcW w:w="428"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1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2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613"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w:t>
                  </w:r>
                </w:p>
              </w:tc>
              <w:tc>
                <w:tcPr>
                  <w:tcW w:w="78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生产加工区</w:t>
                  </w:r>
                </w:p>
              </w:tc>
              <w:tc>
                <w:tcPr>
                  <w:tcW w:w="794"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2100</w:t>
                  </w:r>
                </w:p>
              </w:tc>
              <w:tc>
                <w:tcPr>
                  <w:tcW w:w="73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2100</w:t>
                  </w:r>
                </w:p>
              </w:tc>
              <w:tc>
                <w:tcPr>
                  <w:tcW w:w="428"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1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2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热熔模压、抽丝、圆织等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613"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w:t>
                  </w:r>
                </w:p>
              </w:tc>
              <w:tc>
                <w:tcPr>
                  <w:tcW w:w="78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其他</w:t>
                  </w:r>
                </w:p>
              </w:tc>
              <w:tc>
                <w:tcPr>
                  <w:tcW w:w="794"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1350</w:t>
                  </w:r>
                </w:p>
              </w:tc>
              <w:tc>
                <w:tcPr>
                  <w:tcW w:w="73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1350</w:t>
                  </w:r>
                </w:p>
              </w:tc>
              <w:tc>
                <w:tcPr>
                  <w:tcW w:w="428"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1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2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613"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78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生产车间2</w:t>
                  </w:r>
                </w:p>
              </w:tc>
              <w:tc>
                <w:tcPr>
                  <w:tcW w:w="794"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1700</w:t>
                  </w:r>
                </w:p>
              </w:tc>
              <w:tc>
                <w:tcPr>
                  <w:tcW w:w="73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1700</w:t>
                  </w:r>
                </w:p>
              </w:tc>
              <w:tc>
                <w:tcPr>
                  <w:tcW w:w="428"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71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钢结构</w:t>
                  </w:r>
                </w:p>
              </w:tc>
              <w:tc>
                <w:tcPr>
                  <w:tcW w:w="92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本次技改项目所在车间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613"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2.1</w:t>
                  </w:r>
                </w:p>
              </w:tc>
              <w:tc>
                <w:tcPr>
                  <w:tcW w:w="78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生产加工区</w:t>
                  </w:r>
                </w:p>
              </w:tc>
              <w:tc>
                <w:tcPr>
                  <w:tcW w:w="794"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w:t>
                  </w:r>
                </w:p>
              </w:tc>
              <w:tc>
                <w:tcPr>
                  <w:tcW w:w="73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1000</w:t>
                  </w:r>
                </w:p>
              </w:tc>
              <w:tc>
                <w:tcPr>
                  <w:tcW w:w="428"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1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2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涂膜、切割印刷、缝纫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613"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2.2</w:t>
                  </w:r>
                </w:p>
              </w:tc>
              <w:tc>
                <w:tcPr>
                  <w:tcW w:w="78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成品库</w:t>
                  </w:r>
                </w:p>
              </w:tc>
              <w:tc>
                <w:tcPr>
                  <w:tcW w:w="794"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400</w:t>
                  </w:r>
                </w:p>
              </w:tc>
              <w:tc>
                <w:tcPr>
                  <w:tcW w:w="73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400</w:t>
                  </w:r>
                </w:p>
              </w:tc>
              <w:tc>
                <w:tcPr>
                  <w:tcW w:w="428"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1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2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613"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2.3</w:t>
                  </w:r>
                </w:p>
              </w:tc>
              <w:tc>
                <w:tcPr>
                  <w:tcW w:w="78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涂膜料区</w:t>
                  </w:r>
                </w:p>
              </w:tc>
              <w:tc>
                <w:tcPr>
                  <w:tcW w:w="794"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w:t>
                  </w:r>
                </w:p>
              </w:tc>
              <w:tc>
                <w:tcPr>
                  <w:tcW w:w="73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w:t>
                  </w:r>
                </w:p>
              </w:tc>
              <w:tc>
                <w:tcPr>
                  <w:tcW w:w="428"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1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92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613"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78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综合楼</w:t>
                  </w:r>
                </w:p>
              </w:tc>
              <w:tc>
                <w:tcPr>
                  <w:tcW w:w="794"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457.5</w:t>
                  </w:r>
                </w:p>
              </w:tc>
              <w:tc>
                <w:tcPr>
                  <w:tcW w:w="73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1946</w:t>
                  </w:r>
                </w:p>
              </w:tc>
              <w:tc>
                <w:tcPr>
                  <w:tcW w:w="428"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71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砖混</w:t>
                  </w:r>
                </w:p>
              </w:tc>
              <w:tc>
                <w:tcPr>
                  <w:tcW w:w="92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办公</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jc w:val="center"/>
              </w:trPr>
              <w:tc>
                <w:tcPr>
                  <w:tcW w:w="613"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78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794"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7257.5</w:t>
                  </w:r>
                </w:p>
              </w:tc>
              <w:tc>
                <w:tcPr>
                  <w:tcW w:w="73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8746</w:t>
                  </w:r>
                </w:p>
              </w:tc>
              <w:tc>
                <w:tcPr>
                  <w:tcW w:w="428"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715"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26" w:type="pct"/>
                  <w:tcBorders>
                    <w:tl2br w:val="nil"/>
                    <w:tr2bl w:val="nil"/>
                  </w:tcBorders>
                  <w:noWrap w:val="0"/>
                  <w:vAlign w:val="center"/>
                </w:tcPr>
                <w:p>
                  <w:pPr>
                    <w:pStyle w:val="29"/>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bl>
          <w:p>
            <w:pPr>
              <w:spacing w:line="460" w:lineRule="exact"/>
              <w:jc w:val="both"/>
              <w:rPr>
                <w:rFonts w:hint="default" w:ascii="Times New Roman" w:hAnsi="Times New Roman" w:cs="Times New Roman" w:eastAsiaTheme="majorEastAsia"/>
                <w:b/>
                <w:bCs/>
                <w:sz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5" w:type="pct"/>
            <w:vAlign w:val="center"/>
          </w:tcPr>
          <w:p>
            <w:pPr>
              <w:jc w:val="center"/>
              <w:rPr>
                <w:rFonts w:hint="default" w:ascii="Times New Roman" w:hAnsi="Times New Roman" w:eastAsia="宋体" w:cs="Times New Roman"/>
                <w:spacing w:val="-1"/>
                <w:sz w:val="24"/>
                <w:szCs w:val="24"/>
                <w:lang w:eastAsia="zh-CN"/>
              </w:rPr>
            </w:pPr>
            <w:r>
              <w:rPr>
                <w:rFonts w:hint="default" w:ascii="Times New Roman" w:hAnsi="Times New Roman" w:eastAsia="宋体" w:cs="Times New Roman"/>
                <w:spacing w:val="-1"/>
                <w:sz w:val="24"/>
                <w:szCs w:val="24"/>
                <w:lang w:eastAsia="zh-CN"/>
              </w:rPr>
              <w:t>工艺流程和产排污环节</w:t>
            </w:r>
          </w:p>
        </w:tc>
        <w:tc>
          <w:tcPr>
            <w:tcW w:w="4674" w:type="pct"/>
            <w:vAlign w:val="center"/>
          </w:tcPr>
          <w:p>
            <w:pPr>
              <w:spacing w:line="460" w:lineRule="exact"/>
              <w:ind w:firstLine="482" w:firstLineChars="200"/>
              <w:jc w:val="both"/>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1、施工期</w:t>
            </w:r>
          </w:p>
          <w:p>
            <w:pPr>
              <w:spacing w:line="460" w:lineRule="exact"/>
              <w:ind w:firstLine="480" w:firstLineChars="200"/>
              <w:jc w:val="both"/>
              <w:rPr>
                <w:rFonts w:hint="default" w:ascii="Times New Roman" w:hAnsi="Times New Roman" w:cs="Times New Roman"/>
                <w:sz w:val="24"/>
              </w:rPr>
            </w:pPr>
            <w:r>
              <w:rPr>
                <w:rFonts w:hint="default" w:ascii="Times New Roman" w:hAnsi="Times New Roman" w:cs="Times New Roman" w:eastAsiaTheme="minorEastAsia"/>
                <w:color w:val="000000" w:themeColor="text1"/>
                <w:sz w:val="24"/>
                <w14:textFill>
                  <w14:solidFill>
                    <w14:schemeClr w14:val="tx1"/>
                  </w14:solidFill>
                </w14:textFill>
              </w:rPr>
              <w:t>项目</w:t>
            </w:r>
            <w:r>
              <w:rPr>
                <w:rFonts w:hint="default" w:ascii="Times New Roman" w:hAnsi="Times New Roman" w:cs="Times New Roman" w:eastAsiaTheme="minorEastAsia"/>
                <w:color w:val="000000" w:themeColor="text1"/>
                <w:sz w:val="24"/>
                <w:lang w:val="en-US" w:eastAsia="zh-CN"/>
                <w14:textFill>
                  <w14:solidFill>
                    <w14:schemeClr w14:val="tx1"/>
                  </w14:solidFill>
                </w14:textFill>
              </w:rPr>
              <w:t>租用</w:t>
            </w:r>
            <w:r>
              <w:rPr>
                <w:rFonts w:hint="default" w:ascii="Times New Roman" w:hAnsi="Times New Roman" w:cs="Times New Roman" w:eastAsiaTheme="minorEastAsia"/>
                <w:color w:val="000000" w:themeColor="text1"/>
                <w:sz w:val="24"/>
                <w14:textFill>
                  <w14:solidFill>
                    <w14:schemeClr w14:val="tx1"/>
                  </w14:solidFill>
                </w14:textFill>
              </w:rPr>
              <w:t>现有已建厂房内进行建设，不新增用地。施工期主要为简单的适应性改造，设备安装调试，施工期短，对周围环境影响较小，因此不做施工期环境影响评述。</w:t>
            </w:r>
          </w:p>
          <w:p>
            <w:pPr>
              <w:adjustRightInd w:val="0"/>
              <w:snapToGrid w:val="0"/>
              <w:spacing w:line="500" w:lineRule="exact"/>
              <w:ind w:left="484" w:leftChars="199" w:hanging="46" w:hangingChars="19"/>
              <w:jc w:val="both"/>
              <w:rPr>
                <w:rFonts w:hint="default" w:ascii="Times New Roman" w:hAnsi="Times New Roman" w:cs="Times New Roman"/>
                <w:b/>
                <w:bCs/>
                <w:sz w:val="24"/>
              </w:rPr>
            </w:pPr>
            <w:r>
              <w:rPr>
                <w:rFonts w:hint="default" w:ascii="Times New Roman" w:hAnsi="Times New Roman" w:cs="Times New Roman"/>
                <w:b/>
                <w:bCs/>
                <w:sz w:val="24"/>
              </w:rPr>
              <w:t>2、营运期工艺流程</w:t>
            </w:r>
          </w:p>
          <w:p>
            <w:pPr>
              <w:spacing w:line="46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本项目主要</w:t>
            </w:r>
            <w:r>
              <w:rPr>
                <w:rFonts w:hint="default" w:ascii="Times New Roman" w:hAnsi="Times New Roman" w:cs="Times New Roman"/>
                <w:color w:val="000000" w:themeColor="text1"/>
                <w:sz w:val="24"/>
                <w:lang w:val="en-US" w:eastAsia="zh-CN"/>
                <w14:textFill>
                  <w14:solidFill>
                    <w14:schemeClr w14:val="tx1"/>
                  </w14:solidFill>
                </w14:textFill>
              </w:rPr>
              <w:t>对现有包装袋</w:t>
            </w:r>
            <w:r>
              <w:rPr>
                <w:rFonts w:hint="default" w:ascii="Times New Roman" w:hAnsi="Times New Roman" w:cs="Times New Roman"/>
                <w:color w:val="000000" w:themeColor="text1"/>
                <w:sz w:val="24"/>
                <w14:textFill>
                  <w14:solidFill>
                    <w14:schemeClr w14:val="tx1"/>
                  </w14:solidFill>
                </w14:textFill>
              </w:rPr>
              <w:t>的生产</w:t>
            </w:r>
            <w:r>
              <w:rPr>
                <w:rFonts w:hint="default" w:ascii="Times New Roman" w:hAnsi="Times New Roman" w:cs="Times New Roman"/>
                <w:color w:val="000000" w:themeColor="text1"/>
                <w:sz w:val="24"/>
                <w:lang w:val="en-US" w:eastAsia="zh-CN"/>
                <w14:textFill>
                  <w14:solidFill>
                    <w14:schemeClr w14:val="tx1"/>
                  </w14:solidFill>
                </w14:textFill>
              </w:rPr>
              <w:t>进行技改，根据厂家的不同需求，对现有项目编织好的编织布增加涂膜和印刷等工艺</w:t>
            </w:r>
            <w:r>
              <w:rPr>
                <w:rFonts w:hint="default" w:ascii="Times New Roman" w:hAnsi="Times New Roman" w:cs="Times New Roman"/>
                <w:color w:val="000000" w:themeColor="text1"/>
                <w:sz w:val="24"/>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涉及到的</w:t>
            </w:r>
            <w:r>
              <w:rPr>
                <w:rFonts w:hint="default" w:ascii="Times New Roman" w:hAnsi="Times New Roman" w:cs="Times New Roman"/>
                <w:color w:val="000000" w:themeColor="text1"/>
                <w:sz w:val="24"/>
                <w14:textFill>
                  <w14:solidFill>
                    <w14:schemeClr w14:val="tx1"/>
                  </w14:solidFill>
                </w14:textFill>
              </w:rPr>
              <w:t>生产工艺及产污流程</w:t>
            </w:r>
            <w:r>
              <w:rPr>
                <w:rFonts w:hint="default" w:ascii="Times New Roman" w:hAnsi="Times New Roman" w:cs="Times New Roman"/>
                <w:color w:val="000000" w:themeColor="text1"/>
                <w:sz w:val="24"/>
                <w:lang w:val="en-US" w:eastAsia="zh-CN"/>
                <w14:textFill>
                  <w14:solidFill>
                    <w14:schemeClr w14:val="tx1"/>
                  </w14:solidFill>
                </w14:textFill>
              </w:rPr>
              <w:t>图</w:t>
            </w:r>
            <w:r>
              <w:rPr>
                <w:rFonts w:hint="default" w:ascii="Times New Roman" w:hAnsi="Times New Roman" w:cs="Times New Roman"/>
                <w:color w:val="000000" w:themeColor="text1"/>
                <w:sz w:val="24"/>
                <w14:textFill>
                  <w14:solidFill>
                    <w14:schemeClr w14:val="tx1"/>
                  </w14:solidFill>
                </w14:textFill>
              </w:rPr>
              <w:t>如下。</w:t>
            </w:r>
          </w:p>
          <w:p>
            <w:pPr>
              <w:tabs>
                <w:tab w:val="left" w:pos="5142"/>
              </w:tabs>
              <w:snapToGrid w:val="0"/>
              <w:spacing w:line="460" w:lineRule="exact"/>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pict>
                <v:shape id="_x0000_s1038" o:spid="_x0000_s1038" o:spt="75" alt="" type="#_x0000_t75" style="position:absolute;left:0pt;margin-left:67.25pt;margin-top:8.55pt;height:216.7pt;width:333.2pt;z-index:251668480;mso-width-relative:page;mso-height-relative:page;" o:ole="t" filled="f" o:preferrelative="t" stroked="f" coordsize="21600,21600">
                  <v:path/>
                  <v:fill on="f" focussize="0,0"/>
                  <v:stroke on="f"/>
                  <v:imagedata r:id="rId13" o:title=""/>
                  <o:lock v:ext="edit" aspectratio="f"/>
                </v:shape>
                <o:OLEObject Type="Embed" ProgID="Visio.Drawing.15" ShapeID="_x0000_s1038" DrawAspect="Content" ObjectID="_1468075725" r:id="rId12">
                  <o:LockedField>false</o:LockedField>
                </o:OLEObject>
              </w:pict>
            </w:r>
          </w:p>
          <w:p>
            <w:pPr>
              <w:tabs>
                <w:tab w:val="left" w:pos="5142"/>
              </w:tabs>
              <w:snapToGrid w:val="0"/>
              <w:spacing w:line="460" w:lineRule="exact"/>
              <w:jc w:val="center"/>
              <w:rPr>
                <w:rFonts w:hint="default" w:ascii="Times New Roman" w:hAnsi="Times New Roman" w:eastAsia="宋体" w:cs="Times New Roman"/>
                <w:b/>
                <w:bCs/>
                <w:sz w:val="21"/>
                <w:szCs w:val="21"/>
                <w:lang w:eastAsia="zh-CN"/>
              </w:rPr>
            </w:pPr>
          </w:p>
          <w:p>
            <w:pPr>
              <w:tabs>
                <w:tab w:val="left" w:pos="5142"/>
              </w:tabs>
              <w:snapToGrid w:val="0"/>
              <w:spacing w:line="460" w:lineRule="exact"/>
              <w:jc w:val="center"/>
              <w:rPr>
                <w:rFonts w:hint="default" w:ascii="Times New Roman" w:hAnsi="Times New Roman" w:eastAsia="宋体" w:cs="Times New Roman"/>
                <w:b/>
                <w:bCs/>
                <w:sz w:val="21"/>
                <w:szCs w:val="21"/>
                <w:lang w:eastAsia="zh-CN"/>
              </w:rPr>
            </w:pPr>
          </w:p>
          <w:p>
            <w:pPr>
              <w:tabs>
                <w:tab w:val="left" w:pos="5142"/>
              </w:tabs>
              <w:snapToGrid w:val="0"/>
              <w:spacing w:line="460" w:lineRule="exact"/>
              <w:jc w:val="center"/>
              <w:rPr>
                <w:rFonts w:hint="default" w:ascii="Times New Roman" w:hAnsi="Times New Roman" w:eastAsia="宋体" w:cs="Times New Roman"/>
                <w:b/>
                <w:bCs/>
                <w:sz w:val="21"/>
                <w:szCs w:val="21"/>
                <w:lang w:eastAsia="zh-CN"/>
              </w:rPr>
            </w:pPr>
          </w:p>
          <w:p>
            <w:pPr>
              <w:tabs>
                <w:tab w:val="left" w:pos="5142"/>
              </w:tabs>
              <w:snapToGrid w:val="0"/>
              <w:spacing w:line="460" w:lineRule="exact"/>
              <w:jc w:val="center"/>
              <w:rPr>
                <w:rFonts w:hint="default" w:ascii="Times New Roman" w:hAnsi="Times New Roman" w:eastAsia="宋体" w:cs="Times New Roman"/>
                <w:b/>
                <w:bCs/>
                <w:sz w:val="21"/>
                <w:szCs w:val="21"/>
                <w:lang w:eastAsia="zh-CN"/>
              </w:rPr>
            </w:pPr>
          </w:p>
          <w:p>
            <w:pPr>
              <w:tabs>
                <w:tab w:val="left" w:pos="5142"/>
              </w:tabs>
              <w:snapToGrid w:val="0"/>
              <w:spacing w:line="460" w:lineRule="exact"/>
              <w:jc w:val="center"/>
              <w:rPr>
                <w:rFonts w:hint="default" w:ascii="Times New Roman" w:hAnsi="Times New Roman" w:eastAsia="宋体" w:cs="Times New Roman"/>
                <w:b/>
                <w:bCs/>
                <w:sz w:val="21"/>
                <w:szCs w:val="21"/>
                <w:lang w:eastAsia="zh-CN"/>
              </w:rPr>
            </w:pPr>
          </w:p>
          <w:p>
            <w:pPr>
              <w:tabs>
                <w:tab w:val="left" w:pos="5142"/>
              </w:tabs>
              <w:snapToGrid w:val="0"/>
              <w:spacing w:line="460" w:lineRule="exact"/>
              <w:jc w:val="center"/>
              <w:rPr>
                <w:rFonts w:hint="default" w:ascii="Times New Roman" w:hAnsi="Times New Roman" w:eastAsia="宋体" w:cs="Times New Roman"/>
                <w:b/>
                <w:bCs/>
                <w:sz w:val="21"/>
                <w:szCs w:val="21"/>
                <w:lang w:eastAsia="zh-CN"/>
              </w:rPr>
            </w:pPr>
          </w:p>
          <w:p>
            <w:pPr>
              <w:tabs>
                <w:tab w:val="left" w:pos="5142"/>
              </w:tabs>
              <w:snapToGrid w:val="0"/>
              <w:spacing w:line="460" w:lineRule="exact"/>
              <w:jc w:val="center"/>
              <w:rPr>
                <w:rFonts w:hint="default" w:ascii="Times New Roman" w:hAnsi="Times New Roman" w:eastAsia="宋体" w:cs="Times New Roman"/>
                <w:b/>
                <w:bCs/>
                <w:sz w:val="21"/>
                <w:szCs w:val="21"/>
                <w:lang w:eastAsia="zh-CN"/>
              </w:rPr>
            </w:pPr>
          </w:p>
          <w:p>
            <w:pPr>
              <w:tabs>
                <w:tab w:val="left" w:pos="5142"/>
              </w:tabs>
              <w:snapToGrid w:val="0"/>
              <w:spacing w:line="460" w:lineRule="exact"/>
              <w:jc w:val="center"/>
              <w:rPr>
                <w:rFonts w:hint="default" w:ascii="Times New Roman" w:hAnsi="Times New Roman" w:eastAsia="宋体" w:cs="Times New Roman"/>
                <w:b/>
                <w:bCs/>
                <w:sz w:val="21"/>
                <w:szCs w:val="21"/>
                <w:lang w:eastAsia="zh-CN"/>
              </w:rPr>
            </w:pPr>
          </w:p>
          <w:p>
            <w:pPr>
              <w:tabs>
                <w:tab w:val="left" w:pos="5142"/>
              </w:tabs>
              <w:snapToGrid w:val="0"/>
              <w:spacing w:line="460" w:lineRule="exact"/>
              <w:jc w:val="center"/>
              <w:rPr>
                <w:rFonts w:hint="default" w:ascii="Times New Roman" w:hAnsi="Times New Roman" w:eastAsia="宋体" w:cs="Times New Roman"/>
                <w:b/>
                <w:bCs/>
                <w:sz w:val="21"/>
                <w:szCs w:val="21"/>
                <w:lang w:eastAsia="zh-CN"/>
              </w:rPr>
            </w:pPr>
          </w:p>
          <w:p>
            <w:pPr>
              <w:tabs>
                <w:tab w:val="left" w:pos="5142"/>
              </w:tabs>
              <w:snapToGrid w:val="0"/>
              <w:spacing w:line="460" w:lineRule="exact"/>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图2-</w:t>
            </w:r>
            <w:r>
              <w:rPr>
                <w:rFonts w:hint="eastAsia" w:ascii="Times New Roman" w:hAnsi="Times New Roman" w:cs="Times New Roman"/>
                <w:b/>
                <w:bCs/>
                <w:sz w:val="21"/>
                <w:szCs w:val="21"/>
                <w:lang w:val="en-US" w:eastAsia="zh-CN"/>
              </w:rPr>
              <w:t>1</w:t>
            </w:r>
            <w:r>
              <w:rPr>
                <w:rFonts w:hint="default" w:ascii="Times New Roman" w:hAnsi="Times New Roman" w:eastAsia="宋体" w:cs="Times New Roman"/>
                <w:b/>
                <w:bCs/>
                <w:sz w:val="21"/>
                <w:szCs w:val="21"/>
                <w:lang w:eastAsia="zh-CN"/>
              </w:rPr>
              <w:t xml:space="preserve">  </w:t>
            </w:r>
            <w:r>
              <w:rPr>
                <w:rFonts w:hint="default" w:ascii="Times New Roman" w:hAnsi="Times New Roman" w:cs="Times New Roman"/>
                <w:b/>
                <w:bCs/>
                <w:sz w:val="21"/>
                <w:szCs w:val="21"/>
                <w:lang w:val="en-US" w:eastAsia="zh-CN"/>
              </w:rPr>
              <w:t>技改项目</w:t>
            </w:r>
            <w:r>
              <w:rPr>
                <w:rFonts w:hint="default" w:ascii="Times New Roman" w:hAnsi="Times New Roman" w:eastAsia="宋体" w:cs="Times New Roman"/>
                <w:b/>
                <w:bCs/>
                <w:sz w:val="21"/>
                <w:szCs w:val="21"/>
                <w:lang w:eastAsia="zh-CN"/>
              </w:rPr>
              <w:t>工艺流程及产污环节</w:t>
            </w:r>
          </w:p>
          <w:p>
            <w:pPr>
              <w:keepNext/>
              <w:snapToGrid w:val="0"/>
              <w:spacing w:line="360" w:lineRule="auto"/>
              <w:ind w:firstLine="480" w:firstLineChars="200"/>
              <w:jc w:val="both"/>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工艺流程：</w:t>
            </w:r>
          </w:p>
          <w:p>
            <w:pPr>
              <w:spacing w:line="360" w:lineRule="auto"/>
              <w:ind w:firstLine="480" w:firstLineChars="200"/>
              <w:jc w:val="both"/>
              <w:rPr>
                <w:rFonts w:hint="default" w:ascii="Times New Roman" w:hAnsi="Times New Roman" w:eastAsia="宋体" w:cs="Times New Roman"/>
                <w:b w:val="0"/>
                <w:bCs w:val="0"/>
                <w:sz w:val="24"/>
              </w:rPr>
            </w:pPr>
            <w:r>
              <w:rPr>
                <w:rFonts w:hint="default" w:ascii="Times New Roman" w:hAnsi="Times New Roman" w:eastAsia="宋体" w:cs="Times New Roman"/>
                <w:b w:val="0"/>
                <w:bCs w:val="0"/>
                <w:color w:val="auto"/>
                <w:sz w:val="24"/>
              </w:rPr>
              <w:t>①</w:t>
            </w:r>
            <w:r>
              <w:rPr>
                <w:rFonts w:hint="default" w:ascii="Times New Roman" w:hAnsi="Times New Roman" w:eastAsia="宋体" w:cs="Times New Roman"/>
                <w:b w:val="0"/>
                <w:bCs w:val="0"/>
                <w:color w:val="auto"/>
                <w:sz w:val="24"/>
                <w:lang w:val="en-US" w:eastAsia="zh-CN"/>
              </w:rPr>
              <w:t>涂膜：根据</w:t>
            </w:r>
            <w:r>
              <w:rPr>
                <w:rFonts w:hint="default" w:ascii="Times New Roman" w:hAnsi="Times New Roman" w:cs="Times New Roman"/>
                <w:b w:val="0"/>
                <w:bCs w:val="0"/>
                <w:color w:val="auto"/>
                <w:sz w:val="24"/>
              </w:rPr>
              <w:t>用户</w:t>
            </w:r>
            <w:r>
              <w:rPr>
                <w:rFonts w:hint="default" w:ascii="Times New Roman" w:hAnsi="Times New Roman" w:eastAsia="宋体" w:cs="Times New Roman"/>
                <w:b w:val="0"/>
                <w:bCs w:val="0"/>
                <w:color w:val="auto"/>
                <w:sz w:val="24"/>
                <w:lang w:val="en-US" w:eastAsia="zh-CN"/>
              </w:rPr>
              <w:t>的需要，将</w:t>
            </w:r>
            <w:r>
              <w:rPr>
                <w:rFonts w:hint="default" w:ascii="Times New Roman" w:hAnsi="Times New Roman" w:eastAsia="宋体" w:cs="Times New Roman"/>
                <w:b w:val="0"/>
                <w:bCs w:val="0"/>
                <w:sz w:val="24"/>
                <w:lang w:val="en-US" w:eastAsia="zh-CN"/>
              </w:rPr>
              <w:t>OPP膜和</w:t>
            </w:r>
            <w:r>
              <w:rPr>
                <w:rFonts w:hint="default" w:ascii="Times New Roman" w:hAnsi="Times New Roman" w:eastAsia="宋体" w:cs="Times New Roman"/>
                <w:b w:val="0"/>
                <w:bCs w:val="0"/>
                <w:sz w:val="24"/>
              </w:rPr>
              <w:t>编织好的编织布</w:t>
            </w:r>
            <w:r>
              <w:rPr>
                <w:rFonts w:hint="default" w:ascii="Times New Roman" w:hAnsi="Times New Roman" w:eastAsia="宋体" w:cs="Times New Roman"/>
                <w:b w:val="0"/>
                <w:bCs w:val="0"/>
                <w:sz w:val="24"/>
                <w:lang w:val="en-US" w:eastAsia="zh-CN"/>
              </w:rPr>
              <w:t>在</w:t>
            </w:r>
            <w:r>
              <w:rPr>
                <w:rFonts w:hint="default" w:ascii="Times New Roman" w:hAnsi="Times New Roman" w:cs="Times New Roman"/>
                <w:b w:val="0"/>
                <w:bCs w:val="0"/>
                <w:sz w:val="24"/>
                <w:lang w:val="en-US" w:eastAsia="zh-CN"/>
              </w:rPr>
              <w:t>涂膜</w:t>
            </w:r>
            <w:r>
              <w:rPr>
                <w:rFonts w:hint="default" w:ascii="Times New Roman" w:hAnsi="Times New Roman" w:eastAsia="宋体" w:cs="Times New Roman"/>
                <w:b w:val="0"/>
                <w:bCs w:val="0"/>
                <w:sz w:val="24"/>
                <w:lang w:val="en-US" w:eastAsia="zh-CN"/>
              </w:rPr>
              <w:t>机上进行涂膜，涂膜原理：涂膜原料（聚丙烯和聚乙烯混合材料）在加热情况下熔融形成流体，流体状物料均匀涂覆在</w:t>
            </w:r>
            <w:r>
              <w:rPr>
                <w:rFonts w:hint="default" w:ascii="Times New Roman" w:hAnsi="Times New Roman" w:eastAsia="宋体" w:cs="Times New Roman"/>
                <w:b w:val="0"/>
                <w:bCs w:val="0"/>
                <w:sz w:val="24"/>
              </w:rPr>
              <w:t>编织布</w:t>
            </w:r>
            <w:r>
              <w:rPr>
                <w:rFonts w:hint="default" w:ascii="Times New Roman" w:hAnsi="Times New Roman" w:eastAsia="宋体" w:cs="Times New Roman"/>
                <w:b w:val="0"/>
                <w:bCs w:val="0"/>
                <w:sz w:val="24"/>
                <w:lang w:val="en-US" w:eastAsia="zh-CN"/>
              </w:rPr>
              <w:t>表面形成涂覆层，降温冷却后使OPP 膜附着在</w:t>
            </w:r>
            <w:r>
              <w:rPr>
                <w:rFonts w:hint="default" w:ascii="Times New Roman" w:hAnsi="Times New Roman" w:eastAsia="宋体" w:cs="Times New Roman"/>
                <w:b w:val="0"/>
                <w:bCs w:val="0"/>
                <w:sz w:val="24"/>
              </w:rPr>
              <w:t>编织布</w:t>
            </w:r>
            <w:r>
              <w:rPr>
                <w:rFonts w:hint="default" w:ascii="Times New Roman" w:hAnsi="Times New Roman" w:eastAsia="宋体" w:cs="Times New Roman"/>
                <w:b w:val="0"/>
                <w:bCs w:val="0"/>
                <w:sz w:val="24"/>
                <w:lang w:val="en-US" w:eastAsia="zh-CN"/>
              </w:rPr>
              <w:t xml:space="preserve">上。涂膜工序的温度控制在260℃-280℃，采用电加热。聚乙烯在熔融时会产生少量有机废气，识别为非甲烷总烃。 </w:t>
            </w:r>
          </w:p>
          <w:p>
            <w:pPr>
              <w:spacing w:line="360" w:lineRule="auto"/>
              <w:ind w:firstLine="480" w:firstLineChars="200"/>
              <w:jc w:val="both"/>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sz w:val="24"/>
                <w:lang w:val="en-US" w:eastAsia="zh-CN"/>
              </w:rPr>
              <w:t>②</w:t>
            </w:r>
            <w:r>
              <w:rPr>
                <w:rFonts w:hint="default" w:ascii="Times New Roman" w:hAnsi="Times New Roman" w:eastAsia="宋体" w:cs="Times New Roman"/>
                <w:b w:val="0"/>
                <w:bCs w:val="0"/>
                <w:sz w:val="24"/>
              </w:rPr>
              <w:t>裁剪</w:t>
            </w:r>
            <w:r>
              <w:rPr>
                <w:rFonts w:hint="default" w:ascii="Times New Roman" w:hAnsi="Times New Roman" w:eastAsia="宋体" w:cs="Times New Roman"/>
                <w:b w:val="0"/>
                <w:bCs w:val="0"/>
                <w:sz w:val="24"/>
                <w:lang w:val="en-US" w:eastAsia="zh-CN"/>
              </w:rPr>
              <w:t>印刷</w:t>
            </w:r>
            <w:r>
              <w:rPr>
                <w:rFonts w:hint="default" w:ascii="Times New Roman" w:hAnsi="Times New Roman" w:eastAsia="宋体" w:cs="Times New Roman"/>
                <w:b w:val="0"/>
                <w:bCs w:val="0"/>
                <w:sz w:val="24"/>
              </w:rPr>
              <w:t>：根据用户所订的袋子的规格，</w:t>
            </w:r>
            <w:r>
              <w:rPr>
                <w:rFonts w:hint="default" w:ascii="Times New Roman" w:hAnsi="Times New Roman" w:cs="Times New Roman"/>
                <w:b w:val="0"/>
                <w:bCs w:val="0"/>
                <w:sz w:val="24"/>
                <w:lang w:val="en-US" w:eastAsia="zh-CN"/>
              </w:rPr>
              <w:t>采用吨包切印一体机</w:t>
            </w:r>
            <w:r>
              <w:rPr>
                <w:rFonts w:hint="default" w:ascii="Times New Roman" w:hAnsi="Times New Roman" w:eastAsia="宋体" w:cs="Times New Roman"/>
                <w:b w:val="0"/>
                <w:bCs w:val="0"/>
                <w:sz w:val="24"/>
              </w:rPr>
              <w:t>对相应尺寸的编织布进行裁剪，把编织布裁剪成相应尺寸的片材</w:t>
            </w:r>
            <w:r>
              <w:rPr>
                <w:rFonts w:hint="default" w:ascii="Times New Roman" w:hAnsi="Times New Roman" w:cs="Times New Roman"/>
                <w:b w:val="0"/>
                <w:bCs w:val="0"/>
                <w:sz w:val="24"/>
                <w:lang w:eastAsia="zh-CN"/>
              </w:rPr>
              <w:t>，</w:t>
            </w:r>
            <w:r>
              <w:rPr>
                <w:rFonts w:hint="default" w:ascii="Times New Roman" w:hAnsi="Times New Roman" w:cs="Times New Roman"/>
                <w:b w:val="0"/>
                <w:bCs w:val="0"/>
                <w:sz w:val="24"/>
                <w:lang w:val="en-US" w:eastAsia="zh-CN"/>
              </w:rPr>
              <w:t>并根据</w:t>
            </w:r>
            <w:r>
              <w:rPr>
                <w:rFonts w:hint="default" w:ascii="Times New Roman" w:hAnsi="Times New Roman" w:eastAsia="宋体" w:cs="Times New Roman"/>
                <w:b w:val="0"/>
                <w:bCs w:val="0"/>
                <w:sz w:val="24"/>
                <w:lang w:val="en-US" w:eastAsia="zh-CN"/>
              </w:rPr>
              <w:t>客户</w:t>
            </w:r>
            <w:r>
              <w:rPr>
                <w:rFonts w:hint="default" w:ascii="Times New Roman" w:hAnsi="Times New Roman" w:cs="Times New Roman"/>
                <w:b w:val="0"/>
                <w:bCs w:val="0"/>
                <w:sz w:val="24"/>
                <w:lang w:val="en-US" w:eastAsia="zh-CN"/>
              </w:rPr>
              <w:t>的</w:t>
            </w:r>
            <w:r>
              <w:rPr>
                <w:rFonts w:hint="default" w:ascii="Times New Roman" w:hAnsi="Times New Roman" w:eastAsia="宋体" w:cs="Times New Roman"/>
                <w:b w:val="0"/>
                <w:bCs w:val="0"/>
                <w:sz w:val="24"/>
                <w:lang w:val="en-US" w:eastAsia="zh-CN"/>
              </w:rPr>
              <w:t>要求</w:t>
            </w:r>
            <w:r>
              <w:rPr>
                <w:rFonts w:hint="default" w:ascii="Times New Roman" w:hAnsi="Times New Roman" w:cs="Times New Roman"/>
                <w:b w:val="0"/>
                <w:bCs w:val="0"/>
                <w:sz w:val="24"/>
                <w:lang w:val="en-US" w:eastAsia="zh-CN"/>
              </w:rPr>
              <w:t>印制</w:t>
            </w:r>
            <w:r>
              <w:rPr>
                <w:rFonts w:hint="default" w:ascii="Times New Roman" w:hAnsi="Times New Roman" w:eastAsia="宋体" w:cs="Times New Roman"/>
                <w:b w:val="0"/>
                <w:bCs w:val="0"/>
                <w:sz w:val="24"/>
                <w:lang w:val="en-US" w:eastAsia="zh-CN"/>
              </w:rPr>
              <w:t>包装物名称、商标、地址、联系电话等，印刷采用水性油墨，会有少量废气产生，识别为非甲烷总烃，另外</w:t>
            </w:r>
            <w:r>
              <w:rPr>
                <w:rFonts w:hint="default" w:ascii="Times New Roman" w:hAnsi="Times New Roman" w:cs="Times New Roman"/>
                <w:b w:val="0"/>
                <w:bCs w:val="0"/>
                <w:sz w:val="24"/>
                <w:lang w:val="en-US" w:eastAsia="zh-CN"/>
              </w:rPr>
              <w:t>此工序</w:t>
            </w:r>
            <w:r>
              <w:rPr>
                <w:rFonts w:hint="default" w:ascii="Times New Roman" w:hAnsi="Times New Roman" w:eastAsia="宋体" w:cs="Times New Roman"/>
                <w:b w:val="0"/>
                <w:bCs w:val="0"/>
                <w:sz w:val="24"/>
                <w:lang w:val="en-US" w:eastAsia="zh-CN"/>
              </w:rPr>
              <w:t>还会产生少量</w:t>
            </w:r>
            <w:r>
              <w:rPr>
                <w:rFonts w:hint="default" w:ascii="Times New Roman" w:hAnsi="Times New Roman" w:cs="Times New Roman"/>
                <w:b w:val="0"/>
                <w:bCs w:val="0"/>
                <w:sz w:val="24"/>
                <w:lang w:val="en-US" w:eastAsia="zh-CN"/>
              </w:rPr>
              <w:t>的废边角料</w:t>
            </w:r>
            <w:r>
              <w:rPr>
                <w:rFonts w:hint="default" w:ascii="Times New Roman" w:hAnsi="Times New Roman" w:eastAsia="宋体" w:cs="Times New Roman"/>
                <w:b w:val="0"/>
                <w:bCs w:val="0"/>
                <w:color w:val="auto"/>
                <w:sz w:val="24"/>
                <w:lang w:val="en-US" w:eastAsia="zh-CN"/>
              </w:rPr>
              <w:t>。</w:t>
            </w:r>
          </w:p>
          <w:p>
            <w:pPr>
              <w:spacing w:line="360" w:lineRule="auto"/>
              <w:ind w:firstLine="480" w:firstLineChars="200"/>
              <w:jc w:val="both"/>
              <w:rPr>
                <w:rFonts w:hint="default" w:ascii="Times New Roman" w:hAnsi="Times New Roman" w:cs="Times New Roman"/>
                <w:b w:val="0"/>
                <w:bCs w:val="0"/>
                <w:sz w:val="24"/>
              </w:rPr>
            </w:pPr>
            <w:r>
              <w:rPr>
                <w:rFonts w:hint="default" w:ascii="Times New Roman" w:hAnsi="Times New Roman" w:eastAsia="宋体" w:cs="Times New Roman"/>
                <w:b w:val="0"/>
                <w:bCs w:val="0"/>
                <w:color w:val="auto"/>
                <w:sz w:val="24"/>
                <w:lang w:val="en-US" w:eastAsia="zh-CN"/>
              </w:rPr>
              <w:t>③</w:t>
            </w:r>
            <w:r>
              <w:rPr>
                <w:rFonts w:hint="default" w:ascii="Times New Roman" w:hAnsi="Times New Roman" w:cs="Times New Roman"/>
                <w:b w:val="0"/>
                <w:bCs w:val="0"/>
                <w:color w:val="auto"/>
                <w:sz w:val="24"/>
              </w:rPr>
              <w:t>缝纫：把裁剪、印刷好的片材按照每个袋子的缝制工艺</w:t>
            </w:r>
            <w:r>
              <w:rPr>
                <w:rFonts w:hint="default" w:ascii="Times New Roman" w:hAnsi="Times New Roman" w:cs="Times New Roman"/>
                <w:b w:val="0"/>
                <w:bCs w:val="0"/>
                <w:color w:val="auto"/>
                <w:sz w:val="24"/>
                <w:lang w:val="en-US" w:eastAsia="zh-CN"/>
              </w:rPr>
              <w:t>采取不同型号的缝纫机</w:t>
            </w:r>
            <w:r>
              <w:rPr>
                <w:rFonts w:hint="default" w:ascii="Times New Roman" w:hAnsi="Times New Roman" w:cs="Times New Roman"/>
                <w:b w:val="0"/>
                <w:bCs w:val="0"/>
                <w:color w:val="auto"/>
                <w:sz w:val="24"/>
              </w:rPr>
              <w:t>进行拼接缝纫，缝</w:t>
            </w:r>
            <w:r>
              <w:rPr>
                <w:rFonts w:hint="default" w:ascii="Times New Roman" w:hAnsi="Times New Roman" w:cs="Times New Roman"/>
                <w:b w:val="0"/>
                <w:bCs w:val="0"/>
                <w:sz w:val="24"/>
              </w:rPr>
              <w:t>合完毕后成为成品。</w:t>
            </w:r>
          </w:p>
          <w:p>
            <w:pPr>
              <w:spacing w:line="360" w:lineRule="auto"/>
              <w:ind w:firstLine="480" w:firstLineChars="200"/>
              <w:jc w:val="both"/>
              <w:rPr>
                <w:rFonts w:hint="default" w:ascii="Times New Roman" w:hAnsi="Times New Roman" w:cs="Times New Roman"/>
                <w:sz w:val="24"/>
              </w:rPr>
            </w:pPr>
            <w:r>
              <w:rPr>
                <w:rFonts w:hint="default" w:ascii="Times New Roman" w:hAnsi="Times New Roman" w:eastAsia="宋体" w:cs="Times New Roman"/>
                <w:b w:val="0"/>
                <w:bCs w:val="0"/>
                <w:sz w:val="24"/>
              </w:rPr>
              <w:t>④</w:t>
            </w:r>
            <w:r>
              <w:rPr>
                <w:rFonts w:hint="default" w:ascii="Times New Roman" w:hAnsi="Times New Roman" w:cs="Times New Roman"/>
                <w:b w:val="0"/>
                <w:bCs w:val="0"/>
                <w:sz w:val="24"/>
              </w:rPr>
              <w:t>检验：缝合完毕后的袋子有专门的计数人员</w:t>
            </w:r>
            <w:r>
              <w:rPr>
                <w:rFonts w:hint="default" w:ascii="Times New Roman" w:hAnsi="Times New Roman" w:cs="Times New Roman"/>
                <w:sz w:val="24"/>
              </w:rPr>
              <w:t>进行计数，然后再有质检员进行检验袋子的外观形状、尺寸、有缝纫线的地方是否缝制到位，检验合格的袋子再进行折叠、打包、入库。</w:t>
            </w:r>
          </w:p>
          <w:p>
            <w:pPr>
              <w:spacing w:line="500" w:lineRule="exact"/>
              <w:ind w:firstLine="482" w:firstLineChars="200"/>
              <w:jc w:val="both"/>
              <w:rPr>
                <w:rFonts w:hint="default" w:ascii="Times New Roman" w:hAnsi="Times New Roman" w:cs="Times New Roman"/>
                <w:b/>
                <w:color w:val="000000"/>
                <w:sz w:val="24"/>
              </w:rPr>
            </w:pPr>
            <w:r>
              <w:rPr>
                <w:rFonts w:hint="default" w:ascii="Times New Roman" w:hAnsi="Times New Roman" w:cs="Times New Roman"/>
                <w:b/>
                <w:color w:val="000000"/>
                <w:sz w:val="24"/>
              </w:rPr>
              <w:t>产污环节：</w:t>
            </w:r>
          </w:p>
          <w:p>
            <w:pPr>
              <w:spacing w:line="440" w:lineRule="exact"/>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表2-</w:t>
            </w:r>
            <w:r>
              <w:rPr>
                <w:rFonts w:hint="default" w:ascii="Times New Roman" w:hAnsi="Times New Roman" w:cs="Times New Roman"/>
                <w:b/>
                <w:color w:val="auto"/>
                <w:sz w:val="21"/>
                <w:szCs w:val="21"/>
                <w:lang w:val="en-US" w:eastAsia="zh-CN"/>
              </w:rPr>
              <w:t>8</w:t>
            </w:r>
            <w:r>
              <w:rPr>
                <w:rFonts w:hint="default" w:ascii="Times New Roman" w:hAnsi="Times New Roman" w:cs="Times New Roman"/>
                <w:b/>
                <w:color w:val="auto"/>
                <w:sz w:val="21"/>
                <w:szCs w:val="21"/>
              </w:rPr>
              <w:t xml:space="preserve">   运营期产污环节一览表</w:t>
            </w:r>
          </w:p>
          <w:tbl>
            <w:tblPr>
              <w:tblStyle w:val="23"/>
              <w:tblW w:w="83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9"/>
              <w:gridCol w:w="1584"/>
              <w:gridCol w:w="1205"/>
              <w:gridCol w:w="1703"/>
              <w:gridCol w:w="27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79" w:type="pct"/>
                  <w:vAlign w:val="center"/>
                </w:tcPr>
                <w:p>
                  <w:pPr>
                    <w:widowControl/>
                    <w:spacing w:line="320" w:lineRule="exact"/>
                    <w:jc w:val="center"/>
                    <w:rPr>
                      <w:rFonts w:hint="default" w:ascii="Times New Roman" w:hAnsi="Times New Roman" w:cs="Times New Roman"/>
                      <w:b/>
                      <w:bCs/>
                      <w:color w:val="000000"/>
                      <w:kern w:val="0"/>
                      <w:sz w:val="21"/>
                      <w:szCs w:val="21"/>
                    </w:rPr>
                  </w:pPr>
                  <w:r>
                    <w:rPr>
                      <w:rFonts w:hint="default" w:ascii="Times New Roman" w:hAnsi="Times New Roman" w:cs="Times New Roman"/>
                      <w:b/>
                      <w:bCs/>
                      <w:color w:val="000000"/>
                      <w:kern w:val="0"/>
                      <w:sz w:val="21"/>
                      <w:szCs w:val="21"/>
                    </w:rPr>
                    <w:t>污染源分类</w:t>
                  </w:r>
                </w:p>
              </w:tc>
              <w:tc>
                <w:tcPr>
                  <w:tcW w:w="944" w:type="pct"/>
                  <w:vAlign w:val="center"/>
                </w:tcPr>
                <w:p>
                  <w:pPr>
                    <w:widowControl/>
                    <w:spacing w:line="320" w:lineRule="exact"/>
                    <w:jc w:val="center"/>
                    <w:rPr>
                      <w:rFonts w:hint="default" w:ascii="Times New Roman" w:hAnsi="Times New Roman" w:cs="Times New Roman"/>
                      <w:b/>
                      <w:bCs/>
                      <w:color w:val="000000"/>
                      <w:kern w:val="0"/>
                      <w:sz w:val="21"/>
                      <w:szCs w:val="21"/>
                    </w:rPr>
                  </w:pPr>
                  <w:r>
                    <w:rPr>
                      <w:rFonts w:hint="default" w:ascii="Times New Roman" w:hAnsi="Times New Roman" w:cs="Times New Roman"/>
                      <w:b/>
                      <w:bCs/>
                      <w:color w:val="000000"/>
                      <w:kern w:val="0"/>
                      <w:sz w:val="21"/>
                      <w:szCs w:val="21"/>
                    </w:rPr>
                    <w:t>污染来源</w:t>
                  </w:r>
                </w:p>
              </w:tc>
              <w:tc>
                <w:tcPr>
                  <w:tcW w:w="718" w:type="pct"/>
                  <w:vAlign w:val="center"/>
                </w:tcPr>
                <w:p>
                  <w:pPr>
                    <w:widowControl/>
                    <w:spacing w:line="320" w:lineRule="exact"/>
                    <w:jc w:val="center"/>
                    <w:rPr>
                      <w:rFonts w:hint="default" w:ascii="Times New Roman" w:hAnsi="Times New Roman" w:cs="Times New Roman"/>
                      <w:b/>
                      <w:bCs/>
                      <w:color w:val="000000"/>
                      <w:kern w:val="0"/>
                      <w:sz w:val="21"/>
                      <w:szCs w:val="21"/>
                    </w:rPr>
                  </w:pPr>
                  <w:r>
                    <w:rPr>
                      <w:rFonts w:hint="default" w:ascii="Times New Roman" w:hAnsi="Times New Roman" w:cs="Times New Roman"/>
                      <w:b/>
                      <w:bCs/>
                      <w:color w:val="000000"/>
                      <w:kern w:val="0"/>
                      <w:sz w:val="21"/>
                      <w:szCs w:val="21"/>
                    </w:rPr>
                    <w:t>名称</w:t>
                  </w:r>
                </w:p>
                <w:p>
                  <w:pPr>
                    <w:widowControl/>
                    <w:spacing w:line="320" w:lineRule="exact"/>
                    <w:jc w:val="center"/>
                    <w:rPr>
                      <w:rFonts w:hint="default" w:ascii="Times New Roman" w:hAnsi="Times New Roman" w:cs="Times New Roman"/>
                      <w:b/>
                      <w:bCs/>
                      <w:color w:val="000000"/>
                      <w:kern w:val="0"/>
                      <w:sz w:val="21"/>
                      <w:szCs w:val="21"/>
                    </w:rPr>
                  </w:pPr>
                  <w:r>
                    <w:rPr>
                      <w:rFonts w:hint="default" w:ascii="Times New Roman" w:hAnsi="Times New Roman" w:cs="Times New Roman"/>
                      <w:b/>
                      <w:bCs/>
                      <w:color w:val="000000"/>
                      <w:kern w:val="0"/>
                      <w:sz w:val="21"/>
                      <w:szCs w:val="21"/>
                    </w:rPr>
                    <w:t>（编号）</w:t>
                  </w:r>
                </w:p>
              </w:tc>
              <w:tc>
                <w:tcPr>
                  <w:tcW w:w="1015" w:type="pct"/>
                  <w:vAlign w:val="center"/>
                </w:tcPr>
                <w:p>
                  <w:pPr>
                    <w:widowControl/>
                    <w:spacing w:line="320" w:lineRule="exact"/>
                    <w:jc w:val="center"/>
                    <w:rPr>
                      <w:rFonts w:hint="default" w:ascii="Times New Roman" w:hAnsi="Times New Roman" w:cs="Times New Roman"/>
                      <w:b/>
                      <w:bCs/>
                      <w:color w:val="000000"/>
                      <w:kern w:val="0"/>
                      <w:sz w:val="21"/>
                      <w:szCs w:val="21"/>
                    </w:rPr>
                  </w:pPr>
                  <w:r>
                    <w:rPr>
                      <w:rFonts w:hint="default" w:ascii="Times New Roman" w:hAnsi="Times New Roman" w:cs="Times New Roman"/>
                      <w:b/>
                      <w:bCs/>
                      <w:color w:val="000000"/>
                      <w:kern w:val="0"/>
                      <w:sz w:val="21"/>
                      <w:szCs w:val="21"/>
                    </w:rPr>
                    <w:t>主要污染物</w:t>
                  </w:r>
                </w:p>
              </w:tc>
              <w:tc>
                <w:tcPr>
                  <w:tcW w:w="1641" w:type="pct"/>
                  <w:vAlign w:val="center"/>
                </w:tcPr>
                <w:p>
                  <w:pPr>
                    <w:widowControl/>
                    <w:spacing w:line="320" w:lineRule="exact"/>
                    <w:jc w:val="center"/>
                    <w:rPr>
                      <w:rFonts w:hint="default" w:ascii="Times New Roman" w:hAnsi="Times New Roman" w:eastAsia="宋体" w:cs="Times New Roman"/>
                      <w:b/>
                      <w:bCs/>
                      <w:color w:val="000000"/>
                      <w:kern w:val="0"/>
                      <w:sz w:val="21"/>
                      <w:szCs w:val="21"/>
                      <w:lang w:val="en-US" w:eastAsia="zh-CN"/>
                    </w:rPr>
                  </w:pPr>
                  <w:r>
                    <w:rPr>
                      <w:rFonts w:hint="default" w:ascii="Times New Roman" w:hAnsi="Times New Roman" w:eastAsia="宋体" w:cs="Times New Roman"/>
                      <w:b/>
                      <w:bCs/>
                      <w:color w:val="000000"/>
                      <w:kern w:val="0"/>
                      <w:sz w:val="21"/>
                      <w:szCs w:val="21"/>
                      <w:lang w:val="en-US" w:eastAsia="zh-CN"/>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679" w:type="pct"/>
                  <w:vMerge w:val="restart"/>
                  <w:vAlign w:val="center"/>
                </w:tcPr>
                <w:p>
                  <w:pPr>
                    <w:widowControl/>
                    <w:spacing w:line="320" w:lineRule="exact"/>
                    <w:jc w:val="center"/>
                    <w:rPr>
                      <w:rFonts w:hint="default" w:ascii="Times New Roman" w:hAnsi="Times New Roman" w:cs="Times New Roman"/>
                      <w:color w:val="000000"/>
                      <w:kern w:val="0"/>
                      <w:sz w:val="21"/>
                      <w:szCs w:val="21"/>
                    </w:rPr>
                  </w:pPr>
                  <w:r>
                    <w:rPr>
                      <w:rFonts w:hint="default" w:ascii="Times New Roman" w:hAnsi="Times New Roman" w:eastAsia="宋体" w:cs="Times New Roman"/>
                      <w:color w:val="000000"/>
                      <w:kern w:val="0"/>
                      <w:sz w:val="21"/>
                      <w:szCs w:val="21"/>
                      <w:lang w:val="en-US" w:eastAsia="zh-CN"/>
                    </w:rPr>
                    <w:t>有组织</w:t>
                  </w:r>
                  <w:r>
                    <w:rPr>
                      <w:rFonts w:hint="default" w:ascii="Times New Roman" w:hAnsi="Times New Roman" w:cs="Times New Roman"/>
                      <w:color w:val="000000"/>
                      <w:kern w:val="0"/>
                      <w:sz w:val="21"/>
                      <w:szCs w:val="21"/>
                    </w:rPr>
                    <w:t>废气</w:t>
                  </w:r>
                </w:p>
              </w:tc>
              <w:tc>
                <w:tcPr>
                  <w:tcW w:w="944"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涂膜废气</w:t>
                  </w:r>
                </w:p>
              </w:tc>
              <w:tc>
                <w:tcPr>
                  <w:tcW w:w="718"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G</w:t>
                  </w:r>
                  <w:r>
                    <w:rPr>
                      <w:rFonts w:hint="eastAsia" w:ascii="Times New Roman" w:hAnsi="Times New Roman" w:cs="Times New Roman"/>
                      <w:color w:val="000000"/>
                      <w:kern w:val="0"/>
                      <w:sz w:val="21"/>
                      <w:szCs w:val="21"/>
                      <w:lang w:val="en-US" w:eastAsia="zh-CN"/>
                    </w:rPr>
                    <w:t>1</w:t>
                  </w:r>
                </w:p>
              </w:tc>
              <w:tc>
                <w:tcPr>
                  <w:tcW w:w="1015"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非甲烷总烃</w:t>
                  </w:r>
                </w:p>
              </w:tc>
              <w:tc>
                <w:tcPr>
                  <w:tcW w:w="1641" w:type="pct"/>
                  <w:vMerge w:val="restar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二级活性炭吸附</w:t>
                  </w:r>
                  <w:r>
                    <w:rPr>
                      <w:rFonts w:hint="default" w:ascii="Times New Roman" w:hAnsi="Times New Roman" w:eastAsia="宋体" w:cs="Times New Roman"/>
                      <w:color w:val="000000"/>
                      <w:kern w:val="0"/>
                      <w:sz w:val="21"/>
                      <w:szCs w:val="21"/>
                      <w:lang w:val="en-US" w:eastAsia="zh-CN"/>
                    </w:rPr>
                    <w:t>+</w:t>
                  </w:r>
                  <w:r>
                    <w:rPr>
                      <w:rFonts w:hint="default" w:ascii="Times New Roman" w:hAnsi="Times New Roman" w:cs="Times New Roman"/>
                      <w:color w:val="000000"/>
                      <w:kern w:val="0"/>
                      <w:sz w:val="21"/>
                      <w:szCs w:val="21"/>
                      <w:lang w:val="en-US" w:eastAsia="zh-CN"/>
                    </w:rPr>
                    <w:t>2</w:t>
                  </w:r>
                  <w:r>
                    <w:rPr>
                      <w:rFonts w:hint="default" w:ascii="Times New Roman" w:hAnsi="Times New Roman" w:eastAsia="宋体" w:cs="Times New Roman"/>
                      <w:color w:val="000000"/>
                      <w:kern w:val="0"/>
                      <w:sz w:val="21"/>
                      <w:szCs w:val="21"/>
                      <w:lang w:val="en-US" w:eastAsia="zh-CN"/>
                    </w:rPr>
                    <w:t>#15m高排气筒</w:t>
                  </w:r>
                  <w:r>
                    <w:rPr>
                      <w:rFonts w:hint="default" w:ascii="Times New Roman" w:hAnsi="Times New Roman" w:cs="Times New Roman"/>
                      <w:color w:val="000000"/>
                      <w:kern w:val="0"/>
                      <w:sz w:val="21"/>
                      <w:szCs w:val="21"/>
                      <w:lang w:val="en-US" w:eastAsia="zh-CN"/>
                    </w:rPr>
                    <w:t>（DA002）</w:t>
                  </w:r>
                  <w:r>
                    <w:rPr>
                      <w:rFonts w:hint="default" w:ascii="Times New Roman" w:hAnsi="Times New Roman" w:eastAsia="宋体" w:cs="Times New Roman"/>
                      <w:color w:val="000000"/>
                      <w:kern w:val="0"/>
                      <w:sz w:val="21"/>
                      <w:szCs w:val="21"/>
                      <w:lang w:val="en-US" w:eastAsia="zh-CN"/>
                    </w:rPr>
                    <w:t>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79" w:type="pct"/>
                  <w:vMerge w:val="continue"/>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p>
              </w:tc>
              <w:tc>
                <w:tcPr>
                  <w:tcW w:w="944"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印刷</w:t>
                  </w:r>
                  <w:r>
                    <w:rPr>
                      <w:rFonts w:hint="default" w:ascii="Times New Roman" w:hAnsi="Times New Roman" w:eastAsia="宋体" w:cs="Times New Roman"/>
                      <w:color w:val="000000"/>
                      <w:kern w:val="0"/>
                      <w:sz w:val="21"/>
                      <w:szCs w:val="21"/>
                      <w:lang w:val="en-US" w:eastAsia="zh-CN"/>
                    </w:rPr>
                    <w:t>废气</w:t>
                  </w:r>
                </w:p>
              </w:tc>
              <w:tc>
                <w:tcPr>
                  <w:tcW w:w="718"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G</w:t>
                  </w:r>
                  <w:r>
                    <w:rPr>
                      <w:rFonts w:hint="eastAsia" w:ascii="Times New Roman" w:hAnsi="Times New Roman" w:cs="Times New Roman"/>
                      <w:color w:val="000000"/>
                      <w:kern w:val="0"/>
                      <w:sz w:val="21"/>
                      <w:szCs w:val="21"/>
                      <w:lang w:val="en-US" w:eastAsia="zh-CN"/>
                    </w:rPr>
                    <w:t>2</w:t>
                  </w:r>
                </w:p>
              </w:tc>
              <w:tc>
                <w:tcPr>
                  <w:tcW w:w="1015"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非甲烷总烃</w:t>
                  </w:r>
                </w:p>
              </w:tc>
              <w:tc>
                <w:tcPr>
                  <w:tcW w:w="1641" w:type="pct"/>
                  <w:vMerge w:val="continue"/>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679"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无组织废气</w:t>
                  </w:r>
                </w:p>
              </w:tc>
              <w:tc>
                <w:tcPr>
                  <w:tcW w:w="944" w:type="pct"/>
                  <w:vAlign w:val="center"/>
                </w:tcPr>
                <w:p>
                  <w:pPr>
                    <w:keepNext w:val="0"/>
                    <w:keepLines w:val="0"/>
                    <w:widowControl/>
                    <w:suppressLineNumbers w:val="0"/>
                    <w:jc w:val="left"/>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bidi="ar"/>
                    </w:rPr>
                    <w:t>未被集气罩收集的</w:t>
                  </w:r>
                  <w:r>
                    <w:rPr>
                      <w:rFonts w:hint="default" w:ascii="Times New Roman" w:hAnsi="Times New Roman" w:cs="Times New Roman"/>
                      <w:color w:val="000000"/>
                      <w:kern w:val="0"/>
                      <w:sz w:val="21"/>
                      <w:szCs w:val="21"/>
                      <w:lang w:val="en-US" w:eastAsia="zh-CN"/>
                    </w:rPr>
                    <w:t>涂膜废气、印刷</w:t>
                  </w:r>
                  <w:r>
                    <w:rPr>
                      <w:rFonts w:hint="default" w:ascii="Times New Roman" w:hAnsi="Times New Roman" w:eastAsia="宋体" w:cs="Times New Roman"/>
                      <w:color w:val="000000"/>
                      <w:kern w:val="0"/>
                      <w:sz w:val="21"/>
                      <w:szCs w:val="21"/>
                      <w:lang w:val="en-US" w:eastAsia="zh-CN" w:bidi="ar"/>
                    </w:rPr>
                    <w:t xml:space="preserve">废气 </w:t>
                  </w:r>
                </w:p>
              </w:tc>
              <w:tc>
                <w:tcPr>
                  <w:tcW w:w="718" w:type="pct"/>
                  <w:vAlign w:val="center"/>
                </w:tcPr>
                <w:p>
                  <w:pPr>
                    <w:widowControl/>
                    <w:spacing w:line="320" w:lineRule="exact"/>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val="en-US" w:eastAsia="zh-CN"/>
                    </w:rPr>
                    <w:t>/</w:t>
                  </w:r>
                </w:p>
              </w:tc>
              <w:tc>
                <w:tcPr>
                  <w:tcW w:w="1015"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非甲烷总烃</w:t>
                  </w:r>
                </w:p>
              </w:tc>
              <w:tc>
                <w:tcPr>
                  <w:tcW w:w="1641" w:type="pct"/>
                  <w:vAlign w:val="center"/>
                </w:tcPr>
                <w:p>
                  <w:pPr>
                    <w:widowControl/>
                    <w:spacing w:line="320" w:lineRule="exac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车间密闭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79"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生产废水</w:t>
                  </w:r>
                </w:p>
              </w:tc>
              <w:tc>
                <w:tcPr>
                  <w:tcW w:w="944"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无</w:t>
                  </w:r>
                </w:p>
              </w:tc>
              <w:tc>
                <w:tcPr>
                  <w:tcW w:w="718"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rPr>
                    <w:t>/</w:t>
                  </w:r>
                </w:p>
              </w:tc>
              <w:tc>
                <w:tcPr>
                  <w:tcW w:w="1015"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rPr>
                    <w:t>/</w:t>
                  </w:r>
                </w:p>
              </w:tc>
              <w:tc>
                <w:tcPr>
                  <w:tcW w:w="1641" w:type="pct"/>
                  <w:vAlign w:val="center"/>
                </w:tcPr>
                <w:p>
                  <w:pPr>
                    <w:widowControl/>
                    <w:spacing w:line="320" w:lineRule="exac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79" w:type="pct"/>
                  <w:vAlign w:val="center"/>
                </w:tcPr>
                <w:p>
                  <w:pPr>
                    <w:widowControl/>
                    <w:spacing w:line="320" w:lineRule="exact"/>
                    <w:jc w:val="center"/>
                    <w:rPr>
                      <w:rFonts w:hint="default" w:ascii="Times New Roman" w:hAnsi="Times New Roman" w:cs="Times New Roman"/>
                      <w:color w:val="000000"/>
                      <w:kern w:val="0"/>
                      <w:sz w:val="21"/>
                      <w:szCs w:val="21"/>
                    </w:rPr>
                  </w:pPr>
                  <w:r>
                    <w:rPr>
                      <w:rFonts w:hint="default" w:ascii="Times New Roman" w:hAnsi="Times New Roman" w:eastAsia="宋体" w:cs="Times New Roman"/>
                      <w:color w:val="000000"/>
                      <w:kern w:val="0"/>
                      <w:sz w:val="21"/>
                      <w:szCs w:val="21"/>
                      <w:lang w:val="en-US" w:eastAsia="zh-CN"/>
                    </w:rPr>
                    <w:t>生活</w:t>
                  </w:r>
                  <w:r>
                    <w:rPr>
                      <w:rFonts w:hint="default" w:ascii="Times New Roman" w:hAnsi="Times New Roman" w:cs="Times New Roman"/>
                      <w:color w:val="000000"/>
                      <w:kern w:val="0"/>
                      <w:sz w:val="21"/>
                      <w:szCs w:val="21"/>
                    </w:rPr>
                    <w:t>废水</w:t>
                  </w:r>
                </w:p>
              </w:tc>
              <w:tc>
                <w:tcPr>
                  <w:tcW w:w="944"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无</w:t>
                  </w:r>
                </w:p>
              </w:tc>
              <w:tc>
                <w:tcPr>
                  <w:tcW w:w="718" w:type="pct"/>
                  <w:vAlign w:val="center"/>
                </w:tcPr>
                <w:p>
                  <w:pPr>
                    <w:widowControl/>
                    <w:spacing w:line="320" w:lineRule="exact"/>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w:t>
                  </w:r>
                </w:p>
              </w:tc>
              <w:tc>
                <w:tcPr>
                  <w:tcW w:w="1015"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rPr>
                    <w:t>/</w:t>
                  </w:r>
                </w:p>
              </w:tc>
              <w:tc>
                <w:tcPr>
                  <w:tcW w:w="1641"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79" w:type="pct"/>
                  <w:vMerge w:val="restart"/>
                  <w:vAlign w:val="center"/>
                </w:tcPr>
                <w:p>
                  <w:pPr>
                    <w:spacing w:line="320" w:lineRule="exact"/>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一般固废</w:t>
                  </w:r>
                </w:p>
              </w:tc>
              <w:tc>
                <w:tcPr>
                  <w:tcW w:w="944"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裁剪印刷</w:t>
                  </w:r>
                </w:p>
              </w:tc>
              <w:tc>
                <w:tcPr>
                  <w:tcW w:w="718"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S</w:t>
                  </w:r>
                  <w:r>
                    <w:rPr>
                      <w:rFonts w:hint="default" w:ascii="Times New Roman" w:hAnsi="Times New Roman" w:cs="Times New Roman"/>
                      <w:color w:val="000000"/>
                      <w:kern w:val="0"/>
                      <w:sz w:val="21"/>
                      <w:szCs w:val="21"/>
                      <w:lang w:val="en-US" w:eastAsia="zh-CN"/>
                    </w:rPr>
                    <w:t>1</w:t>
                  </w:r>
                </w:p>
              </w:tc>
              <w:tc>
                <w:tcPr>
                  <w:tcW w:w="1015"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废边角料</w:t>
                  </w:r>
                </w:p>
              </w:tc>
              <w:tc>
                <w:tcPr>
                  <w:tcW w:w="1641" w:type="pct"/>
                  <w:vMerge w:val="restart"/>
                  <w:vAlign w:val="center"/>
                </w:tcPr>
                <w:p>
                  <w:pPr>
                    <w:widowControl/>
                    <w:spacing w:line="320" w:lineRule="exact"/>
                    <w:jc w:val="center"/>
                    <w:rPr>
                      <w:rFonts w:hint="default" w:ascii="Times New Roman" w:hAnsi="Times New Roman" w:eastAsia="宋体" w:cs="Times New Roman"/>
                      <w:color w:val="FF0000"/>
                      <w:kern w:val="0"/>
                      <w:sz w:val="21"/>
                      <w:szCs w:val="21"/>
                      <w:lang w:val="en-US" w:eastAsia="zh-CN"/>
                    </w:rPr>
                  </w:pPr>
                  <w:r>
                    <w:rPr>
                      <w:rFonts w:hint="default" w:ascii="Times New Roman" w:hAnsi="Times New Roman" w:cs="Times New Roman"/>
                      <w:sz w:val="21"/>
                      <w:szCs w:val="21"/>
                    </w:rPr>
                    <w:t>外售综合利用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79" w:type="pct"/>
                  <w:vMerge w:val="continue"/>
                  <w:vAlign w:val="center"/>
                </w:tcPr>
                <w:p>
                  <w:pPr>
                    <w:spacing w:line="320" w:lineRule="exact"/>
                    <w:jc w:val="center"/>
                    <w:rPr>
                      <w:rFonts w:hint="default" w:ascii="Times New Roman" w:hAnsi="Times New Roman" w:cs="Times New Roman"/>
                      <w:color w:val="000000"/>
                      <w:kern w:val="0"/>
                      <w:sz w:val="21"/>
                      <w:szCs w:val="21"/>
                    </w:rPr>
                  </w:pPr>
                </w:p>
              </w:tc>
              <w:tc>
                <w:tcPr>
                  <w:tcW w:w="944"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检验</w:t>
                  </w:r>
                </w:p>
              </w:tc>
              <w:tc>
                <w:tcPr>
                  <w:tcW w:w="718"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S2</w:t>
                  </w:r>
                </w:p>
              </w:tc>
              <w:tc>
                <w:tcPr>
                  <w:tcW w:w="1015"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不合格产品</w:t>
                  </w:r>
                </w:p>
              </w:tc>
              <w:tc>
                <w:tcPr>
                  <w:tcW w:w="1641" w:type="pct"/>
                  <w:vMerge w:val="continue"/>
                  <w:vAlign w:val="center"/>
                </w:tcPr>
                <w:p>
                  <w:pPr>
                    <w:widowControl/>
                    <w:spacing w:line="320" w:lineRule="exact"/>
                    <w:jc w:val="center"/>
                    <w:rPr>
                      <w:rFonts w:hint="default" w:ascii="Times New Roman" w:hAnsi="Times New Roman" w:cs="Times New Roman"/>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79" w:type="pct"/>
                  <w:vMerge w:val="continue"/>
                  <w:vAlign w:val="center"/>
                </w:tcPr>
                <w:p>
                  <w:pPr>
                    <w:spacing w:line="320" w:lineRule="exact"/>
                    <w:jc w:val="center"/>
                    <w:rPr>
                      <w:rFonts w:hint="default" w:ascii="Times New Roman" w:hAnsi="Times New Roman" w:cs="Times New Roman"/>
                      <w:color w:val="000000"/>
                      <w:kern w:val="0"/>
                      <w:sz w:val="21"/>
                      <w:szCs w:val="21"/>
                    </w:rPr>
                  </w:pPr>
                </w:p>
              </w:tc>
              <w:tc>
                <w:tcPr>
                  <w:tcW w:w="944" w:type="pct"/>
                  <w:vAlign w:val="center"/>
                </w:tcPr>
                <w:p>
                  <w:pPr>
                    <w:widowControl/>
                    <w:spacing w:line="320" w:lineRule="exact"/>
                    <w:jc w:val="center"/>
                    <w:rPr>
                      <w:rFonts w:hint="default" w:ascii="Times New Roman" w:hAnsi="Times New Roman"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w:t>
                  </w:r>
                </w:p>
              </w:tc>
              <w:tc>
                <w:tcPr>
                  <w:tcW w:w="718" w:type="pct"/>
                  <w:vAlign w:val="center"/>
                </w:tcPr>
                <w:p>
                  <w:pPr>
                    <w:widowControl/>
                    <w:spacing w:line="320" w:lineRule="exact"/>
                    <w:jc w:val="center"/>
                    <w:rPr>
                      <w:rFonts w:hint="default" w:ascii="Times New Roman" w:hAnsi="Times New Roman"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w:t>
                  </w:r>
                </w:p>
              </w:tc>
              <w:tc>
                <w:tcPr>
                  <w:tcW w:w="1015" w:type="pct"/>
                  <w:vAlign w:val="center"/>
                </w:tcPr>
                <w:p>
                  <w:pPr>
                    <w:widowControl/>
                    <w:spacing w:line="320" w:lineRule="exact"/>
                    <w:jc w:val="center"/>
                    <w:rPr>
                      <w:rFonts w:hint="default" w:ascii="Times New Roman" w:hAnsi="Times New Roman" w:cs="Times New Roman"/>
                      <w:color w:val="000000"/>
                      <w:kern w:val="0"/>
                      <w:sz w:val="21"/>
                      <w:szCs w:val="21"/>
                      <w:lang w:val="en-US" w:eastAsia="zh-CN"/>
                    </w:rPr>
                  </w:pPr>
                  <w:r>
                    <w:rPr>
                      <w:rFonts w:hint="default" w:ascii="Times New Roman" w:hAnsi="Times New Roman" w:cs="Times New Roman"/>
                      <w:color w:val="000000"/>
                      <w:kern w:val="0"/>
                      <w:sz w:val="21"/>
                      <w:szCs w:val="21"/>
                      <w:lang w:val="en-US" w:eastAsia="zh-CN"/>
                    </w:rPr>
                    <w:t>废包装物</w:t>
                  </w:r>
                </w:p>
              </w:tc>
              <w:tc>
                <w:tcPr>
                  <w:tcW w:w="1641" w:type="pct"/>
                  <w:vMerge w:val="continue"/>
                  <w:vAlign w:val="center"/>
                </w:tcPr>
                <w:p>
                  <w:pPr>
                    <w:widowControl/>
                    <w:spacing w:line="320" w:lineRule="exact"/>
                    <w:jc w:val="center"/>
                    <w:rPr>
                      <w:rFonts w:hint="default" w:ascii="Times New Roman" w:hAnsi="Times New Roman" w:cs="Times New Roman"/>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79" w:type="pct"/>
                  <w:vMerge w:val="restart"/>
                  <w:vAlign w:val="center"/>
                </w:tcPr>
                <w:p>
                  <w:pPr>
                    <w:spacing w:line="320" w:lineRule="exac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危险废物</w:t>
                  </w:r>
                </w:p>
              </w:tc>
              <w:tc>
                <w:tcPr>
                  <w:tcW w:w="944" w:type="pct"/>
                  <w:vAlign w:val="center"/>
                </w:tcPr>
                <w:p>
                  <w:pPr>
                    <w:widowControl/>
                    <w:spacing w:line="320" w:lineRule="exac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裁剪印刷</w:t>
                  </w:r>
                </w:p>
              </w:tc>
              <w:tc>
                <w:tcPr>
                  <w:tcW w:w="718" w:type="pct"/>
                  <w:vAlign w:val="center"/>
                </w:tcPr>
                <w:p>
                  <w:pPr>
                    <w:widowControl/>
                    <w:spacing w:line="320" w:lineRule="exact"/>
                    <w:jc w:val="center"/>
                    <w:rPr>
                      <w:rFonts w:hint="default" w:ascii="Times New Roman" w:hAnsi="Times New Roman" w:cs="Times New Roman"/>
                      <w:color w:val="auto"/>
                      <w:kern w:val="0"/>
                      <w:sz w:val="21"/>
                      <w:szCs w:val="21"/>
                    </w:rPr>
                  </w:pPr>
                  <w:r>
                    <w:rPr>
                      <w:rFonts w:hint="default" w:ascii="Times New Roman" w:hAnsi="Times New Roman" w:eastAsia="宋体" w:cs="Times New Roman"/>
                      <w:color w:val="auto"/>
                      <w:kern w:val="0"/>
                      <w:sz w:val="21"/>
                      <w:szCs w:val="21"/>
                      <w:lang w:val="en-US" w:eastAsia="zh-CN"/>
                    </w:rPr>
                    <w:t>S</w:t>
                  </w:r>
                  <w:r>
                    <w:rPr>
                      <w:rFonts w:hint="default" w:ascii="Times New Roman" w:hAnsi="Times New Roman" w:cs="Times New Roman"/>
                      <w:color w:val="auto"/>
                      <w:kern w:val="0"/>
                      <w:sz w:val="21"/>
                      <w:szCs w:val="21"/>
                      <w:lang w:val="en-US" w:eastAsia="zh-CN"/>
                    </w:rPr>
                    <w:t>3</w:t>
                  </w:r>
                </w:p>
              </w:tc>
              <w:tc>
                <w:tcPr>
                  <w:tcW w:w="1015" w:type="pct"/>
                  <w:vAlign w:val="center"/>
                </w:tcPr>
                <w:p>
                  <w:pPr>
                    <w:widowControl/>
                    <w:spacing w:line="320" w:lineRule="exact"/>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废水性油</w:t>
                  </w:r>
                  <w:r>
                    <w:rPr>
                      <w:rFonts w:hint="default" w:ascii="Times New Roman" w:hAnsi="Times New Roman" w:eastAsia="宋体" w:cs="Times New Roman"/>
                      <w:color w:val="auto"/>
                      <w:kern w:val="0"/>
                      <w:sz w:val="21"/>
                      <w:szCs w:val="21"/>
                      <w:lang w:val="en-US" w:eastAsia="zh-CN"/>
                    </w:rPr>
                    <w:t xml:space="preserve">墨桶 </w:t>
                  </w:r>
                </w:p>
              </w:tc>
              <w:tc>
                <w:tcPr>
                  <w:tcW w:w="1641" w:type="pct"/>
                  <w:vMerge w:val="restart"/>
                  <w:vAlign w:val="center"/>
                </w:tcPr>
                <w:p>
                  <w:pPr>
                    <w:widowControl/>
                    <w:spacing w:line="320" w:lineRule="exact"/>
                    <w:jc w:val="center"/>
                    <w:rPr>
                      <w:rFonts w:hint="default" w:ascii="Times New Roman" w:hAnsi="Times New Roman" w:eastAsia="宋体" w:cs="Times New Roman"/>
                      <w:color w:val="FF0000"/>
                      <w:kern w:val="0"/>
                      <w:sz w:val="21"/>
                      <w:szCs w:val="21"/>
                      <w:lang w:val="en-US" w:eastAsia="zh-CN"/>
                    </w:rPr>
                  </w:pPr>
                  <w:r>
                    <w:rPr>
                      <w:rFonts w:hint="default" w:ascii="Times New Roman" w:hAnsi="Times New Roman" w:cs="Times New Roman"/>
                      <w:color w:val="auto"/>
                      <w:kern w:val="0"/>
                      <w:sz w:val="21"/>
                      <w:szCs w:val="21"/>
                      <w:lang w:val="en-US" w:eastAsia="zh-CN"/>
                    </w:rPr>
                    <w:t>委托有资质单位进行处置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79" w:type="pct"/>
                  <w:vMerge w:val="continue"/>
                  <w:vAlign w:val="center"/>
                </w:tcPr>
                <w:p>
                  <w:pPr>
                    <w:spacing w:line="320" w:lineRule="exact"/>
                    <w:jc w:val="center"/>
                    <w:rPr>
                      <w:rFonts w:hint="default" w:ascii="Times New Roman" w:hAnsi="Times New Roman" w:cs="Times New Roman"/>
                      <w:color w:val="auto"/>
                      <w:kern w:val="0"/>
                      <w:sz w:val="21"/>
                      <w:szCs w:val="21"/>
                    </w:rPr>
                  </w:pPr>
                </w:p>
              </w:tc>
              <w:tc>
                <w:tcPr>
                  <w:tcW w:w="944" w:type="pct"/>
                  <w:vAlign w:val="center"/>
                </w:tcPr>
                <w:p>
                  <w:pPr>
                    <w:widowControl/>
                    <w:spacing w:line="320" w:lineRule="exact"/>
                    <w:jc w:val="center"/>
                    <w:rPr>
                      <w:rFonts w:hint="default" w:ascii="Times New Roman" w:hAnsi="Times New Roman" w:cs="Times New Roman"/>
                      <w:color w:val="auto"/>
                      <w:kern w:val="0"/>
                      <w:sz w:val="21"/>
                      <w:szCs w:val="21"/>
                    </w:rPr>
                  </w:pPr>
                  <w:r>
                    <w:rPr>
                      <w:rFonts w:hint="default" w:ascii="Times New Roman" w:hAnsi="Times New Roman" w:eastAsia="宋体" w:cs="Times New Roman"/>
                      <w:color w:val="auto"/>
                      <w:kern w:val="0"/>
                      <w:sz w:val="21"/>
                      <w:szCs w:val="21"/>
                      <w:lang w:val="en-US" w:eastAsia="zh-CN"/>
                    </w:rPr>
                    <w:t>废气治理</w:t>
                  </w:r>
                </w:p>
              </w:tc>
              <w:tc>
                <w:tcPr>
                  <w:tcW w:w="718" w:type="pct"/>
                  <w:vAlign w:val="center"/>
                </w:tcPr>
                <w:p>
                  <w:pPr>
                    <w:widowControl/>
                    <w:spacing w:line="320" w:lineRule="exact"/>
                    <w:jc w:val="center"/>
                    <w:rPr>
                      <w:rFonts w:hint="default" w:ascii="Times New Roman" w:hAnsi="Times New Roman" w:cs="Times New Roman"/>
                      <w:color w:val="auto"/>
                      <w:kern w:val="0"/>
                      <w:sz w:val="21"/>
                      <w:szCs w:val="21"/>
                    </w:rPr>
                  </w:pPr>
                  <w:r>
                    <w:rPr>
                      <w:rFonts w:hint="default" w:ascii="Times New Roman" w:hAnsi="Times New Roman" w:eastAsia="宋体" w:cs="Times New Roman"/>
                      <w:color w:val="auto"/>
                      <w:kern w:val="0"/>
                      <w:sz w:val="21"/>
                      <w:szCs w:val="21"/>
                      <w:lang w:val="en-US" w:eastAsia="zh-CN"/>
                    </w:rPr>
                    <w:t>/</w:t>
                  </w:r>
                </w:p>
              </w:tc>
              <w:tc>
                <w:tcPr>
                  <w:tcW w:w="1015" w:type="pct"/>
                  <w:vAlign w:val="center"/>
                </w:tcPr>
                <w:p>
                  <w:pPr>
                    <w:widowControl/>
                    <w:spacing w:line="320" w:lineRule="exact"/>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废活性炭</w:t>
                  </w:r>
                </w:p>
              </w:tc>
              <w:tc>
                <w:tcPr>
                  <w:tcW w:w="1641" w:type="pct"/>
                  <w:vMerge w:val="continue"/>
                  <w:vAlign w:val="center"/>
                </w:tcPr>
                <w:p>
                  <w:pPr>
                    <w:widowControl/>
                    <w:spacing w:line="320" w:lineRule="exact"/>
                    <w:jc w:val="center"/>
                    <w:rPr>
                      <w:rFonts w:hint="default" w:ascii="Times New Roman" w:hAnsi="Times New Roman" w:eastAsia="宋体" w:cs="Times New Roman"/>
                      <w:color w:val="FF0000"/>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79" w:type="pct"/>
                  <w:vAlign w:val="center"/>
                </w:tcPr>
                <w:p>
                  <w:pPr>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噪声</w:t>
                  </w:r>
                </w:p>
              </w:tc>
              <w:tc>
                <w:tcPr>
                  <w:tcW w:w="944"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生产设备</w:t>
                  </w:r>
                </w:p>
              </w:tc>
              <w:tc>
                <w:tcPr>
                  <w:tcW w:w="718" w:type="pct"/>
                  <w:vAlign w:val="center"/>
                </w:tcPr>
                <w:p>
                  <w:pPr>
                    <w:widowControl/>
                    <w:spacing w:line="320" w:lineRule="exact"/>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rPr>
                    <w:t>/</w:t>
                  </w:r>
                </w:p>
              </w:tc>
              <w:tc>
                <w:tcPr>
                  <w:tcW w:w="1015" w:type="pct"/>
                  <w:vAlign w:val="center"/>
                </w:tcPr>
                <w:p>
                  <w:pPr>
                    <w:pStyle w:val="18"/>
                    <w:jc w:val="center"/>
                    <w:rPr>
                      <w:rFonts w:hint="default" w:ascii="Times New Roman" w:hAnsi="Times New Roman" w:cs="Times New Roman"/>
                      <w:color w:val="000000"/>
                      <w:kern w:val="0"/>
                      <w:sz w:val="21"/>
                      <w:szCs w:val="21"/>
                    </w:rPr>
                  </w:pPr>
                  <w:r>
                    <w:rPr>
                      <w:rFonts w:hint="default" w:ascii="Times New Roman" w:hAnsi="Times New Roman" w:eastAsia="宋体" w:cs="Times New Roman"/>
                      <w:color w:val="auto"/>
                      <w:sz w:val="21"/>
                      <w:szCs w:val="21"/>
                    </w:rPr>
                    <w:t>噪声</w:t>
                  </w:r>
                </w:p>
              </w:tc>
              <w:tc>
                <w:tcPr>
                  <w:tcW w:w="1641" w:type="pct"/>
                  <w:vAlign w:val="center"/>
                </w:tcPr>
                <w:p>
                  <w:pPr>
                    <w:pStyle w:val="18"/>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auto"/>
                      <w:sz w:val="21"/>
                      <w:szCs w:val="21"/>
                      <w:lang w:val="en-US" w:eastAsia="zh-CN"/>
                    </w:rPr>
                    <w:t>选择低噪音设备，采取</w:t>
                  </w:r>
                  <w:r>
                    <w:rPr>
                      <w:rFonts w:hint="default" w:ascii="Times New Roman" w:hAnsi="Times New Roman" w:eastAsia="宋体" w:cs="Times New Roman"/>
                      <w:color w:val="auto"/>
                      <w:sz w:val="21"/>
                      <w:szCs w:val="21"/>
                    </w:rPr>
                    <w:t>基础减振、厂房隔声</w:t>
                  </w:r>
                  <w:r>
                    <w:rPr>
                      <w:rFonts w:hint="default" w:ascii="Times New Roman" w:hAnsi="Times New Roman" w:eastAsia="宋体" w:cs="Times New Roman"/>
                      <w:color w:val="auto"/>
                      <w:sz w:val="21"/>
                      <w:szCs w:val="21"/>
                      <w:lang w:val="en-US" w:eastAsia="zh-CN"/>
                    </w:rPr>
                    <w:t>等措施</w:t>
                  </w:r>
                </w:p>
              </w:tc>
            </w:tr>
          </w:tbl>
          <w:p>
            <w:pPr>
              <w:spacing w:line="460" w:lineRule="exact"/>
              <w:jc w:val="both"/>
              <w:rPr>
                <w:rFonts w:hint="default" w:ascii="Times New Roman" w:hAnsi="Times New Roman" w:cs="Times New Roman" w:eastAsiaTheme="minorEastAsia"/>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5" w:type="pct"/>
            <w:vAlign w:val="center"/>
          </w:tcPr>
          <w:p>
            <w:pPr>
              <w:jc w:val="center"/>
              <w:rPr>
                <w:rFonts w:hint="default" w:ascii="Times New Roman" w:hAnsi="Times New Roman" w:eastAsia="宋体" w:cs="Times New Roman"/>
                <w:spacing w:val="-1"/>
                <w:sz w:val="24"/>
                <w:szCs w:val="24"/>
                <w:lang w:eastAsia="zh-CN"/>
              </w:rPr>
            </w:pPr>
            <w:r>
              <w:rPr>
                <w:rFonts w:hint="default" w:ascii="Times New Roman" w:hAnsi="Times New Roman" w:eastAsia="宋体" w:cs="Times New Roman"/>
                <w:spacing w:val="-1"/>
                <w:sz w:val="24"/>
                <w:szCs w:val="24"/>
                <w:lang w:eastAsia="zh-CN"/>
              </w:rPr>
              <w:t>与项目有关的原有环境污染问题</w:t>
            </w:r>
          </w:p>
        </w:tc>
        <w:tc>
          <w:tcPr>
            <w:tcW w:w="4674" w:type="pct"/>
            <w:vAlign w:val="center"/>
          </w:tcPr>
          <w:p>
            <w:pPr>
              <w:spacing w:line="460" w:lineRule="exact"/>
              <w:ind w:firstLine="482" w:firstLineChars="200"/>
              <w:jc w:val="both"/>
              <w:rPr>
                <w:rFonts w:hint="default" w:ascii="Times New Roman" w:hAnsi="Times New Roman" w:cs="Times New Roman"/>
                <w:b/>
                <w:bCs/>
                <w:sz w:val="24"/>
              </w:rPr>
            </w:pPr>
            <w:r>
              <w:rPr>
                <w:rFonts w:hint="default" w:ascii="Times New Roman" w:hAnsi="Times New Roman" w:cs="Times New Roman"/>
                <w:b/>
                <w:bCs/>
                <w:sz w:val="24"/>
              </w:rPr>
              <w:t>1、已批复项目环保手续情况</w:t>
            </w:r>
          </w:p>
          <w:p>
            <w:pPr>
              <w:pStyle w:val="32"/>
              <w:spacing w:line="460" w:lineRule="exact"/>
              <w:ind w:firstLine="420" w:firstLineChars="200"/>
              <w:jc w:val="center"/>
              <w:rPr>
                <w:rFonts w:hint="default" w:ascii="Times New Roman" w:hAnsi="Times New Roman" w:cs="Times New Roman"/>
                <w:b/>
                <w:bCs/>
                <w:sz w:val="21"/>
                <w:szCs w:val="21"/>
              </w:rPr>
            </w:pPr>
            <w:r>
              <w:rPr>
                <w:rFonts w:hint="default" w:ascii="Times New Roman" w:hAnsi="Times New Roman" w:cs="Times New Roman" w:eastAsiaTheme="minorHAnsi"/>
                <w:b/>
                <w:color w:val="auto"/>
                <w:sz w:val="21"/>
                <w:szCs w:val="21"/>
                <w:lang w:val="en-US" w:eastAsia="en-US" w:bidi="ar-SA"/>
              </w:rPr>
              <w:t>表2-</w:t>
            </w:r>
            <w:r>
              <w:rPr>
                <w:rFonts w:hint="default" w:ascii="Times New Roman" w:hAnsi="Times New Roman" w:cs="Times New Roman" w:eastAsiaTheme="minorHAnsi"/>
                <w:b/>
                <w:color w:val="auto"/>
                <w:sz w:val="21"/>
                <w:szCs w:val="21"/>
                <w:lang w:val="en-US" w:eastAsia="zh-CN" w:bidi="ar-SA"/>
              </w:rPr>
              <w:t xml:space="preserve">9 </w:t>
            </w:r>
            <w:r>
              <w:rPr>
                <w:rFonts w:hint="default" w:ascii="Times New Roman" w:hAnsi="Times New Roman" w:cs="Times New Roman" w:eastAsiaTheme="minorHAnsi"/>
                <w:b/>
                <w:color w:val="auto"/>
                <w:sz w:val="21"/>
                <w:szCs w:val="21"/>
                <w:lang w:val="en-US" w:eastAsia="en-US" w:bidi="ar-SA"/>
              </w:rPr>
              <w:t>已批复项目环保手续执行情况一览表</w:t>
            </w:r>
          </w:p>
          <w:tbl>
            <w:tblPr>
              <w:tblStyle w:val="23"/>
              <w:tblW w:w="83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7"/>
              <w:gridCol w:w="2844"/>
              <w:gridCol w:w="2734"/>
              <w:gridCol w:w="13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1417" w:type="dxa"/>
                  <w:vAlign w:val="center"/>
                </w:tcPr>
                <w:p>
                  <w:pPr>
                    <w:pStyle w:val="18"/>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项目名称</w:t>
                  </w:r>
                </w:p>
              </w:tc>
              <w:tc>
                <w:tcPr>
                  <w:tcW w:w="2844" w:type="dxa"/>
                  <w:vAlign w:val="center"/>
                </w:tcPr>
                <w:p>
                  <w:pPr>
                    <w:pStyle w:val="18"/>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环保手续名称</w:t>
                  </w:r>
                </w:p>
              </w:tc>
              <w:tc>
                <w:tcPr>
                  <w:tcW w:w="2734" w:type="dxa"/>
                  <w:vAlign w:val="center"/>
                </w:tcPr>
                <w:p>
                  <w:pPr>
                    <w:pStyle w:val="18"/>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批复文号/许可证编号</w:t>
                  </w:r>
                </w:p>
              </w:tc>
              <w:tc>
                <w:tcPr>
                  <w:tcW w:w="1333" w:type="dxa"/>
                  <w:vAlign w:val="center"/>
                </w:tcPr>
                <w:p>
                  <w:pPr>
                    <w:pStyle w:val="18"/>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1417" w:type="dxa"/>
                  <w:vMerge w:val="restart"/>
                  <w:vAlign w:val="center"/>
                </w:tcPr>
                <w:p>
                  <w:pPr>
                    <w:pStyle w:val="18"/>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包装材料制造项目</w:t>
                  </w:r>
                </w:p>
              </w:tc>
              <w:tc>
                <w:tcPr>
                  <w:tcW w:w="2844" w:type="dxa"/>
                  <w:vAlign w:val="center"/>
                </w:tcPr>
                <w:p>
                  <w:pPr>
                    <w:pStyle w:val="18"/>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环境影响报告表</w:t>
                  </w:r>
                </w:p>
              </w:tc>
              <w:tc>
                <w:tcPr>
                  <w:tcW w:w="2734" w:type="dxa"/>
                  <w:vAlign w:val="center"/>
                </w:tcPr>
                <w:p>
                  <w:pPr>
                    <w:pStyle w:val="18"/>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连开审批复[2022]37号</w:t>
                  </w:r>
                </w:p>
              </w:tc>
              <w:tc>
                <w:tcPr>
                  <w:tcW w:w="1333" w:type="dxa"/>
                  <w:vAlign w:val="center"/>
                </w:tcPr>
                <w:p>
                  <w:pPr>
                    <w:pStyle w:val="18"/>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2022.5.11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417" w:type="dxa"/>
                  <w:vMerge w:val="continue"/>
                  <w:vAlign w:val="center"/>
                </w:tcPr>
                <w:p>
                  <w:pPr>
                    <w:pStyle w:val="18"/>
                    <w:spacing w:line="240" w:lineRule="auto"/>
                    <w:jc w:val="center"/>
                    <w:rPr>
                      <w:rFonts w:hint="default" w:ascii="Times New Roman" w:hAnsi="Times New Roman" w:cs="Times New Roman"/>
                      <w:sz w:val="21"/>
                      <w:szCs w:val="21"/>
                      <w:lang w:val="en-US" w:eastAsia="zh-CN"/>
                    </w:rPr>
                  </w:pPr>
                </w:p>
              </w:tc>
              <w:tc>
                <w:tcPr>
                  <w:tcW w:w="2844" w:type="dxa"/>
                  <w:vAlign w:val="center"/>
                </w:tcPr>
                <w:p>
                  <w:pPr>
                    <w:pStyle w:val="18"/>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排污许可证登记回执</w:t>
                  </w:r>
                </w:p>
              </w:tc>
              <w:tc>
                <w:tcPr>
                  <w:tcW w:w="2734" w:type="dxa"/>
                  <w:vAlign w:val="center"/>
                </w:tcPr>
                <w:p>
                  <w:pPr>
                    <w:pStyle w:val="18"/>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913207006967405679002Y</w:t>
                  </w:r>
                </w:p>
              </w:tc>
              <w:tc>
                <w:tcPr>
                  <w:tcW w:w="1333" w:type="dxa"/>
                  <w:vAlign w:val="center"/>
                </w:tcPr>
                <w:p>
                  <w:pPr>
                    <w:pStyle w:val="18"/>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2023.6.1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417" w:type="dxa"/>
                  <w:vMerge w:val="continue"/>
                  <w:vAlign w:val="center"/>
                </w:tcPr>
                <w:p>
                  <w:pPr>
                    <w:pStyle w:val="18"/>
                    <w:spacing w:line="240" w:lineRule="auto"/>
                    <w:jc w:val="center"/>
                    <w:rPr>
                      <w:rFonts w:hint="default" w:ascii="Times New Roman" w:hAnsi="Times New Roman" w:cs="Times New Roman"/>
                      <w:sz w:val="21"/>
                      <w:szCs w:val="21"/>
                      <w:lang w:val="en-US" w:eastAsia="zh-CN"/>
                    </w:rPr>
                  </w:pPr>
                </w:p>
              </w:tc>
              <w:tc>
                <w:tcPr>
                  <w:tcW w:w="2844" w:type="dxa"/>
                  <w:vAlign w:val="center"/>
                </w:tcPr>
                <w:p>
                  <w:pPr>
                    <w:pStyle w:val="18"/>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竣工环境保护自主验收</w:t>
                  </w:r>
                </w:p>
              </w:tc>
              <w:tc>
                <w:tcPr>
                  <w:tcW w:w="2734" w:type="dxa"/>
                  <w:vAlign w:val="center"/>
                </w:tcPr>
                <w:p>
                  <w:pPr>
                    <w:pStyle w:val="18"/>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c>
                <w:tcPr>
                  <w:tcW w:w="1333" w:type="dxa"/>
                  <w:vAlign w:val="center"/>
                </w:tcPr>
                <w:p>
                  <w:pPr>
                    <w:pStyle w:val="18"/>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2023.6.11</w:t>
                  </w:r>
                </w:p>
              </w:tc>
            </w:tr>
          </w:tbl>
          <w:p>
            <w:pPr>
              <w:spacing w:line="460" w:lineRule="exact"/>
              <w:ind w:firstLine="482" w:firstLineChars="200"/>
              <w:jc w:val="both"/>
              <w:rPr>
                <w:rFonts w:hint="default" w:ascii="Times New Roman" w:hAnsi="Times New Roman" w:cs="Times New Roman"/>
                <w:b/>
                <w:bCs/>
                <w:sz w:val="24"/>
              </w:rPr>
            </w:pPr>
            <w:r>
              <w:rPr>
                <w:rFonts w:hint="default" w:ascii="Times New Roman" w:hAnsi="Times New Roman" w:cs="Times New Roman"/>
                <w:b/>
                <w:bCs/>
                <w:sz w:val="24"/>
              </w:rPr>
              <w:t>2、项目实际建设情况</w:t>
            </w:r>
          </w:p>
          <w:p>
            <w:pPr>
              <w:pStyle w:val="32"/>
              <w:spacing w:line="460" w:lineRule="exact"/>
              <w:jc w:val="center"/>
              <w:rPr>
                <w:rFonts w:hint="default" w:ascii="Times New Roman" w:hAnsi="Times New Roman" w:cs="Times New Roman"/>
                <w:b/>
                <w:bCs/>
                <w:sz w:val="21"/>
                <w:szCs w:val="21"/>
              </w:rPr>
            </w:pPr>
            <w:r>
              <w:rPr>
                <w:rFonts w:hint="default" w:ascii="Times New Roman" w:hAnsi="Times New Roman" w:cs="Times New Roman"/>
                <w:b/>
                <w:bCs/>
                <w:sz w:val="21"/>
                <w:szCs w:val="21"/>
              </w:rPr>
              <w:t>表2-1</w:t>
            </w:r>
            <w:r>
              <w:rPr>
                <w:rFonts w:hint="default" w:ascii="Times New Roman" w:hAnsi="Times New Roman" w:eastAsia="宋体" w:cs="Times New Roman"/>
                <w:b/>
                <w:bCs/>
                <w:sz w:val="21"/>
                <w:szCs w:val="21"/>
                <w:lang w:val="en-US" w:eastAsia="zh-CN"/>
              </w:rPr>
              <w:t xml:space="preserve">0 </w:t>
            </w:r>
            <w:r>
              <w:rPr>
                <w:rFonts w:hint="default" w:ascii="Times New Roman" w:hAnsi="Times New Roman" w:cs="Times New Roman"/>
                <w:b/>
                <w:bCs/>
                <w:sz w:val="21"/>
                <w:szCs w:val="21"/>
              </w:rPr>
              <w:t>现有项目生产线及产品情况表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61"/>
              <w:gridCol w:w="1456"/>
              <w:gridCol w:w="1678"/>
              <w:gridCol w:w="2103"/>
              <w:gridCol w:w="7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419" w:type="pct"/>
                  <w:vAlign w:val="center"/>
                </w:tcPr>
                <w:p>
                  <w:pPr>
                    <w:pStyle w:val="32"/>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工程名称</w:t>
                  </w:r>
                </w:p>
              </w:tc>
              <w:tc>
                <w:tcPr>
                  <w:tcW w:w="875" w:type="pct"/>
                  <w:vAlign w:val="center"/>
                </w:tcPr>
                <w:p>
                  <w:pPr>
                    <w:pStyle w:val="32"/>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产品名称</w:t>
                  </w:r>
                </w:p>
              </w:tc>
              <w:tc>
                <w:tcPr>
                  <w:tcW w:w="1008" w:type="pct"/>
                  <w:vAlign w:val="center"/>
                </w:tcPr>
                <w:p>
                  <w:pPr>
                    <w:pStyle w:val="32"/>
                    <w:spacing w:line="240" w:lineRule="auto"/>
                    <w:jc w:val="center"/>
                    <w:rPr>
                      <w:rFonts w:hint="default" w:ascii="Times New Roman" w:hAnsi="Times New Roman" w:cs="Times New Roman"/>
                      <w:b/>
                      <w:bCs/>
                      <w:sz w:val="21"/>
                      <w:szCs w:val="21"/>
                    </w:rPr>
                  </w:pPr>
                  <w:r>
                    <w:rPr>
                      <w:rFonts w:hint="default" w:ascii="Times New Roman" w:hAnsi="Times New Roman" w:eastAsia="宋体" w:cs="Times New Roman"/>
                      <w:b/>
                      <w:bCs/>
                      <w:sz w:val="21"/>
                      <w:szCs w:val="21"/>
                      <w:lang w:val="en-US" w:eastAsia="zh-CN"/>
                    </w:rPr>
                    <w:t>实际</w:t>
                  </w:r>
                  <w:r>
                    <w:rPr>
                      <w:rFonts w:hint="default" w:ascii="Times New Roman" w:hAnsi="Times New Roman" w:cs="Times New Roman"/>
                      <w:b/>
                      <w:bCs/>
                      <w:sz w:val="21"/>
                      <w:szCs w:val="21"/>
                    </w:rPr>
                    <w:t>生产能力</w:t>
                  </w:r>
                </w:p>
              </w:tc>
              <w:tc>
                <w:tcPr>
                  <w:tcW w:w="1264" w:type="pct"/>
                  <w:vAlign w:val="center"/>
                </w:tcPr>
                <w:p>
                  <w:pPr>
                    <w:pStyle w:val="32"/>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年运行时数（h/a）</w:t>
                  </w:r>
                </w:p>
              </w:tc>
              <w:tc>
                <w:tcPr>
                  <w:tcW w:w="432" w:type="pct"/>
                  <w:vAlign w:val="center"/>
                </w:tcPr>
                <w:p>
                  <w:pPr>
                    <w:pStyle w:val="32"/>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419" w:type="pct"/>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包装材料制造项目</w:t>
                  </w:r>
                </w:p>
              </w:tc>
              <w:tc>
                <w:tcPr>
                  <w:tcW w:w="875" w:type="pct"/>
                  <w:vAlign w:val="center"/>
                </w:tcPr>
                <w:p>
                  <w:pPr>
                    <w:spacing w:line="240" w:lineRule="auto"/>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包装袋</w:t>
                  </w:r>
                </w:p>
              </w:tc>
              <w:tc>
                <w:tcPr>
                  <w:tcW w:w="1008" w:type="pct"/>
                  <w:vAlign w:val="center"/>
                </w:tcPr>
                <w:p>
                  <w:pPr>
                    <w:pStyle w:val="10"/>
                    <w:spacing w:line="240" w:lineRule="auto"/>
                    <w:ind w:firstLine="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100万件/a</w:t>
                  </w:r>
                </w:p>
              </w:tc>
              <w:tc>
                <w:tcPr>
                  <w:tcW w:w="1264" w:type="pct"/>
                  <w:vAlign w:val="center"/>
                </w:tcPr>
                <w:p>
                  <w:pPr>
                    <w:pStyle w:val="1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48</w:t>
                  </w:r>
                  <w:r>
                    <w:rPr>
                      <w:rFonts w:hint="default" w:ascii="Times New Roman" w:hAnsi="Times New Roman" w:cs="Times New Roman"/>
                      <w:sz w:val="21"/>
                      <w:szCs w:val="21"/>
                    </w:rPr>
                    <w:t>00</w:t>
                  </w:r>
                </w:p>
              </w:tc>
              <w:tc>
                <w:tcPr>
                  <w:tcW w:w="432" w:type="pct"/>
                  <w:vAlign w:val="center"/>
                </w:tcPr>
                <w:p>
                  <w:pPr>
                    <w:pStyle w:val="32"/>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bl>
          <w:p>
            <w:pPr>
              <w:spacing w:line="460" w:lineRule="exact"/>
              <w:ind w:firstLine="480" w:firstLineChars="200"/>
              <w:jc w:val="both"/>
              <w:rPr>
                <w:rFonts w:hint="default" w:ascii="Times New Roman" w:hAnsi="Times New Roman" w:cs="Times New Roman"/>
                <w:sz w:val="24"/>
              </w:rPr>
            </w:pPr>
            <w:r>
              <w:rPr>
                <w:rFonts w:hint="default" w:ascii="Times New Roman" w:hAnsi="Times New Roman" w:cs="Times New Roman"/>
                <w:sz w:val="24"/>
              </w:rPr>
              <w:t>根据现有项目环评及验收资料，现有厂区原辅料使用情况详见表2-1</w:t>
            </w:r>
            <w:r>
              <w:rPr>
                <w:rFonts w:hint="default" w:ascii="Times New Roman" w:hAnsi="Times New Roman" w:eastAsia="宋体" w:cs="Times New Roman"/>
                <w:sz w:val="24"/>
                <w:lang w:val="en-US" w:eastAsia="zh-CN"/>
              </w:rPr>
              <w:t>1</w:t>
            </w:r>
            <w:r>
              <w:rPr>
                <w:rFonts w:hint="default" w:ascii="Times New Roman" w:hAnsi="Times New Roman" w:cs="Times New Roman"/>
                <w:sz w:val="24"/>
              </w:rPr>
              <w:t>。</w:t>
            </w:r>
          </w:p>
          <w:p>
            <w:pPr>
              <w:pStyle w:val="32"/>
              <w:spacing w:line="460" w:lineRule="exact"/>
              <w:ind w:firstLine="422" w:firstLineChars="200"/>
              <w:jc w:val="center"/>
              <w:rPr>
                <w:rFonts w:hint="default" w:ascii="Times New Roman" w:hAnsi="Times New Roman" w:cs="Times New Roman"/>
                <w:b/>
                <w:bCs/>
                <w:sz w:val="21"/>
                <w:szCs w:val="21"/>
              </w:rPr>
            </w:pPr>
            <w:r>
              <w:rPr>
                <w:rFonts w:hint="default" w:ascii="Times New Roman" w:hAnsi="Times New Roman" w:cs="Times New Roman"/>
                <w:b/>
                <w:bCs/>
                <w:sz w:val="21"/>
                <w:szCs w:val="21"/>
              </w:rPr>
              <w:t>表2-1</w:t>
            </w:r>
            <w:r>
              <w:rPr>
                <w:rFonts w:hint="default" w:ascii="Times New Roman" w:hAnsi="Times New Roman" w:eastAsia="宋体" w:cs="Times New Roman"/>
                <w:b/>
                <w:bCs/>
                <w:sz w:val="21"/>
                <w:szCs w:val="21"/>
                <w:lang w:val="en-US" w:eastAsia="zh-CN"/>
              </w:rPr>
              <w:t xml:space="preserve">1 </w:t>
            </w:r>
            <w:r>
              <w:rPr>
                <w:rFonts w:hint="default" w:ascii="Times New Roman" w:hAnsi="Times New Roman" w:cs="Times New Roman"/>
                <w:b/>
                <w:bCs/>
                <w:sz w:val="21"/>
                <w:szCs w:val="21"/>
              </w:rPr>
              <w:t xml:space="preserve"> 现有项目原辅料消耗情况表</w:t>
            </w:r>
          </w:p>
          <w:tbl>
            <w:tblPr>
              <w:tblStyle w:val="23"/>
              <w:tblW w:w="499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949"/>
              <w:gridCol w:w="1623"/>
              <w:gridCol w:w="1232"/>
              <w:gridCol w:w="1201"/>
              <w:gridCol w:w="1457"/>
              <w:gridCol w:w="185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47" w:hRule="atLeast"/>
                <w:jc w:val="center"/>
              </w:trPr>
              <w:tc>
                <w:tcPr>
                  <w:tcW w:w="570" w:type="pct"/>
                  <w:vAlign w:val="center"/>
                </w:tcPr>
                <w:p>
                  <w:pPr>
                    <w:widowControl/>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类别</w:t>
                  </w:r>
                </w:p>
              </w:tc>
              <w:tc>
                <w:tcPr>
                  <w:tcW w:w="975" w:type="pct"/>
                  <w:vAlign w:val="center"/>
                </w:tcPr>
                <w:p>
                  <w:pPr>
                    <w:widowControl/>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名称</w:t>
                  </w:r>
                </w:p>
              </w:tc>
              <w:tc>
                <w:tcPr>
                  <w:tcW w:w="740" w:type="pct"/>
                  <w:vAlign w:val="center"/>
                </w:tcPr>
                <w:p>
                  <w:pPr>
                    <w:adjustRightInd w:val="0"/>
                    <w:jc w:val="center"/>
                    <w:textAlignment w:val="baseline"/>
                    <w:rPr>
                      <w:rFonts w:hint="default" w:ascii="Times New Roman" w:hAnsi="Times New Roman" w:cs="Times New Roman"/>
                      <w:b/>
                      <w:color w:val="auto"/>
                      <w:kern w:val="0"/>
                      <w:sz w:val="21"/>
                      <w:szCs w:val="21"/>
                    </w:rPr>
                  </w:pPr>
                  <w:r>
                    <w:rPr>
                      <w:rFonts w:hint="default" w:ascii="Times New Roman" w:hAnsi="Times New Roman" w:cs="Times New Roman"/>
                      <w:b/>
                      <w:bCs/>
                      <w:color w:val="auto"/>
                      <w:kern w:val="0"/>
                      <w:sz w:val="21"/>
                      <w:szCs w:val="21"/>
                    </w:rPr>
                    <w:t>物料形态</w:t>
                  </w:r>
                </w:p>
              </w:tc>
              <w:tc>
                <w:tcPr>
                  <w:tcW w:w="721" w:type="pct"/>
                  <w:vAlign w:val="center"/>
                </w:tcPr>
                <w:p>
                  <w:pPr>
                    <w:adjustRightInd w:val="0"/>
                    <w:jc w:val="center"/>
                    <w:textAlignment w:val="baseline"/>
                    <w:rPr>
                      <w:rFonts w:hint="default" w:ascii="Times New Roman" w:hAnsi="Times New Roman" w:cs="Times New Roman"/>
                      <w:b/>
                      <w:color w:val="auto"/>
                      <w:kern w:val="0"/>
                      <w:sz w:val="21"/>
                      <w:szCs w:val="21"/>
                    </w:rPr>
                  </w:pPr>
                  <w:r>
                    <w:rPr>
                      <w:rFonts w:hint="default" w:ascii="Times New Roman" w:hAnsi="Times New Roman" w:cs="Times New Roman"/>
                      <w:b/>
                      <w:bCs/>
                      <w:color w:val="auto"/>
                      <w:kern w:val="0"/>
                      <w:sz w:val="21"/>
                      <w:szCs w:val="21"/>
                    </w:rPr>
                    <w:t>包装形式</w:t>
                  </w:r>
                </w:p>
              </w:tc>
              <w:tc>
                <w:tcPr>
                  <w:tcW w:w="875" w:type="pct"/>
                  <w:vAlign w:val="center"/>
                </w:tcPr>
                <w:p>
                  <w:pPr>
                    <w:adjustRightInd w:val="0"/>
                    <w:jc w:val="center"/>
                    <w:textAlignment w:val="baseline"/>
                    <w:rPr>
                      <w:rFonts w:hint="default" w:ascii="Times New Roman" w:hAnsi="Times New Roman" w:cs="Times New Roman"/>
                      <w:b/>
                      <w:color w:val="auto"/>
                      <w:kern w:val="0"/>
                      <w:sz w:val="21"/>
                      <w:szCs w:val="21"/>
                    </w:rPr>
                  </w:pPr>
                  <w:r>
                    <w:rPr>
                      <w:rFonts w:hint="default" w:ascii="Times New Roman" w:hAnsi="Times New Roman" w:cs="Times New Roman"/>
                      <w:b/>
                      <w:bCs/>
                      <w:color w:val="auto"/>
                      <w:kern w:val="0"/>
                      <w:sz w:val="21"/>
                      <w:szCs w:val="21"/>
                    </w:rPr>
                    <w:t>储存位置</w:t>
                  </w:r>
                </w:p>
              </w:tc>
              <w:tc>
                <w:tcPr>
                  <w:tcW w:w="1116" w:type="pct"/>
                  <w:vAlign w:val="center"/>
                </w:tcPr>
                <w:p>
                  <w:pPr>
                    <w:widowControl/>
                    <w:jc w:val="center"/>
                    <w:rPr>
                      <w:rFonts w:hint="default" w:ascii="Times New Roman" w:hAnsi="Times New Roman" w:cs="Times New Roman"/>
                      <w:b/>
                      <w:color w:val="auto"/>
                      <w:kern w:val="0"/>
                      <w:sz w:val="21"/>
                      <w:szCs w:val="21"/>
                    </w:rPr>
                  </w:pPr>
                  <w:r>
                    <w:rPr>
                      <w:rFonts w:hint="default" w:ascii="Times New Roman" w:hAnsi="Times New Roman" w:cs="Times New Roman"/>
                      <w:b/>
                      <w:color w:val="auto"/>
                      <w:kern w:val="0"/>
                      <w:sz w:val="21"/>
                      <w:szCs w:val="21"/>
                    </w:rPr>
                    <w:t>年耗量（t/a）</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570" w:type="pct"/>
                  <w:vMerge w:val="restart"/>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原辅料</w:t>
                  </w:r>
                </w:p>
              </w:tc>
              <w:tc>
                <w:tcPr>
                  <w:tcW w:w="975"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聚丙烯</w:t>
                  </w:r>
                </w:p>
              </w:tc>
              <w:tc>
                <w:tcPr>
                  <w:tcW w:w="740" w:type="pct"/>
                  <w:vAlign w:val="center"/>
                </w:tcPr>
                <w:p>
                  <w:pPr>
                    <w:adjustRightIn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固</w:t>
                  </w:r>
                </w:p>
              </w:tc>
              <w:tc>
                <w:tcPr>
                  <w:tcW w:w="721" w:type="pct"/>
                  <w:vAlign w:val="center"/>
                </w:tcPr>
                <w:p>
                  <w:pPr>
                    <w:adjustRightIn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val="en-US" w:eastAsia="zh-CN"/>
                    </w:rPr>
                    <w:t>25kg/</w:t>
                  </w:r>
                  <w:r>
                    <w:rPr>
                      <w:rFonts w:hint="default" w:ascii="Times New Roman" w:hAnsi="Times New Roman" w:cs="Times New Roman"/>
                      <w:color w:val="auto"/>
                      <w:kern w:val="0"/>
                      <w:sz w:val="21"/>
                      <w:szCs w:val="21"/>
                    </w:rPr>
                    <w:t>袋</w:t>
                  </w:r>
                </w:p>
              </w:tc>
              <w:tc>
                <w:tcPr>
                  <w:tcW w:w="875" w:type="pct"/>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原料库</w:t>
                  </w:r>
                </w:p>
              </w:tc>
              <w:tc>
                <w:tcPr>
                  <w:tcW w:w="1116" w:type="pct"/>
                  <w:vAlign w:val="center"/>
                </w:tcPr>
                <w:p>
                  <w:pPr>
                    <w:adjustRightInd w:val="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570" w:type="pct"/>
                  <w:vMerge w:val="continue"/>
                  <w:vAlign w:val="center"/>
                </w:tcPr>
                <w:p>
                  <w:pPr>
                    <w:widowControl/>
                    <w:jc w:val="center"/>
                    <w:rPr>
                      <w:rFonts w:hint="default" w:ascii="Times New Roman" w:hAnsi="Times New Roman" w:cs="Times New Roman"/>
                      <w:color w:val="auto"/>
                      <w:kern w:val="0"/>
                      <w:sz w:val="21"/>
                      <w:szCs w:val="21"/>
                    </w:rPr>
                  </w:pPr>
                </w:p>
              </w:tc>
              <w:tc>
                <w:tcPr>
                  <w:tcW w:w="975" w:type="pct"/>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聚乙烯</w:t>
                  </w:r>
                </w:p>
              </w:tc>
              <w:tc>
                <w:tcPr>
                  <w:tcW w:w="740" w:type="pct"/>
                  <w:vAlign w:val="center"/>
                </w:tcPr>
                <w:p>
                  <w:pPr>
                    <w:adjustRightIn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固</w:t>
                  </w:r>
                </w:p>
              </w:tc>
              <w:tc>
                <w:tcPr>
                  <w:tcW w:w="721" w:type="pct"/>
                  <w:vAlign w:val="center"/>
                </w:tcPr>
                <w:p>
                  <w:pPr>
                    <w:adjustRightIn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val="en-US" w:eastAsia="zh-CN"/>
                    </w:rPr>
                    <w:t>25kg/</w:t>
                  </w:r>
                  <w:r>
                    <w:rPr>
                      <w:rFonts w:hint="default" w:ascii="Times New Roman" w:hAnsi="Times New Roman" w:cs="Times New Roman"/>
                      <w:color w:val="auto"/>
                      <w:kern w:val="0"/>
                      <w:sz w:val="21"/>
                      <w:szCs w:val="21"/>
                    </w:rPr>
                    <w:t>袋</w:t>
                  </w:r>
                </w:p>
              </w:tc>
              <w:tc>
                <w:tcPr>
                  <w:tcW w:w="875" w:type="pct"/>
                  <w:vAlign w:val="center"/>
                </w:tcPr>
                <w:p>
                  <w:pPr>
                    <w:adjustRightIn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val="en-US" w:eastAsia="zh-CN"/>
                    </w:rPr>
                    <w:t>原料库</w:t>
                  </w:r>
                </w:p>
              </w:tc>
              <w:tc>
                <w:tcPr>
                  <w:tcW w:w="1116" w:type="pct"/>
                  <w:vAlign w:val="center"/>
                </w:tcPr>
                <w:p>
                  <w:pPr>
                    <w:adjustRightInd w:val="0"/>
                    <w:jc w:val="center"/>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570" w:type="pct"/>
                  <w:vMerge w:val="continue"/>
                  <w:vAlign w:val="center"/>
                </w:tcPr>
                <w:p>
                  <w:pPr>
                    <w:widowControl/>
                    <w:jc w:val="center"/>
                    <w:rPr>
                      <w:rFonts w:hint="default" w:ascii="Times New Roman" w:hAnsi="Times New Roman" w:cs="Times New Roman"/>
                      <w:color w:val="auto"/>
                      <w:kern w:val="0"/>
                      <w:sz w:val="21"/>
                      <w:szCs w:val="21"/>
                    </w:rPr>
                  </w:pPr>
                </w:p>
              </w:tc>
              <w:tc>
                <w:tcPr>
                  <w:tcW w:w="975" w:type="pct"/>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填充母料</w:t>
                  </w:r>
                </w:p>
              </w:tc>
              <w:tc>
                <w:tcPr>
                  <w:tcW w:w="740" w:type="pct"/>
                  <w:vAlign w:val="center"/>
                </w:tcPr>
                <w:p>
                  <w:pPr>
                    <w:adjustRightIn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固</w:t>
                  </w:r>
                </w:p>
              </w:tc>
              <w:tc>
                <w:tcPr>
                  <w:tcW w:w="721" w:type="pct"/>
                  <w:vAlign w:val="center"/>
                </w:tcPr>
                <w:p>
                  <w:pPr>
                    <w:adjustRightIn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val="en-US" w:eastAsia="zh-CN"/>
                    </w:rPr>
                    <w:t>25kg/</w:t>
                  </w:r>
                  <w:r>
                    <w:rPr>
                      <w:rFonts w:hint="default" w:ascii="Times New Roman" w:hAnsi="Times New Roman" w:cs="Times New Roman"/>
                      <w:color w:val="auto"/>
                      <w:kern w:val="0"/>
                      <w:sz w:val="21"/>
                      <w:szCs w:val="21"/>
                    </w:rPr>
                    <w:t>袋</w:t>
                  </w:r>
                </w:p>
              </w:tc>
              <w:tc>
                <w:tcPr>
                  <w:tcW w:w="875" w:type="pct"/>
                  <w:vAlign w:val="center"/>
                </w:tcPr>
                <w:p>
                  <w:pPr>
                    <w:adjustRightIn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val="en-US" w:eastAsia="zh-CN"/>
                    </w:rPr>
                    <w:t>原料库</w:t>
                  </w:r>
                </w:p>
              </w:tc>
              <w:tc>
                <w:tcPr>
                  <w:tcW w:w="1116" w:type="pct"/>
                  <w:vAlign w:val="center"/>
                </w:tcPr>
                <w:p>
                  <w:pPr>
                    <w:adjustRightIn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2</w:t>
                  </w:r>
                  <w:r>
                    <w:rPr>
                      <w:rFonts w:hint="default" w:ascii="Times New Roman" w:hAnsi="Times New Roman" w:cs="Times New Roman"/>
                      <w:color w:val="auto"/>
                      <w:kern w:val="0"/>
                      <w:sz w:val="21"/>
                      <w:szCs w:val="21"/>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570" w:type="pct"/>
                  <w:vMerge w:val="continue"/>
                  <w:vAlign w:val="center"/>
                </w:tcPr>
                <w:p>
                  <w:pPr>
                    <w:widowControl/>
                    <w:jc w:val="center"/>
                    <w:rPr>
                      <w:rFonts w:hint="default" w:ascii="Times New Roman" w:hAnsi="Times New Roman" w:cs="Times New Roman"/>
                      <w:color w:val="auto"/>
                      <w:kern w:val="0"/>
                      <w:sz w:val="21"/>
                      <w:szCs w:val="21"/>
                    </w:rPr>
                  </w:pPr>
                </w:p>
              </w:tc>
              <w:tc>
                <w:tcPr>
                  <w:tcW w:w="975" w:type="pct"/>
                  <w:vAlign w:val="center"/>
                </w:tcPr>
                <w:p>
                  <w:pPr>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缝纫线</w:t>
                  </w:r>
                </w:p>
              </w:tc>
              <w:tc>
                <w:tcPr>
                  <w:tcW w:w="740" w:type="pct"/>
                  <w:vAlign w:val="center"/>
                </w:tcPr>
                <w:p>
                  <w:pPr>
                    <w:adjustRightIn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固</w:t>
                  </w:r>
                </w:p>
              </w:tc>
              <w:tc>
                <w:tcPr>
                  <w:tcW w:w="721" w:type="pct"/>
                  <w:vAlign w:val="center"/>
                </w:tcPr>
                <w:p>
                  <w:pPr>
                    <w:adjustRightInd w:val="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lang w:val="en-US" w:eastAsia="zh-CN"/>
                    </w:rPr>
                    <w:t>-</w:t>
                  </w:r>
                </w:p>
              </w:tc>
              <w:tc>
                <w:tcPr>
                  <w:tcW w:w="875" w:type="pct"/>
                  <w:vAlign w:val="center"/>
                </w:tcPr>
                <w:p>
                  <w:pPr>
                    <w:adjustRightIn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val="en-US" w:eastAsia="zh-CN"/>
                    </w:rPr>
                    <w:t>原料库</w:t>
                  </w:r>
                </w:p>
              </w:tc>
              <w:tc>
                <w:tcPr>
                  <w:tcW w:w="1116" w:type="pct"/>
                  <w:vAlign w:val="center"/>
                </w:tcPr>
                <w:p>
                  <w:pPr>
                    <w:adjustRightInd w:val="0"/>
                    <w:jc w:val="center"/>
                    <w:textAlignment w:val="baseline"/>
                    <w:rPr>
                      <w:rFonts w:hint="default" w:ascii="Times New Roman" w:hAnsi="Times New Roman" w:cs="Times New Roman"/>
                      <w:color w:val="auto"/>
                      <w:kern w:val="0"/>
                      <w:sz w:val="21"/>
                      <w:szCs w:val="21"/>
                      <w:lang w:val="en-US"/>
                    </w:rPr>
                  </w:pPr>
                  <w:r>
                    <w:rPr>
                      <w:rFonts w:hint="default" w:ascii="Times New Roman" w:hAnsi="Times New Roman" w:cs="Times New Roman"/>
                      <w:color w:val="auto"/>
                      <w:kern w:val="0"/>
                      <w:sz w:val="21"/>
                      <w:szCs w:val="21"/>
                      <w:lang w:val="en-US" w:eastAsia="zh-CN"/>
                    </w:rPr>
                    <w:t>24</w:t>
                  </w:r>
                </w:p>
              </w:tc>
            </w:tr>
          </w:tbl>
          <w:p>
            <w:pPr>
              <w:pStyle w:val="32"/>
              <w:spacing w:line="460" w:lineRule="exact"/>
              <w:ind w:firstLine="482" w:firstLineChars="200"/>
              <w:jc w:val="both"/>
              <w:rPr>
                <w:rFonts w:hint="default" w:ascii="Times New Roman" w:hAnsi="Times New Roman" w:cs="Times New Roman"/>
              </w:rPr>
            </w:pPr>
            <w:r>
              <w:rPr>
                <w:rFonts w:hint="default" w:ascii="Times New Roman" w:hAnsi="Times New Roman" w:cs="Times New Roman"/>
                <w:b/>
                <w:bCs/>
              </w:rPr>
              <w:t>（1）项目生产工艺及产污环节</w:t>
            </w:r>
          </w:p>
          <w:p>
            <w:pPr>
              <w:pStyle w:val="32"/>
              <w:spacing w:line="460" w:lineRule="exact"/>
              <w:ind w:firstLine="480" w:firstLineChars="200"/>
              <w:jc w:val="both"/>
              <w:rPr>
                <w:rFonts w:hint="default" w:ascii="Times New Roman" w:hAnsi="Times New Roman" w:cs="Times New Roman"/>
              </w:rPr>
            </w:pPr>
            <w:r>
              <w:rPr>
                <w:rFonts w:hint="default" w:ascii="Times New Roman" w:hAnsi="Times New Roman" w:cs="Times New Roman"/>
              </w:rPr>
              <w:t>根据</w:t>
            </w:r>
            <w:r>
              <w:rPr>
                <w:rFonts w:hint="default" w:ascii="Times New Roman" w:hAnsi="Times New Roman" w:cs="Times New Roman"/>
                <w:bCs/>
                <w:sz w:val="24"/>
                <w:szCs w:val="24"/>
                <w:lang w:val="en-US" w:eastAsia="zh-CN"/>
              </w:rPr>
              <w:t>连云港中鸿包装有限公司</w:t>
            </w:r>
            <w:r>
              <w:rPr>
                <w:rFonts w:hint="default" w:ascii="Times New Roman" w:hAnsi="Times New Roman" w:cs="Times New Roman"/>
                <w:szCs w:val="21"/>
                <w:lang w:val="en-US" w:eastAsia="zh-CN"/>
              </w:rPr>
              <w:t>包装材料制造项目</w:t>
            </w:r>
            <w:r>
              <w:rPr>
                <w:rFonts w:hint="default" w:ascii="Times New Roman" w:hAnsi="Times New Roman" w:cs="Times New Roman"/>
              </w:rPr>
              <w:t>环评</w:t>
            </w:r>
            <w:r>
              <w:rPr>
                <w:rFonts w:hint="default" w:ascii="Times New Roman" w:hAnsi="Times New Roman" w:eastAsia="宋体" w:cs="Times New Roman"/>
                <w:lang w:eastAsia="zh-CN"/>
              </w:rPr>
              <w:t>、</w:t>
            </w:r>
            <w:r>
              <w:rPr>
                <w:rFonts w:hint="default" w:ascii="Times New Roman" w:hAnsi="Times New Roman" w:cs="Times New Roman"/>
              </w:rPr>
              <w:t>批复</w:t>
            </w:r>
            <w:r>
              <w:rPr>
                <w:rFonts w:hint="default" w:ascii="Times New Roman" w:hAnsi="Times New Roman" w:eastAsia="宋体" w:cs="Times New Roman"/>
                <w:lang w:val="en-US" w:eastAsia="zh-CN"/>
              </w:rPr>
              <w:t>及其验收资料</w:t>
            </w:r>
            <w:r>
              <w:rPr>
                <w:rFonts w:hint="default" w:ascii="Times New Roman" w:hAnsi="Times New Roman" w:cs="Times New Roman"/>
              </w:rPr>
              <w:t>，</w:t>
            </w:r>
            <w:r>
              <w:rPr>
                <w:rFonts w:hint="default" w:ascii="Times New Roman" w:hAnsi="Times New Roman" w:cs="Times New Roman"/>
                <w:bCs/>
                <w:sz w:val="24"/>
                <w:szCs w:val="24"/>
                <w:lang w:val="en-US" w:eastAsia="zh-CN"/>
              </w:rPr>
              <w:t>连云港中鸿包装有限公司现有</w:t>
            </w:r>
            <w:r>
              <w:rPr>
                <w:rFonts w:hint="default" w:ascii="Times New Roman" w:hAnsi="Times New Roman" w:cs="Times New Roman"/>
                <w:szCs w:val="21"/>
                <w:lang w:val="en-US" w:eastAsia="zh-CN"/>
              </w:rPr>
              <w:t>包装材料制造项目</w:t>
            </w:r>
            <w:r>
              <w:rPr>
                <w:rFonts w:hint="default" w:ascii="Times New Roman" w:hAnsi="Times New Roman" w:eastAsia="宋体" w:cs="Times New Roman"/>
                <w:lang w:val="en-US" w:eastAsia="zh-CN"/>
              </w:rPr>
              <w:t>生产线</w:t>
            </w:r>
            <w:r>
              <w:rPr>
                <w:rFonts w:hint="default" w:ascii="Times New Roman" w:hAnsi="Times New Roman" w:cs="Times New Roman"/>
              </w:rPr>
              <w:t>生产工艺详见图2-3。</w:t>
            </w:r>
          </w:p>
          <w:p>
            <w:pPr>
              <w:pStyle w:val="32"/>
              <w:jc w:val="center"/>
              <w:rPr>
                <w:rFonts w:hint="default" w:ascii="Times New Roman" w:hAnsi="Times New Roman" w:cs="Times New Roman"/>
              </w:rPr>
            </w:pPr>
            <w:r>
              <w:rPr>
                <w:rFonts w:hint="default" w:ascii="Times New Roman" w:hAnsi="Times New Roman" w:cs="Times New Roman"/>
              </w:rPr>
              <w:drawing>
                <wp:inline distT="0" distB="0" distL="114300" distR="114300">
                  <wp:extent cx="2625725" cy="3898265"/>
                  <wp:effectExtent l="0" t="0" r="3175" b="635"/>
                  <wp:docPr id="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pic:cNvPicPr>
                            <a:picLocks noChangeAspect="1"/>
                          </pic:cNvPicPr>
                        </pic:nvPicPr>
                        <pic:blipFill>
                          <a:blip r:embed="rId14"/>
                          <a:stretch>
                            <a:fillRect/>
                          </a:stretch>
                        </pic:blipFill>
                        <pic:spPr>
                          <a:xfrm>
                            <a:off x="0" y="0"/>
                            <a:ext cx="2625725" cy="3898265"/>
                          </a:xfrm>
                          <a:prstGeom prst="rect">
                            <a:avLst/>
                          </a:prstGeom>
                          <a:noFill/>
                          <a:ln>
                            <a:noFill/>
                          </a:ln>
                        </pic:spPr>
                      </pic:pic>
                    </a:graphicData>
                  </a:graphic>
                </wp:inline>
              </w:drawing>
            </w:r>
          </w:p>
          <w:p>
            <w:pPr>
              <w:pStyle w:val="32"/>
              <w:jc w:val="center"/>
              <w:rPr>
                <w:rFonts w:hint="default" w:ascii="Times New Roman" w:hAnsi="Times New Roman" w:cs="Times New Roman"/>
                <w:sz w:val="21"/>
                <w:szCs w:val="21"/>
              </w:rPr>
            </w:pPr>
            <w:r>
              <w:rPr>
                <w:rFonts w:hint="default" w:ascii="Times New Roman" w:hAnsi="Times New Roman" w:cs="Times New Roman"/>
                <w:b/>
                <w:sz w:val="21"/>
                <w:szCs w:val="21"/>
              </w:rPr>
              <w:t>图2-</w:t>
            </w:r>
            <w:r>
              <w:rPr>
                <w:rFonts w:hint="eastAsia" w:ascii="Times New Roman" w:hAnsi="Times New Roman" w:cs="Times New Roman"/>
                <w:b/>
                <w:sz w:val="21"/>
                <w:szCs w:val="21"/>
                <w:lang w:val="en-US" w:eastAsia="zh-CN"/>
              </w:rPr>
              <w:t>2</w:t>
            </w:r>
            <w:r>
              <w:rPr>
                <w:rFonts w:hint="default" w:ascii="Times New Roman" w:hAnsi="Times New Roman" w:cs="Times New Roman"/>
                <w:b/>
                <w:sz w:val="21"/>
                <w:szCs w:val="21"/>
              </w:rPr>
              <w:t xml:space="preserve">  </w:t>
            </w:r>
            <w:r>
              <w:rPr>
                <w:rFonts w:hint="default" w:ascii="Times New Roman" w:hAnsi="Times New Roman" w:eastAsia="宋体" w:cs="Times New Roman"/>
                <w:b/>
                <w:sz w:val="21"/>
                <w:szCs w:val="21"/>
                <w:lang w:val="en-US" w:eastAsia="zh-CN"/>
              </w:rPr>
              <w:t>现有项目</w:t>
            </w:r>
            <w:r>
              <w:rPr>
                <w:rFonts w:hint="default" w:ascii="Times New Roman" w:hAnsi="Times New Roman" w:cs="Times New Roman"/>
                <w:b/>
                <w:sz w:val="21"/>
                <w:szCs w:val="21"/>
                <w:lang w:val="en-US" w:eastAsia="zh-CN"/>
              </w:rPr>
              <w:t>生产线</w:t>
            </w:r>
            <w:r>
              <w:rPr>
                <w:rFonts w:hint="default" w:ascii="Times New Roman" w:hAnsi="Times New Roman" w:cs="Times New Roman"/>
                <w:b/>
                <w:sz w:val="21"/>
                <w:szCs w:val="21"/>
              </w:rPr>
              <w:t>工艺流程及产污环节图</w:t>
            </w:r>
          </w:p>
          <w:p>
            <w:pPr>
              <w:pStyle w:val="32"/>
              <w:spacing w:line="360" w:lineRule="auto"/>
              <w:ind w:firstLine="482" w:firstLineChars="200"/>
              <w:jc w:val="both"/>
              <w:rPr>
                <w:rFonts w:hint="default" w:ascii="Times New Roman" w:hAnsi="Times New Roman" w:cs="Times New Roman"/>
                <w:b/>
                <w:bCs/>
              </w:rPr>
            </w:pPr>
            <w:r>
              <w:rPr>
                <w:rFonts w:hint="default" w:ascii="Times New Roman" w:hAnsi="Times New Roman" w:cs="Times New Roman"/>
                <w:b/>
                <w:bCs/>
              </w:rPr>
              <w:t>生产工艺简述：</w:t>
            </w:r>
          </w:p>
          <w:p>
            <w:pPr>
              <w:spacing w:line="360" w:lineRule="auto"/>
              <w:ind w:firstLine="480" w:firstLineChars="200"/>
              <w:jc w:val="both"/>
              <w:rPr>
                <w:rFonts w:hint="default" w:ascii="Times New Roman" w:hAnsi="Times New Roman" w:cs="Times New Roman"/>
                <w:sz w:val="24"/>
              </w:rPr>
            </w:pPr>
            <w:r>
              <w:rPr>
                <w:rFonts w:hint="default" w:ascii="Times New Roman" w:hAnsi="Times New Roman" w:cs="Times New Roman"/>
                <w:sz w:val="24"/>
              </w:rPr>
              <w:t>①混合干燥</w:t>
            </w:r>
            <w:r>
              <w:rPr>
                <w:rFonts w:hint="default" w:ascii="Times New Roman" w:hAnsi="Times New Roman" w:cs="Times New Roman"/>
                <w:sz w:val="24"/>
                <w:lang w:eastAsia="zh-CN"/>
              </w:rPr>
              <w:t>：</w:t>
            </w:r>
            <w:r>
              <w:rPr>
                <w:rFonts w:hint="default" w:ascii="Times New Roman" w:hAnsi="Times New Roman" w:cs="Times New Roman"/>
                <w:sz w:val="24"/>
              </w:rPr>
              <w:t>原材料颗粒</w:t>
            </w:r>
            <w:r>
              <w:rPr>
                <w:rFonts w:hint="default" w:ascii="Times New Roman" w:hAnsi="Times New Roman" w:cs="Times New Roman"/>
                <w:sz w:val="24"/>
                <w:lang w:eastAsia="zh-CN"/>
              </w:rPr>
              <w:t>（</w:t>
            </w:r>
            <w:r>
              <w:rPr>
                <w:rFonts w:hint="default" w:ascii="Times New Roman" w:hAnsi="Times New Roman" w:cs="Times New Roman"/>
                <w:sz w:val="24"/>
              </w:rPr>
              <w:t>聚丙烯、聚乙烯</w:t>
            </w:r>
            <w:r>
              <w:rPr>
                <w:rFonts w:hint="default" w:ascii="Times New Roman" w:hAnsi="Times New Roman" w:cs="Times New Roman"/>
                <w:sz w:val="24"/>
                <w:lang w:eastAsia="zh-CN"/>
              </w:rPr>
              <w:t>）</w:t>
            </w:r>
            <w:r>
              <w:rPr>
                <w:rFonts w:hint="default" w:ascii="Times New Roman" w:hAnsi="Times New Roman" w:cs="Times New Roman"/>
                <w:sz w:val="24"/>
              </w:rPr>
              <w:t>和填充母料</w:t>
            </w:r>
            <w:r>
              <w:rPr>
                <w:rFonts w:hint="default" w:ascii="Times New Roman" w:hAnsi="Times New Roman" w:cs="Times New Roman"/>
                <w:sz w:val="24"/>
                <w:lang w:eastAsia="zh-CN"/>
              </w:rPr>
              <w:t>（</w:t>
            </w:r>
            <w:r>
              <w:rPr>
                <w:rFonts w:hint="default" w:ascii="Times New Roman" w:hAnsi="Times New Roman" w:cs="Times New Roman"/>
                <w:sz w:val="24"/>
              </w:rPr>
              <w:t>石粉颗粒</w:t>
            </w:r>
            <w:r>
              <w:rPr>
                <w:rFonts w:hint="default" w:ascii="Times New Roman" w:hAnsi="Times New Roman" w:cs="Times New Roman"/>
                <w:sz w:val="24"/>
                <w:lang w:eastAsia="zh-CN"/>
              </w:rPr>
              <w:t>）</w:t>
            </w:r>
            <w:r>
              <w:rPr>
                <w:rFonts w:hint="default" w:ascii="Times New Roman" w:hAnsi="Times New Roman" w:cs="Times New Roman"/>
                <w:sz w:val="24"/>
              </w:rPr>
              <w:t>按照一定的比例配比好后，先进行搅拌干燥，干燥温度约65℃</w:t>
            </w:r>
            <w:r>
              <w:rPr>
                <w:rFonts w:hint="default" w:ascii="Times New Roman" w:hAnsi="Times New Roman" w:cs="Times New Roman"/>
                <w:sz w:val="24"/>
                <w:lang w:eastAsia="zh-CN"/>
              </w:rPr>
              <w:t>（</w:t>
            </w:r>
            <w:r>
              <w:rPr>
                <w:rFonts w:hint="default" w:ascii="Times New Roman" w:hAnsi="Times New Roman" w:cs="Times New Roman"/>
                <w:sz w:val="24"/>
              </w:rPr>
              <w:t>低于塑料热分解温度)。由于原料聚丙烯、聚乙烯、填充母料粒径较大</w:t>
            </w:r>
            <w:r>
              <w:rPr>
                <w:rFonts w:hint="default" w:ascii="Times New Roman" w:hAnsi="Times New Roman" w:cs="Times New Roman"/>
                <w:sz w:val="24"/>
                <w:lang w:eastAsia="zh-CN"/>
              </w:rPr>
              <w:t>（</w:t>
            </w:r>
            <w:r>
              <w:rPr>
                <w:rFonts w:hint="default" w:ascii="Times New Roman" w:hAnsi="Times New Roman" w:cs="Times New Roman"/>
                <w:sz w:val="24"/>
              </w:rPr>
              <w:t>3-4mm</w:t>
            </w:r>
            <w:r>
              <w:rPr>
                <w:rFonts w:hint="default" w:ascii="Times New Roman" w:hAnsi="Times New Roman" w:cs="Times New Roman"/>
                <w:sz w:val="24"/>
                <w:lang w:eastAsia="zh-CN"/>
              </w:rPr>
              <w:t>）</w:t>
            </w:r>
            <w:r>
              <w:rPr>
                <w:rFonts w:hint="default" w:ascii="Times New Roman" w:hAnsi="Times New Roman" w:cs="Times New Roman"/>
                <w:sz w:val="24"/>
              </w:rPr>
              <w:t>且可能潮湿带有一定水分，故搅拌干燥工序无粉尘、有机废气产生，干燥过程产生水蒸气。</w:t>
            </w:r>
          </w:p>
          <w:p>
            <w:pPr>
              <w:spacing w:line="360" w:lineRule="auto"/>
              <w:ind w:firstLine="480" w:firstLineChars="200"/>
              <w:jc w:val="both"/>
              <w:rPr>
                <w:rFonts w:hint="default" w:ascii="Times New Roman" w:hAnsi="Times New Roman" w:cs="Times New Roman"/>
                <w:sz w:val="24"/>
              </w:rPr>
            </w:pPr>
            <w:r>
              <w:rPr>
                <w:rFonts w:hint="default" w:ascii="Times New Roman" w:hAnsi="Times New Roman" w:cs="Times New Roman"/>
                <w:sz w:val="24"/>
              </w:rPr>
              <w:t>②热熔模压</w:t>
            </w:r>
            <w:r>
              <w:rPr>
                <w:rFonts w:hint="default" w:ascii="Times New Roman" w:hAnsi="Times New Roman" w:cs="Times New Roman"/>
                <w:sz w:val="24"/>
                <w:lang w:eastAsia="zh-CN"/>
              </w:rPr>
              <w:t>：</w:t>
            </w:r>
            <w:r>
              <w:rPr>
                <w:rFonts w:hint="default" w:ascii="Times New Roman" w:hAnsi="Times New Roman" w:cs="Times New Roman"/>
                <w:sz w:val="24"/>
              </w:rPr>
              <w:t>通过上料机加入到螺杆螺筒中，螺杆螺筒加热的温度约150℃</w:t>
            </w:r>
            <w:r>
              <w:rPr>
                <w:rFonts w:hint="default" w:ascii="Times New Roman" w:hAnsi="Times New Roman" w:cs="Times New Roman"/>
                <w:sz w:val="24"/>
                <w:lang w:eastAsia="zh-CN"/>
              </w:rPr>
              <w:t>，</w:t>
            </w:r>
            <w:r>
              <w:rPr>
                <w:rFonts w:hint="default" w:ascii="Times New Roman" w:hAnsi="Times New Roman" w:cs="Times New Roman"/>
                <w:sz w:val="24"/>
              </w:rPr>
              <w:t>热量来源为电加热，原材料颗粒经过螺杆螺筒加热融化后，通过模头挤出膜片。该过程产生有机废气非甲烷总烃。</w:t>
            </w:r>
          </w:p>
          <w:p>
            <w:pPr>
              <w:spacing w:line="360" w:lineRule="auto"/>
              <w:ind w:firstLine="480" w:firstLineChars="200"/>
              <w:jc w:val="both"/>
              <w:rPr>
                <w:rFonts w:hint="default" w:ascii="Times New Roman" w:hAnsi="Times New Roman" w:cs="Times New Roman"/>
                <w:sz w:val="24"/>
              </w:rPr>
            </w:pPr>
            <w:r>
              <w:rPr>
                <w:rFonts w:hint="default" w:ascii="Times New Roman" w:hAnsi="Times New Roman" w:cs="Times New Roman"/>
                <w:sz w:val="24"/>
              </w:rPr>
              <w:t>③冷却切割：膜片过水冷却，冷却后进行切割，冷却水循环使用不外排，冷却过程中产生沉渣。</w:t>
            </w:r>
          </w:p>
          <w:p>
            <w:pPr>
              <w:spacing w:line="360" w:lineRule="auto"/>
              <w:ind w:firstLine="480" w:firstLineChars="200"/>
              <w:jc w:val="both"/>
              <w:rPr>
                <w:rFonts w:hint="default" w:ascii="Times New Roman" w:hAnsi="Times New Roman" w:cs="Times New Roman"/>
                <w:sz w:val="24"/>
              </w:rPr>
            </w:pPr>
            <w:r>
              <w:rPr>
                <w:rFonts w:hint="default" w:ascii="Times New Roman" w:hAnsi="Times New Roman" w:cs="Times New Roman"/>
                <w:sz w:val="24"/>
              </w:rPr>
              <w:t>④抽丝</w:t>
            </w:r>
            <w:r>
              <w:rPr>
                <w:rFonts w:hint="default" w:ascii="Times New Roman" w:hAnsi="Times New Roman" w:cs="Times New Roman"/>
                <w:sz w:val="24"/>
                <w:lang w:eastAsia="zh-CN"/>
              </w:rPr>
              <w:t>：</w:t>
            </w:r>
            <w:r>
              <w:rPr>
                <w:rFonts w:hint="default" w:ascii="Times New Roman" w:hAnsi="Times New Roman" w:cs="Times New Roman"/>
                <w:sz w:val="24"/>
              </w:rPr>
              <w:t>切割后的膜片再经过热烘箱牵伸</w:t>
            </w:r>
            <w:r>
              <w:rPr>
                <w:rFonts w:hint="default" w:ascii="Times New Roman" w:hAnsi="Times New Roman" w:cs="Times New Roman"/>
                <w:sz w:val="24"/>
                <w:lang w:eastAsia="zh-CN"/>
              </w:rPr>
              <w:t>（</w:t>
            </w:r>
            <w:r>
              <w:rPr>
                <w:rFonts w:hint="default" w:ascii="Times New Roman" w:hAnsi="Times New Roman" w:cs="Times New Roman"/>
                <w:sz w:val="24"/>
              </w:rPr>
              <w:t>牵伸烘箱的温度约100℃</w:t>
            </w:r>
            <w:r>
              <w:rPr>
                <w:rFonts w:hint="default" w:ascii="Times New Roman" w:hAnsi="Times New Roman" w:cs="Times New Roman"/>
                <w:sz w:val="24"/>
                <w:lang w:eastAsia="zh-CN"/>
              </w:rPr>
              <w:t>），</w:t>
            </w:r>
            <w:r>
              <w:rPr>
                <w:rFonts w:hint="default" w:ascii="Times New Roman" w:hAnsi="Times New Roman" w:cs="Times New Roman"/>
                <w:sz w:val="24"/>
              </w:rPr>
              <w:t>牵伸后的膜片变成了各种规格的单丝</w:t>
            </w:r>
            <w:r>
              <w:rPr>
                <w:rFonts w:hint="default" w:ascii="Times New Roman" w:hAnsi="Times New Roman" w:cs="Times New Roman"/>
                <w:sz w:val="24"/>
                <w:lang w:eastAsia="zh-CN"/>
              </w:rPr>
              <w:t>（</w:t>
            </w:r>
            <w:r>
              <w:rPr>
                <w:rFonts w:hint="default" w:ascii="Times New Roman" w:hAnsi="Times New Roman" w:cs="Times New Roman"/>
                <w:sz w:val="24"/>
              </w:rPr>
              <w:t>单丝品种大致分为：经丝、纬丝、吊带丝</w:t>
            </w:r>
            <w:r>
              <w:rPr>
                <w:rFonts w:hint="default" w:ascii="Times New Roman" w:hAnsi="Times New Roman" w:cs="Times New Roman"/>
                <w:sz w:val="24"/>
                <w:lang w:eastAsia="zh-CN"/>
              </w:rPr>
              <w:t>）</w:t>
            </w:r>
            <w:r>
              <w:rPr>
                <w:rFonts w:hint="default" w:ascii="Times New Roman" w:hAnsi="Times New Roman" w:cs="Times New Roman"/>
                <w:sz w:val="24"/>
              </w:rPr>
              <w:t>。</w:t>
            </w:r>
          </w:p>
          <w:p>
            <w:pPr>
              <w:spacing w:line="360" w:lineRule="auto"/>
              <w:ind w:firstLine="480" w:firstLineChars="200"/>
              <w:jc w:val="both"/>
              <w:rPr>
                <w:rFonts w:hint="default" w:ascii="Times New Roman" w:hAnsi="Times New Roman" w:cs="Times New Roman"/>
                <w:sz w:val="24"/>
              </w:rPr>
            </w:pPr>
            <w:r>
              <w:rPr>
                <w:rFonts w:hint="default" w:ascii="Times New Roman" w:hAnsi="Times New Roman" w:cs="Times New Roman"/>
                <w:sz w:val="24"/>
              </w:rPr>
              <w:t>⑤定型收卷：牵伸后的单丝在经过五辊到定型烘箱定型</w:t>
            </w:r>
            <w:r>
              <w:rPr>
                <w:rFonts w:hint="default" w:ascii="Times New Roman" w:hAnsi="Times New Roman" w:cs="Times New Roman"/>
                <w:sz w:val="24"/>
                <w:lang w:eastAsia="zh-CN"/>
              </w:rPr>
              <w:t>（</w:t>
            </w:r>
            <w:r>
              <w:rPr>
                <w:rFonts w:hint="default" w:ascii="Times New Roman" w:hAnsi="Times New Roman" w:cs="Times New Roman"/>
                <w:sz w:val="24"/>
              </w:rPr>
              <w:t>定型烘箱的温度为80-100℃区间</w:t>
            </w:r>
            <w:r>
              <w:rPr>
                <w:rFonts w:hint="default" w:ascii="Times New Roman" w:hAnsi="Times New Roman" w:cs="Times New Roman"/>
                <w:sz w:val="24"/>
                <w:lang w:eastAsia="zh-CN"/>
              </w:rPr>
              <w:t>）</w:t>
            </w:r>
            <w:r>
              <w:rPr>
                <w:rFonts w:hint="default" w:ascii="Times New Roman" w:hAnsi="Times New Roman" w:cs="Times New Roman"/>
                <w:sz w:val="24"/>
              </w:rPr>
              <w:t>。定型后的单丝再经过进行收卷，收卷完毕的单丝就进入下一道编织工序。</w:t>
            </w:r>
          </w:p>
          <w:p>
            <w:pPr>
              <w:spacing w:line="360" w:lineRule="auto"/>
              <w:ind w:firstLine="480" w:firstLineChars="200"/>
              <w:jc w:val="both"/>
              <w:rPr>
                <w:rFonts w:hint="default" w:ascii="Times New Roman" w:hAnsi="Times New Roman" w:cs="Times New Roman"/>
                <w:sz w:val="24"/>
              </w:rPr>
            </w:pPr>
            <w:r>
              <w:rPr>
                <w:rFonts w:hint="default" w:ascii="Times New Roman" w:hAnsi="Times New Roman" w:cs="Times New Roman"/>
                <w:sz w:val="24"/>
              </w:rPr>
              <w:t>⑥编织：经丝挂在圆织机的纱架上，按照顺序从机器的两边穿到机器的中间吊起来，然后装上纬丝进行交替编织，编织好的编织布经过机器上端传送到圆织机一端的尾部进行收卷。吊带丝挂在纱架上按照顺序分成多组的，把分成多组的吊带丝按照顺序穿到机器的头部，再与纬丝进行交替编织。</w:t>
            </w:r>
          </w:p>
          <w:p>
            <w:pPr>
              <w:spacing w:line="360" w:lineRule="auto"/>
              <w:ind w:firstLine="480" w:firstLineChars="200"/>
              <w:jc w:val="both"/>
              <w:rPr>
                <w:rFonts w:hint="default" w:ascii="Times New Roman" w:hAnsi="Times New Roman" w:cs="Times New Roman"/>
                <w:sz w:val="24"/>
              </w:rPr>
            </w:pPr>
            <w:r>
              <w:rPr>
                <w:rFonts w:hint="default" w:ascii="Times New Roman" w:hAnsi="Times New Roman" w:cs="Times New Roman"/>
                <w:sz w:val="24"/>
              </w:rPr>
              <w:t>⑦裁剪：根据用户所订的袋子的规格，对相应尺寸的编织布进行裁剪，把编织布裁剪成相应尺寸的片材。</w:t>
            </w:r>
          </w:p>
          <w:p>
            <w:pPr>
              <w:spacing w:line="360" w:lineRule="auto"/>
              <w:ind w:firstLine="480" w:firstLineChars="200"/>
              <w:jc w:val="both"/>
              <w:rPr>
                <w:rFonts w:hint="default" w:ascii="Times New Roman" w:hAnsi="Times New Roman" w:cs="Times New Roman"/>
                <w:sz w:val="24"/>
              </w:rPr>
            </w:pPr>
            <w:r>
              <w:rPr>
                <w:rFonts w:hint="default" w:ascii="Times New Roman" w:hAnsi="Times New Roman" w:cs="Times New Roman"/>
                <w:sz w:val="24"/>
              </w:rPr>
              <w:t>⑧缝纫：把裁剪、印刷好的片材按照每个袋子的缝制工艺进行拼接缝纫，缝合完毕后成为成品。</w:t>
            </w:r>
          </w:p>
          <w:p>
            <w:pPr>
              <w:spacing w:line="360" w:lineRule="auto"/>
              <w:ind w:firstLine="480" w:firstLineChars="200"/>
              <w:jc w:val="both"/>
              <w:rPr>
                <w:rFonts w:hint="default" w:ascii="Times New Roman" w:hAnsi="Times New Roman" w:cs="Times New Roman"/>
                <w:sz w:val="24"/>
              </w:rPr>
            </w:pPr>
            <w:r>
              <w:rPr>
                <w:rFonts w:hint="default" w:ascii="Times New Roman" w:hAnsi="Times New Roman" w:cs="Times New Roman"/>
                <w:sz w:val="24"/>
              </w:rPr>
              <w:t>⑨检验：缝合完毕后的袋子有专门的计数人员进行计数，然后再有质检员进行检验袋子的外观形状、尺寸、有缝纫线的地方是否缝制到位，检验合格的袋子再进行折叠、打包、入库。</w:t>
            </w:r>
          </w:p>
          <w:p>
            <w:pPr>
              <w:pStyle w:val="32"/>
              <w:spacing w:line="360" w:lineRule="auto"/>
              <w:ind w:firstLine="482" w:firstLineChars="200"/>
              <w:jc w:val="both"/>
              <w:rPr>
                <w:rFonts w:hint="default" w:ascii="Times New Roman" w:hAnsi="Times New Roman" w:cs="Times New Roman"/>
                <w:b/>
                <w:bCs/>
              </w:rPr>
            </w:pPr>
            <w:r>
              <w:rPr>
                <w:rFonts w:hint="default" w:ascii="Times New Roman" w:hAnsi="Times New Roman" w:cs="Times New Roman"/>
                <w:b/>
                <w:bCs/>
              </w:rPr>
              <w:t>产污环节：</w:t>
            </w:r>
          </w:p>
          <w:p>
            <w:pPr>
              <w:spacing w:line="360" w:lineRule="auto"/>
              <w:ind w:firstLine="480" w:firstLineChars="200"/>
              <w:jc w:val="both"/>
              <w:rPr>
                <w:rFonts w:hint="default" w:ascii="Times New Roman" w:hAnsi="Times New Roman" w:cs="Times New Roman"/>
                <w:sz w:val="24"/>
              </w:rPr>
            </w:pPr>
            <w:r>
              <w:rPr>
                <w:rFonts w:hint="default" w:ascii="Times New Roman" w:hAnsi="Times New Roman" w:cs="Times New Roman"/>
                <w:sz w:val="24"/>
              </w:rPr>
              <w:t>①废气：热熔模压及危废暂存库产生的非甲烷总烃，抽丝定型工段加工温度最高仅100℃</w:t>
            </w:r>
            <w:r>
              <w:rPr>
                <w:rFonts w:hint="default" w:ascii="Times New Roman" w:hAnsi="Times New Roman" w:cs="Times New Roman"/>
                <w:sz w:val="24"/>
                <w:lang w:eastAsia="zh-CN"/>
              </w:rPr>
              <w:t>，</w:t>
            </w:r>
            <w:r>
              <w:rPr>
                <w:rFonts w:hint="default" w:ascii="Times New Roman" w:hAnsi="Times New Roman" w:cs="Times New Roman"/>
                <w:sz w:val="24"/>
              </w:rPr>
              <w:t>远低于塑料热分解温度，故抽丝定型工段无废气产生。</w:t>
            </w:r>
          </w:p>
          <w:p>
            <w:pPr>
              <w:spacing w:line="360" w:lineRule="auto"/>
              <w:ind w:firstLine="480" w:firstLineChars="200"/>
              <w:jc w:val="both"/>
              <w:rPr>
                <w:rFonts w:hint="default" w:ascii="Times New Roman" w:hAnsi="Times New Roman" w:cs="Times New Roman"/>
                <w:sz w:val="24"/>
              </w:rPr>
            </w:pPr>
            <w:r>
              <w:rPr>
                <w:rFonts w:hint="default" w:ascii="Times New Roman" w:hAnsi="Times New Roman" w:cs="Times New Roman"/>
                <w:sz w:val="24"/>
              </w:rPr>
              <w:t>②噪声：各设备运行时产生的噪声；</w:t>
            </w:r>
          </w:p>
          <w:p>
            <w:pPr>
              <w:pStyle w:val="32"/>
              <w:spacing w:line="360" w:lineRule="auto"/>
              <w:ind w:firstLine="480" w:firstLineChars="200"/>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③废水：主要为员工生活污水。</w:t>
            </w:r>
          </w:p>
          <w:p>
            <w:pPr>
              <w:pStyle w:val="32"/>
              <w:spacing w:line="360" w:lineRule="auto"/>
              <w:ind w:firstLine="480" w:firstLineChars="200"/>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④固体废物：项目固体废弃物主要为分切工序产生的沉渣、边角料、不合格品、职工生活办公产生的生活垃圾、废气处理产生的废活性炭。</w:t>
            </w:r>
          </w:p>
          <w:p>
            <w:pPr>
              <w:pStyle w:val="32"/>
              <w:spacing w:line="360" w:lineRule="auto"/>
              <w:ind w:firstLine="482" w:firstLineChars="200"/>
              <w:jc w:val="both"/>
              <w:rPr>
                <w:rFonts w:hint="default" w:ascii="Times New Roman" w:hAnsi="Times New Roman" w:cs="Times New Roman"/>
                <w:color w:val="auto"/>
              </w:rPr>
            </w:pPr>
            <w:r>
              <w:rPr>
                <w:rFonts w:hint="default" w:ascii="Times New Roman" w:hAnsi="Times New Roman" w:cs="Times New Roman"/>
                <w:b/>
                <w:bCs/>
                <w:color w:val="auto"/>
              </w:rPr>
              <w:t>（2）项目污染防治措施及环境影响情况</w:t>
            </w:r>
          </w:p>
          <w:p>
            <w:pPr>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rPr>
              <w:t>①废气</w:t>
            </w:r>
          </w:p>
          <w:p>
            <w:pPr>
              <w:pStyle w:val="32"/>
              <w:spacing w:line="360" w:lineRule="auto"/>
              <w:ind w:firstLine="480" w:firstLineChars="200"/>
              <w:jc w:val="both"/>
              <w:rPr>
                <w:rFonts w:hint="default" w:ascii="Times New Roman" w:hAnsi="Times New Roman" w:cs="Times New Roman"/>
                <w:kern w:val="0"/>
                <w:szCs w:val="21"/>
                <w:lang w:eastAsia="zh-CN"/>
              </w:rPr>
            </w:pPr>
            <w:r>
              <w:rPr>
                <w:rFonts w:hint="default" w:ascii="Times New Roman" w:hAnsi="Times New Roman" w:cs="Times New Roman"/>
                <w:kern w:val="0"/>
                <w:szCs w:val="21"/>
                <w:lang w:eastAsia="zh-CN"/>
              </w:rPr>
              <w:t>热熔模压废气</w:t>
            </w:r>
            <w:r>
              <w:rPr>
                <w:rFonts w:hint="default" w:ascii="Times New Roman" w:hAnsi="Times New Roman" w:cs="Times New Roman"/>
                <w:kern w:val="0"/>
                <w:szCs w:val="21"/>
                <w:lang w:val="en-US" w:eastAsia="zh-CN"/>
              </w:rPr>
              <w:t>经</w:t>
            </w:r>
            <w:r>
              <w:rPr>
                <w:rFonts w:hint="default" w:ascii="Times New Roman" w:hAnsi="Times New Roman" w:cs="Times New Roman"/>
                <w:kern w:val="0"/>
                <w:szCs w:val="21"/>
                <w:lang w:eastAsia="zh-CN"/>
              </w:rPr>
              <w:t>集气罩+软帘收集，危废库废气采用负压收集</w:t>
            </w:r>
            <w:r>
              <w:rPr>
                <w:rFonts w:hint="default" w:ascii="Times New Roman" w:hAnsi="Times New Roman" w:cs="Times New Roman"/>
                <w:kern w:val="0"/>
                <w:szCs w:val="21"/>
                <w:lang w:val="en-US" w:eastAsia="zh-CN"/>
              </w:rPr>
              <w:t>后</w:t>
            </w:r>
            <w:r>
              <w:rPr>
                <w:rFonts w:hint="default" w:ascii="Times New Roman" w:hAnsi="Times New Roman" w:cs="Times New Roman"/>
                <w:kern w:val="0"/>
                <w:szCs w:val="21"/>
                <w:lang w:eastAsia="zh-CN"/>
              </w:rPr>
              <w:t>，共同经“</w:t>
            </w:r>
            <w:r>
              <w:rPr>
                <w:rFonts w:hint="default" w:ascii="Times New Roman" w:hAnsi="Times New Roman" w:cs="Times New Roman"/>
                <w:kern w:val="0"/>
                <w:szCs w:val="21"/>
                <w:lang w:val="en-US" w:eastAsia="zh-CN"/>
              </w:rPr>
              <w:t>喷淋塔+</w:t>
            </w:r>
            <w:r>
              <w:rPr>
                <w:rFonts w:hint="default" w:ascii="Times New Roman" w:hAnsi="Times New Roman" w:cs="Times New Roman"/>
                <w:kern w:val="0"/>
                <w:szCs w:val="21"/>
                <w:lang w:eastAsia="zh-CN"/>
              </w:rPr>
              <w:t>两级活性炭吸附处理+15m高排气筒（</w:t>
            </w:r>
            <w:r>
              <w:rPr>
                <w:rFonts w:hint="default" w:ascii="Times New Roman" w:hAnsi="Times New Roman" w:cs="Times New Roman"/>
                <w:kern w:val="0"/>
                <w:szCs w:val="21"/>
                <w:lang w:val="en-US" w:eastAsia="zh-CN"/>
              </w:rPr>
              <w:t>DA001</w:t>
            </w:r>
            <w:r>
              <w:rPr>
                <w:rFonts w:hint="default" w:ascii="Times New Roman" w:hAnsi="Times New Roman" w:cs="Times New Roman"/>
                <w:kern w:val="0"/>
                <w:szCs w:val="21"/>
                <w:lang w:eastAsia="zh-CN"/>
              </w:rPr>
              <w:t>）”处理后排放</w:t>
            </w:r>
          </w:p>
          <w:p>
            <w:pPr>
              <w:pStyle w:val="32"/>
              <w:spacing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②废水</w:t>
            </w:r>
          </w:p>
          <w:p>
            <w:pPr>
              <w:pStyle w:val="32"/>
              <w:spacing w:line="360" w:lineRule="auto"/>
              <w:ind w:firstLine="480" w:firstLineChars="200"/>
              <w:jc w:val="both"/>
              <w:rPr>
                <w:rFonts w:hint="default" w:ascii="Times New Roman" w:hAnsi="Times New Roman" w:eastAsia="宋体" w:cs="Times New Roman"/>
                <w:color w:val="auto"/>
                <w:lang w:eastAsia="zh-CN"/>
              </w:rPr>
            </w:pPr>
            <w:r>
              <w:rPr>
                <w:rFonts w:hint="default" w:ascii="Times New Roman" w:hAnsi="Times New Roman" w:cs="Times New Roman"/>
                <w:color w:val="auto"/>
              </w:rPr>
              <w:t>现有项目产生的</w:t>
            </w:r>
            <w:r>
              <w:rPr>
                <w:rFonts w:hint="default" w:ascii="Times New Roman" w:hAnsi="Times New Roman" w:cs="Times New Roman"/>
                <w:color w:val="auto"/>
                <w:lang w:val="en-US" w:eastAsia="zh-CN"/>
              </w:rPr>
              <w:t>生活污水</w:t>
            </w:r>
            <w:r>
              <w:rPr>
                <w:rFonts w:hint="default" w:ascii="Times New Roman" w:hAnsi="Times New Roman" w:eastAsia="宋体" w:cs="Times New Roman"/>
                <w:color w:val="auto"/>
                <w:lang w:val="en-US" w:eastAsia="zh-CN"/>
              </w:rPr>
              <w:t>经化粪池</w:t>
            </w:r>
            <w:r>
              <w:rPr>
                <w:rFonts w:hint="default" w:ascii="Times New Roman" w:hAnsi="Times New Roman" w:cs="Times New Roman"/>
                <w:color w:val="auto"/>
                <w:lang w:val="en-US" w:eastAsia="zh-CN"/>
              </w:rPr>
              <w:t>预</w:t>
            </w:r>
            <w:r>
              <w:rPr>
                <w:rFonts w:hint="default" w:ascii="Times New Roman" w:hAnsi="Times New Roman" w:eastAsia="宋体" w:cs="Times New Roman"/>
                <w:color w:val="auto"/>
                <w:lang w:val="en-US" w:eastAsia="zh-CN"/>
              </w:rPr>
              <w:t>处理后</w:t>
            </w:r>
            <w:r>
              <w:rPr>
                <w:rFonts w:hint="default" w:ascii="Times New Roman" w:hAnsi="Times New Roman" w:cs="Times New Roman"/>
                <w:color w:val="auto"/>
                <w:lang w:val="en-US" w:eastAsia="zh-CN"/>
              </w:rPr>
              <w:t>排入墟沟污水处理厂处理</w:t>
            </w:r>
            <w:r>
              <w:rPr>
                <w:rFonts w:hint="default" w:ascii="Times New Roman" w:hAnsi="Times New Roman" w:cs="Times New Roman"/>
                <w:color w:val="auto"/>
              </w:rPr>
              <w:t>。</w:t>
            </w:r>
          </w:p>
          <w:p>
            <w:pPr>
              <w:pStyle w:val="32"/>
              <w:spacing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③固体废物</w:t>
            </w:r>
          </w:p>
          <w:p>
            <w:pPr>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cs="Times New Roman"/>
                <w:sz w:val="24"/>
              </w:rPr>
              <w:t>营运期固体废物主要为废活性炭、</w:t>
            </w:r>
            <w:r>
              <w:rPr>
                <w:rFonts w:hint="default" w:ascii="Times New Roman" w:hAnsi="Times New Roman" w:cs="Times New Roman"/>
                <w:sz w:val="24"/>
                <w:lang w:val="en-US" w:eastAsia="zh-CN"/>
              </w:rPr>
              <w:t>废边角料、不合格品、沉渣</w:t>
            </w:r>
            <w:r>
              <w:rPr>
                <w:rFonts w:hint="default" w:ascii="Times New Roman" w:hAnsi="Times New Roman" w:cs="Times New Roman"/>
                <w:sz w:val="24"/>
              </w:rPr>
              <w:t>和生活垃圾</w:t>
            </w:r>
            <w:r>
              <w:rPr>
                <w:rFonts w:hint="default" w:ascii="Times New Roman" w:hAnsi="Times New Roman" w:cs="Times New Roman"/>
                <w:color w:val="auto"/>
                <w:sz w:val="24"/>
              </w:rPr>
              <w:t>。生活垃圾交由环卫部门统一处置，</w:t>
            </w:r>
            <w:r>
              <w:rPr>
                <w:rFonts w:hint="default" w:ascii="Times New Roman" w:hAnsi="Times New Roman" w:cs="Times New Roman"/>
                <w:sz w:val="24"/>
                <w:lang w:val="en-US" w:eastAsia="zh-CN"/>
              </w:rPr>
              <w:t>废边角料、不合格品、沉渣</w:t>
            </w:r>
            <w:r>
              <w:rPr>
                <w:rFonts w:hint="default" w:ascii="Times New Roman" w:hAnsi="Times New Roman" w:cs="Times New Roman"/>
                <w:sz w:val="24"/>
              </w:rPr>
              <w:t>外售综合利用，废活性炭委托</w:t>
            </w:r>
            <w:r>
              <w:rPr>
                <w:rFonts w:hint="default" w:ascii="Times New Roman" w:hAnsi="Times New Roman" w:cs="Times New Roman"/>
                <w:sz w:val="24"/>
                <w:lang w:val="en-US" w:eastAsia="zh-CN"/>
              </w:rPr>
              <w:t>有资质单位</w:t>
            </w:r>
            <w:r>
              <w:rPr>
                <w:rFonts w:hint="default" w:ascii="Times New Roman" w:hAnsi="Times New Roman" w:cs="Times New Roman"/>
                <w:sz w:val="24"/>
              </w:rPr>
              <w:t>进行处置</w:t>
            </w:r>
            <w:r>
              <w:rPr>
                <w:rFonts w:hint="default" w:ascii="Times New Roman" w:hAnsi="Times New Roman" w:cs="Times New Roman"/>
                <w:color w:val="auto"/>
                <w:sz w:val="24"/>
              </w:rPr>
              <w:t>。</w:t>
            </w:r>
          </w:p>
          <w:p>
            <w:pPr>
              <w:pStyle w:val="32"/>
              <w:spacing w:line="360" w:lineRule="auto"/>
              <w:ind w:firstLine="482" w:firstLineChars="200"/>
              <w:jc w:val="both"/>
              <w:rPr>
                <w:rFonts w:hint="default" w:ascii="Times New Roman" w:hAnsi="Times New Roman" w:cs="Times New Roman"/>
                <w:color w:val="auto"/>
              </w:rPr>
            </w:pPr>
            <w:r>
              <w:rPr>
                <w:rFonts w:hint="default" w:ascii="Times New Roman" w:hAnsi="Times New Roman" w:cs="Times New Roman"/>
                <w:b/>
                <w:bCs/>
                <w:color w:val="auto"/>
              </w:rPr>
              <w:t>3、污染物达标排放情况</w:t>
            </w:r>
          </w:p>
          <w:p>
            <w:pPr>
              <w:spacing w:line="360" w:lineRule="auto"/>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根据</w:t>
            </w:r>
            <w:r>
              <w:rPr>
                <w:rFonts w:hint="default" w:ascii="Times New Roman" w:hAnsi="Times New Roman" w:cs="Times New Roman"/>
                <w:sz w:val="24"/>
              </w:rPr>
              <w:t>山东精诚检测技术有限公司</w:t>
            </w:r>
            <w:r>
              <w:rPr>
                <w:rFonts w:hint="default" w:ascii="Times New Roman" w:hAnsi="Times New Roman" w:cs="Times New Roman"/>
                <w:color w:val="auto"/>
                <w:sz w:val="24"/>
              </w:rPr>
              <w:t>于202</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年</w:t>
            </w:r>
            <w:r>
              <w:rPr>
                <w:rFonts w:hint="default" w:ascii="Times New Roman" w:hAnsi="Times New Roman" w:eastAsia="宋体" w:cs="Times New Roman"/>
                <w:color w:val="auto"/>
                <w:sz w:val="24"/>
                <w:lang w:val="en-US" w:eastAsia="zh-CN"/>
              </w:rPr>
              <w:t>5</w:t>
            </w:r>
            <w:r>
              <w:rPr>
                <w:rFonts w:hint="default" w:ascii="Times New Roman" w:hAnsi="Times New Roman" w:cs="Times New Roman"/>
                <w:color w:val="auto"/>
                <w:sz w:val="24"/>
              </w:rPr>
              <w:t>月</w:t>
            </w:r>
            <w:r>
              <w:rPr>
                <w:rFonts w:hint="default" w:ascii="Times New Roman" w:hAnsi="Times New Roman" w:cs="Times New Roman"/>
                <w:color w:val="auto"/>
                <w:sz w:val="24"/>
                <w:lang w:val="en-US" w:eastAsia="zh-CN"/>
              </w:rPr>
              <w:t>22</w:t>
            </w:r>
            <w:r>
              <w:rPr>
                <w:rFonts w:hint="default" w:ascii="Times New Roman" w:hAnsi="Times New Roman" w:cs="Times New Roman"/>
                <w:color w:val="auto"/>
                <w:sz w:val="24"/>
              </w:rPr>
              <w:t>日</w:t>
            </w:r>
            <w:r>
              <w:rPr>
                <w:rFonts w:hint="default" w:ascii="Times New Roman" w:hAnsi="Times New Roman" w:eastAsia="宋体" w:cs="Times New Roman"/>
                <w:color w:val="auto"/>
                <w:sz w:val="24"/>
                <w:lang w:val="en-US" w:eastAsia="zh-CN"/>
              </w:rPr>
              <w:t>-5月</w:t>
            </w:r>
            <w:r>
              <w:rPr>
                <w:rFonts w:hint="default" w:ascii="Times New Roman" w:hAnsi="Times New Roman" w:cs="Times New Roman"/>
                <w:color w:val="auto"/>
                <w:sz w:val="24"/>
                <w:lang w:val="en-US" w:eastAsia="zh-CN"/>
              </w:rPr>
              <w:t>23</w:t>
            </w:r>
            <w:r>
              <w:rPr>
                <w:rFonts w:hint="default" w:ascii="Times New Roman" w:hAnsi="Times New Roman" w:eastAsia="宋体" w:cs="Times New Roman"/>
                <w:color w:val="auto"/>
                <w:sz w:val="24"/>
                <w:lang w:val="en-US" w:eastAsia="zh-CN"/>
              </w:rPr>
              <w:t>日进行的验收</w:t>
            </w:r>
            <w:r>
              <w:rPr>
                <w:rFonts w:hint="default" w:ascii="Times New Roman" w:hAnsi="Times New Roman" w:cs="Times New Roman"/>
                <w:color w:val="auto"/>
                <w:sz w:val="24"/>
              </w:rPr>
              <w:t>监测</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现有项目各污染物达标排放情况如下：</w:t>
            </w:r>
          </w:p>
          <w:p>
            <w:pPr>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w:t>
            </w:r>
            <w:r>
              <w:rPr>
                <w:rFonts w:hint="default" w:ascii="Times New Roman" w:hAnsi="Times New Roman" w:cs="Times New Roman"/>
                <w:color w:val="auto"/>
                <w:sz w:val="24"/>
              </w:rPr>
              <w:t>废气</w:t>
            </w:r>
          </w:p>
          <w:p>
            <w:pPr>
              <w:spacing w:line="360" w:lineRule="auto"/>
              <w:ind w:firstLine="480" w:firstLineChars="200"/>
              <w:jc w:val="both"/>
              <w:rPr>
                <w:rFonts w:hint="default" w:ascii="Times New Roman" w:hAnsi="Times New Roman" w:cs="Times New Roman" w:eastAsiaTheme="majorEastAsia"/>
                <w:sz w:val="24"/>
              </w:rPr>
            </w:pPr>
            <w:r>
              <w:rPr>
                <w:rFonts w:hint="default" w:ascii="Times New Roman" w:hAnsi="Times New Roman" w:cs="Times New Roman" w:eastAsiaTheme="majorEastAsia"/>
                <w:sz w:val="24"/>
              </w:rPr>
              <w:t>项目产生的非甲烷总烃满足《大气污染物综合排放标准》（DB32/4041-2021）中表</w:t>
            </w:r>
            <w:r>
              <w:rPr>
                <w:rFonts w:hint="default" w:ascii="Times New Roman" w:hAnsi="Times New Roman" w:cs="Times New Roman" w:eastAsiaTheme="majorEastAsia"/>
                <w:sz w:val="24"/>
                <w:lang w:val="en-US" w:eastAsia="zh-CN"/>
              </w:rPr>
              <w:t>1</w:t>
            </w:r>
            <w:r>
              <w:rPr>
                <w:rFonts w:hint="default" w:ascii="Times New Roman" w:hAnsi="Times New Roman" w:cs="Times New Roman" w:eastAsiaTheme="majorEastAsia"/>
                <w:sz w:val="24"/>
              </w:rPr>
              <w:t>大气污染物排放限值要求；非甲烷总烃无组织排放浓度限值满足《大气污染物综合排放标准》（DB32/4041-2021）中表</w:t>
            </w:r>
            <w:r>
              <w:rPr>
                <w:rFonts w:hint="default" w:ascii="Times New Roman" w:hAnsi="Times New Roman" w:cs="Times New Roman" w:eastAsiaTheme="majorEastAsia"/>
                <w:sz w:val="24"/>
                <w:lang w:val="en-US" w:eastAsia="zh-CN"/>
              </w:rPr>
              <w:t>3</w:t>
            </w:r>
            <w:r>
              <w:rPr>
                <w:rFonts w:hint="default" w:ascii="Times New Roman" w:hAnsi="Times New Roman" w:cs="Times New Roman" w:eastAsiaTheme="majorEastAsia"/>
                <w:sz w:val="24"/>
              </w:rPr>
              <w:t>企业边界大气污染物浓度限值；厂</w:t>
            </w:r>
            <w:r>
              <w:rPr>
                <w:rFonts w:hint="default" w:ascii="Times New Roman" w:hAnsi="Times New Roman" w:cs="Times New Roman" w:eastAsiaTheme="majorEastAsia"/>
                <w:sz w:val="24"/>
                <w:lang w:val="en-US" w:eastAsia="zh-CN"/>
              </w:rPr>
              <w:t>区</w:t>
            </w:r>
            <w:r>
              <w:rPr>
                <w:rFonts w:hint="default" w:ascii="Times New Roman" w:hAnsi="Times New Roman" w:cs="Times New Roman" w:eastAsiaTheme="majorEastAsia"/>
                <w:sz w:val="24"/>
              </w:rPr>
              <w:t>内车间外VOCs（以非甲烷总烃表征）监控点满足《大气污染物综合排放标准》（DB32/4041-2021）中表2非甲烷总烃1h平均浓度特别排放限值标准。</w:t>
            </w:r>
          </w:p>
          <w:p>
            <w:pPr>
              <w:spacing w:line="360" w:lineRule="auto"/>
              <w:ind w:firstLine="480" w:firstLineChars="20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废水</w:t>
            </w:r>
          </w:p>
          <w:p>
            <w:pPr>
              <w:spacing w:line="360" w:lineRule="auto"/>
              <w:ind w:firstLine="480" w:firstLineChars="200"/>
              <w:jc w:val="both"/>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现有</w:t>
            </w:r>
            <w:r>
              <w:rPr>
                <w:rFonts w:hint="default" w:ascii="Times New Roman" w:hAnsi="Times New Roman" w:eastAsia="宋体" w:cs="Times New Roman"/>
                <w:sz w:val="24"/>
                <w:szCs w:val="24"/>
                <w:lang w:eastAsia="zh-CN"/>
              </w:rPr>
              <w:t>项目</w:t>
            </w:r>
            <w:r>
              <w:rPr>
                <w:rFonts w:hint="default" w:ascii="Times New Roman" w:hAnsi="Times New Roman" w:cs="Times New Roman"/>
                <w:sz w:val="24"/>
                <w:szCs w:val="24"/>
                <w:lang w:val="en-US" w:eastAsia="zh-CN"/>
              </w:rPr>
              <w:t>生活污水经化粪池预处理后能够</w:t>
            </w:r>
            <w:r>
              <w:rPr>
                <w:rFonts w:hint="default" w:ascii="Times New Roman" w:hAnsi="Times New Roman" w:eastAsia="宋体" w:cs="Times New Roman"/>
                <w:sz w:val="24"/>
                <w:szCs w:val="24"/>
                <w:lang w:eastAsia="zh-CN"/>
              </w:rPr>
              <w:t>满足</w:t>
            </w:r>
            <w:r>
              <w:rPr>
                <w:rFonts w:hint="default" w:ascii="Times New Roman" w:hAnsi="Times New Roman" w:cs="Times New Roman"/>
                <w:sz w:val="24"/>
                <w:szCs w:val="24"/>
                <w:lang w:eastAsia="zh-CN"/>
              </w:rPr>
              <w:t>墟沟污水处理厂</w:t>
            </w:r>
            <w:r>
              <w:rPr>
                <w:rFonts w:hint="default" w:ascii="Times New Roman" w:hAnsi="Times New Roman" w:eastAsia="宋体" w:cs="Times New Roman"/>
                <w:sz w:val="24"/>
                <w:szCs w:val="24"/>
                <w:lang w:val="en-US" w:eastAsia="zh-CN"/>
              </w:rPr>
              <w:t>的</w:t>
            </w:r>
            <w:r>
              <w:rPr>
                <w:rFonts w:hint="default" w:ascii="Times New Roman" w:hAnsi="Times New Roman" w:eastAsia="宋体" w:cs="Times New Roman"/>
                <w:sz w:val="24"/>
                <w:szCs w:val="24"/>
                <w:lang w:eastAsia="zh-CN"/>
              </w:rPr>
              <w:t>接管标准要求。</w:t>
            </w:r>
          </w:p>
          <w:p>
            <w:pPr>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lang w:eastAsia="zh-CN"/>
              </w:rPr>
              <w:t>）</w:t>
            </w:r>
            <w:r>
              <w:rPr>
                <w:rFonts w:hint="default" w:ascii="Times New Roman" w:hAnsi="Times New Roman" w:cs="Times New Roman"/>
                <w:color w:val="auto"/>
                <w:sz w:val="24"/>
              </w:rPr>
              <w:t>噪声</w:t>
            </w:r>
          </w:p>
          <w:p>
            <w:pPr>
              <w:spacing w:line="360" w:lineRule="auto"/>
              <w:ind w:firstLine="480" w:firstLineChars="200"/>
              <w:jc w:val="both"/>
              <w:rPr>
                <w:rFonts w:hint="default" w:ascii="Times New Roman" w:hAnsi="Times New Roman" w:cs="Times New Roman"/>
                <w:sz w:val="24"/>
              </w:rPr>
            </w:pPr>
            <w:r>
              <w:rPr>
                <w:rFonts w:hint="default" w:ascii="Times New Roman" w:hAnsi="Times New Roman" w:cs="Times New Roman"/>
                <w:sz w:val="24"/>
                <w:lang w:val="en-US" w:eastAsia="zh-CN"/>
              </w:rPr>
              <w:t>现有</w:t>
            </w:r>
            <w:r>
              <w:rPr>
                <w:rFonts w:hint="default" w:ascii="Times New Roman" w:hAnsi="Times New Roman" w:cs="Times New Roman"/>
                <w:sz w:val="24"/>
              </w:rPr>
              <w:t>项目</w:t>
            </w:r>
            <w:r>
              <w:rPr>
                <w:rFonts w:hint="default" w:ascii="Times New Roman" w:hAnsi="Times New Roman" w:cs="Times New Roman"/>
                <w:sz w:val="24"/>
                <w:lang w:val="en-US" w:eastAsia="zh-CN"/>
              </w:rPr>
              <w:t>南厂界、西</w:t>
            </w:r>
            <w:r>
              <w:rPr>
                <w:rFonts w:hint="default" w:ascii="Times New Roman" w:hAnsi="Times New Roman" w:cs="Times New Roman"/>
                <w:sz w:val="24"/>
              </w:rPr>
              <w:t>厂界噪声监测点昼</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夜</w:t>
            </w:r>
            <w:r>
              <w:rPr>
                <w:rFonts w:hint="default" w:ascii="Times New Roman" w:hAnsi="Times New Roman" w:cs="Times New Roman"/>
                <w:sz w:val="24"/>
              </w:rPr>
              <w:t>间等效声级值满足《工业企业厂界环境噪声排放标准》（GB12348-2008）</w:t>
            </w:r>
            <w:r>
              <w:rPr>
                <w:rFonts w:hint="default" w:ascii="Times New Roman" w:hAnsi="Times New Roman" w:cs="Times New Roman"/>
                <w:sz w:val="24"/>
                <w:lang w:val="en-US" w:eastAsia="zh-CN"/>
              </w:rPr>
              <w:t>3</w:t>
            </w:r>
            <w:r>
              <w:rPr>
                <w:rFonts w:hint="default" w:ascii="Times New Roman" w:hAnsi="Times New Roman" w:cs="Times New Roman"/>
                <w:sz w:val="24"/>
              </w:rPr>
              <w:t>类标准要求</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厂界北</w:t>
            </w:r>
            <w:r>
              <w:rPr>
                <w:rFonts w:hint="default" w:ascii="Times New Roman" w:hAnsi="Times New Roman" w:cs="Times New Roman"/>
                <w:sz w:val="24"/>
                <w:lang w:eastAsia="zh-CN"/>
              </w:rPr>
              <w:t>、</w:t>
            </w:r>
            <w:r>
              <w:rPr>
                <w:rFonts w:hint="default" w:ascii="Times New Roman" w:hAnsi="Times New Roman" w:cs="Times New Roman"/>
                <w:sz w:val="24"/>
              </w:rPr>
              <w:t>厂界东与企业相邻，不具备检测条件。</w:t>
            </w:r>
          </w:p>
          <w:p>
            <w:pPr>
              <w:spacing w:line="360" w:lineRule="auto"/>
              <w:ind w:firstLine="480" w:firstLineChars="20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auto"/>
                <w:sz w:val="24"/>
                <w:szCs w:val="24"/>
                <w:lang w:eastAsia="zh-CN"/>
              </w:rPr>
              <w:t>4、</w:t>
            </w:r>
            <w:r>
              <w:rPr>
                <w:rFonts w:hint="default" w:ascii="Times New Roman" w:hAnsi="Times New Roman" w:eastAsia="宋体" w:cs="Times New Roman"/>
                <w:color w:val="auto"/>
                <w:sz w:val="24"/>
                <w:szCs w:val="24"/>
                <w:lang w:val="en-US" w:eastAsia="zh-CN"/>
              </w:rPr>
              <w:t>现有项目实际</w:t>
            </w:r>
            <w:r>
              <w:rPr>
                <w:rFonts w:hint="default" w:ascii="Times New Roman" w:hAnsi="Times New Roman" w:eastAsia="宋体" w:cs="Times New Roman"/>
                <w:sz w:val="24"/>
                <w:szCs w:val="24"/>
                <w:lang w:val="en-US" w:eastAsia="zh-CN"/>
              </w:rPr>
              <w:t>排放量</w:t>
            </w:r>
          </w:p>
          <w:p>
            <w:pPr>
              <w:spacing w:line="360" w:lineRule="auto"/>
              <w:ind w:firstLine="480" w:firstLineChars="20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w:t>
            </w:r>
            <w:r>
              <w:rPr>
                <w:rFonts w:hint="default" w:ascii="Times New Roman" w:hAnsi="Times New Roman" w:cs="Times New Roman"/>
                <w:sz w:val="24"/>
              </w:rPr>
              <w:t>山东精诚检测技术有限公司</w:t>
            </w:r>
            <w:r>
              <w:rPr>
                <w:rFonts w:hint="default" w:ascii="Times New Roman" w:hAnsi="Times New Roman" w:eastAsia="宋体" w:cs="Times New Roman"/>
                <w:sz w:val="24"/>
                <w:szCs w:val="24"/>
                <w:lang w:val="en-US" w:eastAsia="zh-CN"/>
              </w:rPr>
              <w:t>对现有项目的验收监测数据，项目污染物实际排放总量制情况见表2-12。</w:t>
            </w:r>
          </w:p>
          <w:p>
            <w:pPr>
              <w:pStyle w:val="3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表2-1</w:t>
            </w:r>
            <w:r>
              <w:rPr>
                <w:rFonts w:hint="default" w:ascii="Times New Roman" w:hAnsi="Times New Roman" w:cs="Times New Roman"/>
                <w:b/>
                <w:bCs/>
                <w:color w:val="auto"/>
                <w:sz w:val="21"/>
                <w:szCs w:val="21"/>
                <w:lang w:val="en-US" w:eastAsia="zh-CN"/>
              </w:rPr>
              <w:t>2</w:t>
            </w:r>
            <w:r>
              <w:rPr>
                <w:rFonts w:hint="default" w:ascii="Times New Roman" w:hAnsi="Times New Roman" w:eastAsia="宋体" w:cs="Times New Roman"/>
                <w:b/>
                <w:bCs/>
                <w:color w:val="auto"/>
                <w:sz w:val="21"/>
                <w:szCs w:val="21"/>
                <w:lang w:val="en-US" w:eastAsia="zh-CN"/>
              </w:rPr>
              <w:t xml:space="preserve"> 现有项目污染物排放总量控制情况</w:t>
            </w:r>
          </w:p>
          <w:tbl>
            <w:tblPr>
              <w:tblStyle w:val="24"/>
              <w:tblW w:w="499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121"/>
              <w:gridCol w:w="1149"/>
              <w:gridCol w:w="1676"/>
              <w:gridCol w:w="1557"/>
              <w:gridCol w:w="1193"/>
              <w:gridCol w:w="162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673" w:type="pct"/>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类别</w:t>
                  </w:r>
                </w:p>
              </w:tc>
              <w:tc>
                <w:tcPr>
                  <w:tcW w:w="690" w:type="pct"/>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项目</w:t>
                  </w:r>
                </w:p>
              </w:tc>
              <w:tc>
                <w:tcPr>
                  <w:tcW w:w="1007" w:type="pct"/>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监测点位</w:t>
                  </w:r>
                </w:p>
              </w:tc>
              <w:tc>
                <w:tcPr>
                  <w:tcW w:w="936" w:type="pct"/>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排放速率（kg/h）</w:t>
                  </w:r>
                </w:p>
              </w:tc>
              <w:tc>
                <w:tcPr>
                  <w:tcW w:w="716" w:type="pct"/>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lang w:val="en-US" w:eastAsia="zh-CN"/>
                    </w:rPr>
                    <w:t>实际</w:t>
                  </w:r>
                  <w:r>
                    <w:rPr>
                      <w:rFonts w:hint="default" w:ascii="Times New Roman" w:hAnsi="Times New Roman" w:cs="Times New Roman"/>
                      <w:b/>
                      <w:sz w:val="21"/>
                      <w:szCs w:val="21"/>
                    </w:rPr>
                    <w:t>排放量（t/a）</w:t>
                  </w:r>
                </w:p>
              </w:tc>
              <w:tc>
                <w:tcPr>
                  <w:tcW w:w="975" w:type="pct"/>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环评批复总量控制（t/a）</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673"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有组织废气</w:t>
                  </w:r>
                </w:p>
              </w:tc>
              <w:tc>
                <w:tcPr>
                  <w:tcW w:w="690"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非甲烷总烃</w:t>
                  </w:r>
                </w:p>
              </w:tc>
              <w:tc>
                <w:tcPr>
                  <w:tcW w:w="1007"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包装材料制造项目</w:t>
                  </w:r>
                </w:p>
              </w:tc>
              <w:tc>
                <w:tcPr>
                  <w:tcW w:w="936" w:type="pct"/>
                  <w:vAlign w:val="center"/>
                </w:tcPr>
                <w:p>
                  <w:pPr>
                    <w:jc w:val="center"/>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sz w:val="21"/>
                      <w:szCs w:val="21"/>
                      <w:lang w:val="en-US" w:eastAsia="zh-CN"/>
                    </w:rPr>
                    <w:t>0.0245</w:t>
                  </w:r>
                </w:p>
              </w:tc>
              <w:tc>
                <w:tcPr>
                  <w:tcW w:w="716" w:type="pct"/>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0.059</w:t>
                  </w:r>
                </w:p>
              </w:tc>
              <w:tc>
                <w:tcPr>
                  <w:tcW w:w="975" w:type="pct"/>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0.</w:t>
                  </w:r>
                  <w:r>
                    <w:rPr>
                      <w:rFonts w:hint="default" w:ascii="Times New Roman" w:hAnsi="Times New Roman" w:cs="Times New Roman"/>
                      <w:sz w:val="21"/>
                      <w:szCs w:val="21"/>
                      <w:lang w:val="en-US" w:eastAsia="zh-CN"/>
                    </w:rPr>
                    <w:t>063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673" w:type="pct"/>
                  <w:vAlign w:val="center"/>
                </w:tcPr>
                <w:p>
                  <w:pPr>
                    <w:jc w:val="center"/>
                    <w:rPr>
                      <w:rFonts w:hint="default" w:ascii="Times New Roman" w:hAnsi="Times New Roman" w:cs="Times New Roman"/>
                      <w:sz w:val="21"/>
                      <w:szCs w:val="21"/>
                    </w:rPr>
                  </w:pPr>
                  <w:r>
                    <w:rPr>
                      <w:rFonts w:hint="default" w:ascii="Times New Roman" w:hAnsi="Times New Roman" w:cs="Times New Roman"/>
                      <w:b/>
                      <w:sz w:val="21"/>
                      <w:szCs w:val="21"/>
                    </w:rPr>
                    <w:t>类别</w:t>
                  </w:r>
                </w:p>
              </w:tc>
              <w:tc>
                <w:tcPr>
                  <w:tcW w:w="690" w:type="pct"/>
                  <w:vAlign w:val="center"/>
                </w:tcPr>
                <w:p>
                  <w:pPr>
                    <w:jc w:val="center"/>
                    <w:rPr>
                      <w:rFonts w:hint="default" w:ascii="Times New Roman" w:hAnsi="Times New Roman" w:cs="Times New Roman"/>
                      <w:sz w:val="21"/>
                      <w:szCs w:val="21"/>
                    </w:rPr>
                  </w:pPr>
                  <w:r>
                    <w:rPr>
                      <w:rFonts w:hint="default" w:ascii="Times New Roman" w:hAnsi="Times New Roman" w:cs="Times New Roman"/>
                      <w:b/>
                      <w:sz w:val="21"/>
                      <w:szCs w:val="21"/>
                    </w:rPr>
                    <w:t>项目</w:t>
                  </w:r>
                </w:p>
              </w:tc>
              <w:tc>
                <w:tcPr>
                  <w:tcW w:w="1007" w:type="pct"/>
                  <w:vAlign w:val="center"/>
                </w:tcPr>
                <w:p>
                  <w:pPr>
                    <w:jc w:val="center"/>
                    <w:rPr>
                      <w:rFonts w:hint="default" w:ascii="Times New Roman" w:hAnsi="Times New Roman" w:cs="Times New Roman"/>
                      <w:sz w:val="21"/>
                      <w:szCs w:val="21"/>
                    </w:rPr>
                  </w:pPr>
                  <w:r>
                    <w:rPr>
                      <w:rFonts w:hint="default" w:ascii="Times New Roman" w:hAnsi="Times New Roman" w:cs="Times New Roman"/>
                      <w:b/>
                      <w:sz w:val="21"/>
                      <w:szCs w:val="21"/>
                    </w:rPr>
                    <w:t>监测点位</w:t>
                  </w:r>
                </w:p>
              </w:tc>
              <w:tc>
                <w:tcPr>
                  <w:tcW w:w="936" w:type="pct"/>
                  <w:vAlign w:val="center"/>
                </w:tcPr>
                <w:p>
                  <w:pPr>
                    <w:jc w:val="center"/>
                    <w:rPr>
                      <w:rFonts w:hint="default" w:ascii="Times New Roman" w:hAnsi="Times New Roman" w:cs="Times New Roman"/>
                      <w:sz w:val="21"/>
                      <w:szCs w:val="21"/>
                    </w:rPr>
                  </w:pPr>
                  <w:r>
                    <w:rPr>
                      <w:rFonts w:hint="default" w:ascii="Times New Roman" w:hAnsi="Times New Roman" w:cs="Times New Roman"/>
                      <w:b/>
                      <w:sz w:val="21"/>
                      <w:szCs w:val="21"/>
                    </w:rPr>
                    <w:t>排放浓度（mg/L）</w:t>
                  </w:r>
                </w:p>
              </w:tc>
              <w:tc>
                <w:tcPr>
                  <w:tcW w:w="716" w:type="pct"/>
                  <w:vAlign w:val="center"/>
                </w:tcPr>
                <w:p>
                  <w:pPr>
                    <w:jc w:val="center"/>
                    <w:rPr>
                      <w:rFonts w:hint="default" w:ascii="Times New Roman" w:hAnsi="Times New Roman" w:cs="Times New Roman"/>
                      <w:sz w:val="21"/>
                      <w:szCs w:val="21"/>
                    </w:rPr>
                  </w:pPr>
                  <w:r>
                    <w:rPr>
                      <w:rFonts w:hint="default" w:ascii="Times New Roman" w:hAnsi="Times New Roman" w:cs="Times New Roman"/>
                      <w:b/>
                      <w:sz w:val="21"/>
                      <w:szCs w:val="21"/>
                      <w:lang w:val="en-US" w:eastAsia="zh-CN"/>
                    </w:rPr>
                    <w:t>实际</w:t>
                  </w:r>
                  <w:r>
                    <w:rPr>
                      <w:rFonts w:hint="default" w:ascii="Times New Roman" w:hAnsi="Times New Roman" w:cs="Times New Roman"/>
                      <w:b/>
                      <w:sz w:val="21"/>
                      <w:szCs w:val="21"/>
                    </w:rPr>
                    <w:t>排放量（t/a）</w:t>
                  </w:r>
                </w:p>
              </w:tc>
              <w:tc>
                <w:tcPr>
                  <w:tcW w:w="975" w:type="pct"/>
                  <w:vAlign w:val="center"/>
                </w:tcPr>
                <w:p>
                  <w:pPr>
                    <w:jc w:val="center"/>
                    <w:rPr>
                      <w:rFonts w:hint="default" w:ascii="Times New Roman" w:hAnsi="Times New Roman" w:cs="Times New Roman"/>
                      <w:sz w:val="21"/>
                      <w:szCs w:val="21"/>
                    </w:rPr>
                  </w:pPr>
                  <w:r>
                    <w:rPr>
                      <w:rFonts w:hint="default" w:ascii="Times New Roman" w:hAnsi="Times New Roman" w:cs="Times New Roman"/>
                      <w:b/>
                      <w:sz w:val="21"/>
                      <w:szCs w:val="21"/>
                    </w:rPr>
                    <w:t>环评批复总量控制（t/a）</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673" w:type="pct"/>
                  <w:vMerge w:val="restar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废水</w:t>
                  </w:r>
                </w:p>
              </w:tc>
              <w:tc>
                <w:tcPr>
                  <w:tcW w:w="690" w:type="pct"/>
                  <w:vAlign w:val="center"/>
                </w:tcPr>
                <w:p>
                  <w:pPr>
                    <w:pStyle w:val="39"/>
                    <w:spacing w:before="24" w:after="24"/>
                    <w:jc w:val="center"/>
                    <w:rPr>
                      <w:rFonts w:hint="default" w:ascii="Times New Roman" w:hAnsi="Times New Roman" w:cs="Times New Roman"/>
                      <w:sz w:val="21"/>
                      <w:szCs w:val="21"/>
                    </w:rPr>
                  </w:pPr>
                  <w:r>
                    <w:rPr>
                      <w:rFonts w:hint="default" w:ascii="Times New Roman" w:hAnsi="Times New Roman" w:cs="Times New Roman"/>
                      <w:color w:val="auto"/>
                      <w:sz w:val="21"/>
                      <w:szCs w:val="21"/>
                    </w:rPr>
                    <w:t>COD</w:t>
                  </w:r>
                </w:p>
              </w:tc>
              <w:tc>
                <w:tcPr>
                  <w:tcW w:w="1007" w:type="pct"/>
                  <w:vMerge w:val="restar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厂区</w:t>
                  </w:r>
                  <w:r>
                    <w:rPr>
                      <w:rFonts w:hint="default" w:ascii="Times New Roman" w:hAnsi="Times New Roman" w:cs="Times New Roman"/>
                      <w:sz w:val="21"/>
                      <w:szCs w:val="21"/>
                      <w:lang w:val="en-US" w:eastAsia="zh-CN"/>
                    </w:rPr>
                    <w:t>生活污水</w:t>
                  </w:r>
                  <w:r>
                    <w:rPr>
                      <w:rFonts w:hint="default" w:ascii="Times New Roman" w:hAnsi="Times New Roman" w:cs="Times New Roman"/>
                      <w:sz w:val="21"/>
                      <w:szCs w:val="21"/>
                    </w:rPr>
                    <w:t>排放口</w:t>
                  </w:r>
                </w:p>
              </w:tc>
              <w:tc>
                <w:tcPr>
                  <w:tcW w:w="936" w:type="pct"/>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184</w:t>
                  </w:r>
                </w:p>
              </w:tc>
              <w:tc>
                <w:tcPr>
                  <w:tcW w:w="716" w:type="pct"/>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0.</w:t>
                  </w:r>
                  <w:r>
                    <w:rPr>
                      <w:rFonts w:hint="default" w:ascii="Times New Roman" w:hAnsi="Times New Roman" w:cs="Times New Roman"/>
                      <w:sz w:val="21"/>
                      <w:szCs w:val="21"/>
                      <w:lang w:val="en-US" w:eastAsia="zh-CN"/>
                    </w:rPr>
                    <w:t>066</w:t>
                  </w:r>
                </w:p>
              </w:tc>
              <w:tc>
                <w:tcPr>
                  <w:tcW w:w="975" w:type="pct"/>
                  <w:vAlign w:val="center"/>
                </w:tcPr>
                <w:p>
                  <w:pPr>
                    <w:widowControl/>
                    <w:spacing w:line="300" w:lineRule="exact"/>
                    <w:contextualSpacing/>
                    <w:jc w:val="center"/>
                    <w:textAlignment w:val="center"/>
                    <w:rPr>
                      <w:rFonts w:hint="default" w:ascii="Times New Roman" w:hAnsi="Times New Roman" w:cs="Times New Roman"/>
                      <w:sz w:val="21"/>
                      <w:szCs w:val="21"/>
                    </w:rPr>
                  </w:pPr>
                  <w:r>
                    <w:rPr>
                      <w:rFonts w:hint="default" w:ascii="Times New Roman" w:hAnsi="Times New Roman" w:cs="Times New Roman"/>
                      <w:color w:val="auto"/>
                      <w:kern w:val="0"/>
                      <w:sz w:val="21"/>
                      <w:szCs w:val="21"/>
                    </w:rPr>
                    <w:t>0.</w:t>
                  </w:r>
                  <w:r>
                    <w:rPr>
                      <w:rFonts w:hint="default" w:ascii="Times New Roman" w:hAnsi="Times New Roman" w:cs="Times New Roman"/>
                      <w:color w:val="auto"/>
                      <w:kern w:val="0"/>
                      <w:sz w:val="21"/>
                      <w:szCs w:val="21"/>
                      <w:lang w:val="en-US" w:eastAsia="zh-CN"/>
                    </w:rPr>
                    <w:t>144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673" w:type="pct"/>
                  <w:vMerge w:val="continue"/>
                  <w:vAlign w:val="center"/>
                </w:tcPr>
                <w:p>
                  <w:pPr>
                    <w:jc w:val="center"/>
                    <w:rPr>
                      <w:rFonts w:hint="default" w:ascii="Times New Roman" w:hAnsi="Times New Roman" w:cs="Times New Roman"/>
                      <w:sz w:val="21"/>
                      <w:szCs w:val="21"/>
                    </w:rPr>
                  </w:pPr>
                </w:p>
              </w:tc>
              <w:tc>
                <w:tcPr>
                  <w:tcW w:w="690" w:type="pct"/>
                  <w:vAlign w:val="center"/>
                </w:tcPr>
                <w:p>
                  <w:pPr>
                    <w:pStyle w:val="39"/>
                    <w:spacing w:before="24" w:after="24"/>
                    <w:jc w:val="center"/>
                    <w:rPr>
                      <w:rFonts w:hint="default" w:ascii="Times New Roman" w:hAnsi="Times New Roman" w:cs="Times New Roman"/>
                      <w:sz w:val="21"/>
                      <w:szCs w:val="21"/>
                    </w:rPr>
                  </w:pPr>
                  <w:r>
                    <w:rPr>
                      <w:rFonts w:hint="default" w:ascii="Times New Roman" w:hAnsi="Times New Roman" w:cs="Times New Roman"/>
                      <w:color w:val="auto"/>
                      <w:sz w:val="21"/>
                      <w:szCs w:val="21"/>
                    </w:rPr>
                    <w:t>SS</w:t>
                  </w:r>
                </w:p>
              </w:tc>
              <w:tc>
                <w:tcPr>
                  <w:tcW w:w="1007" w:type="pct"/>
                  <w:vMerge w:val="continue"/>
                  <w:vAlign w:val="center"/>
                </w:tcPr>
                <w:p>
                  <w:pPr>
                    <w:jc w:val="center"/>
                    <w:rPr>
                      <w:rFonts w:hint="default" w:ascii="Times New Roman" w:hAnsi="Times New Roman" w:cs="Times New Roman"/>
                      <w:sz w:val="21"/>
                      <w:szCs w:val="21"/>
                    </w:rPr>
                  </w:pPr>
                </w:p>
              </w:tc>
              <w:tc>
                <w:tcPr>
                  <w:tcW w:w="936" w:type="pct"/>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21.5</w:t>
                  </w:r>
                </w:p>
              </w:tc>
              <w:tc>
                <w:tcPr>
                  <w:tcW w:w="716" w:type="pct"/>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0.00</w:t>
                  </w:r>
                  <w:r>
                    <w:rPr>
                      <w:rFonts w:hint="default" w:ascii="Times New Roman" w:hAnsi="Times New Roman" w:cs="Times New Roman"/>
                      <w:sz w:val="21"/>
                      <w:szCs w:val="21"/>
                      <w:lang w:val="en-US" w:eastAsia="zh-CN"/>
                    </w:rPr>
                    <w:t>8</w:t>
                  </w:r>
                </w:p>
              </w:tc>
              <w:tc>
                <w:tcPr>
                  <w:tcW w:w="975" w:type="pct"/>
                  <w:vAlign w:val="center"/>
                </w:tcPr>
                <w:p>
                  <w:pPr>
                    <w:widowControl/>
                    <w:spacing w:line="300" w:lineRule="exact"/>
                    <w:contextualSpacing/>
                    <w:jc w:val="center"/>
                    <w:textAlignment w:val="center"/>
                    <w:rPr>
                      <w:rFonts w:hint="default" w:ascii="Times New Roman" w:hAnsi="Times New Roman" w:cs="Times New Roman"/>
                      <w:sz w:val="21"/>
                      <w:szCs w:val="21"/>
                    </w:rPr>
                  </w:pPr>
                  <w:r>
                    <w:rPr>
                      <w:rFonts w:hint="default" w:ascii="Times New Roman" w:hAnsi="Times New Roman" w:cs="Times New Roman"/>
                      <w:color w:val="auto"/>
                      <w:kern w:val="0"/>
                      <w:sz w:val="21"/>
                      <w:szCs w:val="21"/>
                    </w:rPr>
                    <w:t>0.</w:t>
                  </w:r>
                  <w:r>
                    <w:rPr>
                      <w:rFonts w:hint="default" w:ascii="Times New Roman" w:hAnsi="Times New Roman" w:cs="Times New Roman"/>
                      <w:color w:val="auto"/>
                      <w:kern w:val="0"/>
                      <w:sz w:val="21"/>
                      <w:szCs w:val="21"/>
                      <w:lang w:val="en-US" w:eastAsia="zh-CN"/>
                    </w:rPr>
                    <w:t>108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673" w:type="pct"/>
                  <w:vMerge w:val="continue"/>
                  <w:vAlign w:val="center"/>
                </w:tcPr>
                <w:p>
                  <w:pPr>
                    <w:jc w:val="center"/>
                    <w:rPr>
                      <w:rFonts w:hint="default" w:ascii="Times New Roman" w:hAnsi="Times New Roman" w:cs="Times New Roman"/>
                      <w:sz w:val="21"/>
                      <w:szCs w:val="21"/>
                    </w:rPr>
                  </w:pPr>
                </w:p>
              </w:tc>
              <w:tc>
                <w:tcPr>
                  <w:tcW w:w="690" w:type="pct"/>
                  <w:vAlign w:val="center"/>
                </w:tcPr>
                <w:p>
                  <w:pPr>
                    <w:pStyle w:val="39"/>
                    <w:spacing w:before="24" w:after="24"/>
                    <w:jc w:val="center"/>
                    <w:rPr>
                      <w:rFonts w:hint="default" w:ascii="Times New Roman" w:hAnsi="Times New Roman" w:cs="Times New Roman"/>
                      <w:sz w:val="21"/>
                      <w:szCs w:val="21"/>
                    </w:rPr>
                  </w:pPr>
                  <w:r>
                    <w:rPr>
                      <w:rFonts w:hint="default" w:ascii="Times New Roman" w:hAnsi="Times New Roman" w:cs="Times New Roman"/>
                      <w:color w:val="auto"/>
                      <w:sz w:val="21"/>
                      <w:szCs w:val="21"/>
                    </w:rPr>
                    <w:t>氨氮</w:t>
                  </w:r>
                </w:p>
              </w:tc>
              <w:tc>
                <w:tcPr>
                  <w:tcW w:w="1007" w:type="pct"/>
                  <w:vMerge w:val="continue"/>
                  <w:vAlign w:val="center"/>
                </w:tcPr>
                <w:p>
                  <w:pPr>
                    <w:jc w:val="center"/>
                    <w:rPr>
                      <w:rFonts w:hint="default" w:ascii="Times New Roman" w:hAnsi="Times New Roman" w:cs="Times New Roman"/>
                      <w:sz w:val="21"/>
                      <w:szCs w:val="21"/>
                    </w:rPr>
                  </w:pPr>
                </w:p>
              </w:tc>
              <w:tc>
                <w:tcPr>
                  <w:tcW w:w="936" w:type="pct"/>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8.08</w:t>
                  </w:r>
                </w:p>
              </w:tc>
              <w:tc>
                <w:tcPr>
                  <w:tcW w:w="716" w:type="pct"/>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0.00</w:t>
                  </w:r>
                  <w:r>
                    <w:rPr>
                      <w:rFonts w:hint="default" w:ascii="Times New Roman" w:hAnsi="Times New Roman" w:cs="Times New Roman"/>
                      <w:sz w:val="21"/>
                      <w:szCs w:val="21"/>
                      <w:lang w:val="en-US" w:eastAsia="zh-CN"/>
                    </w:rPr>
                    <w:t>3</w:t>
                  </w:r>
                </w:p>
              </w:tc>
              <w:tc>
                <w:tcPr>
                  <w:tcW w:w="975" w:type="pct"/>
                  <w:vAlign w:val="center"/>
                </w:tcPr>
                <w:p>
                  <w:pPr>
                    <w:widowControl/>
                    <w:spacing w:line="300" w:lineRule="exact"/>
                    <w:contextualSpacing/>
                    <w:jc w:val="center"/>
                    <w:textAlignment w:val="center"/>
                    <w:rPr>
                      <w:rFonts w:hint="default" w:ascii="Times New Roman" w:hAnsi="Times New Roman" w:cs="Times New Roman"/>
                      <w:sz w:val="21"/>
                      <w:szCs w:val="21"/>
                    </w:rPr>
                  </w:pPr>
                  <w:r>
                    <w:rPr>
                      <w:rFonts w:hint="default" w:ascii="Times New Roman" w:hAnsi="Times New Roman" w:cs="Times New Roman"/>
                      <w:color w:val="auto"/>
                      <w:kern w:val="0"/>
                      <w:sz w:val="21"/>
                      <w:szCs w:val="21"/>
                    </w:rPr>
                    <w:t>0.0</w:t>
                  </w:r>
                  <w:r>
                    <w:rPr>
                      <w:rFonts w:hint="default" w:ascii="Times New Roman" w:hAnsi="Times New Roman" w:cs="Times New Roman"/>
                      <w:color w:val="auto"/>
                      <w:kern w:val="0"/>
                      <w:sz w:val="21"/>
                      <w:szCs w:val="21"/>
                      <w:lang w:val="en-US" w:eastAsia="zh-CN"/>
                    </w:rPr>
                    <w:t>108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673" w:type="pct"/>
                  <w:vMerge w:val="continue"/>
                  <w:vAlign w:val="center"/>
                </w:tcPr>
                <w:p>
                  <w:pPr>
                    <w:jc w:val="center"/>
                    <w:rPr>
                      <w:rFonts w:hint="default" w:ascii="Times New Roman" w:hAnsi="Times New Roman" w:cs="Times New Roman"/>
                      <w:sz w:val="21"/>
                      <w:szCs w:val="21"/>
                    </w:rPr>
                  </w:pPr>
                </w:p>
              </w:tc>
              <w:tc>
                <w:tcPr>
                  <w:tcW w:w="690" w:type="pct"/>
                  <w:vAlign w:val="center"/>
                </w:tcPr>
                <w:p>
                  <w:pPr>
                    <w:pStyle w:val="39"/>
                    <w:spacing w:before="24" w:after="24"/>
                    <w:jc w:val="center"/>
                    <w:rPr>
                      <w:rFonts w:hint="default" w:ascii="Times New Roman" w:hAnsi="Times New Roman" w:cs="Times New Roman"/>
                      <w:sz w:val="21"/>
                      <w:szCs w:val="21"/>
                    </w:rPr>
                  </w:pPr>
                  <w:r>
                    <w:rPr>
                      <w:rFonts w:hint="default" w:ascii="Times New Roman" w:hAnsi="Times New Roman" w:cs="Times New Roman"/>
                      <w:color w:val="auto"/>
                      <w:sz w:val="21"/>
                      <w:szCs w:val="21"/>
                    </w:rPr>
                    <w:t>TP</w:t>
                  </w:r>
                </w:p>
              </w:tc>
              <w:tc>
                <w:tcPr>
                  <w:tcW w:w="1007" w:type="pct"/>
                  <w:vMerge w:val="continue"/>
                  <w:vAlign w:val="center"/>
                </w:tcPr>
                <w:p>
                  <w:pPr>
                    <w:jc w:val="center"/>
                    <w:rPr>
                      <w:rFonts w:hint="default" w:ascii="Times New Roman" w:hAnsi="Times New Roman" w:cs="Times New Roman"/>
                      <w:sz w:val="21"/>
                      <w:szCs w:val="21"/>
                    </w:rPr>
                  </w:pPr>
                </w:p>
              </w:tc>
              <w:tc>
                <w:tcPr>
                  <w:tcW w:w="936" w:type="pct"/>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3.89</w:t>
                  </w:r>
                </w:p>
              </w:tc>
              <w:tc>
                <w:tcPr>
                  <w:tcW w:w="716" w:type="pct"/>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0.00</w:t>
                  </w:r>
                  <w:r>
                    <w:rPr>
                      <w:rFonts w:hint="default" w:ascii="Times New Roman" w:hAnsi="Times New Roman" w:cs="Times New Roman"/>
                      <w:sz w:val="21"/>
                      <w:szCs w:val="21"/>
                      <w:lang w:val="en-US" w:eastAsia="zh-CN"/>
                    </w:rPr>
                    <w:t>1</w:t>
                  </w:r>
                </w:p>
              </w:tc>
              <w:tc>
                <w:tcPr>
                  <w:tcW w:w="975" w:type="pct"/>
                  <w:vAlign w:val="center"/>
                </w:tcPr>
                <w:p>
                  <w:pPr>
                    <w:widowControl/>
                    <w:spacing w:line="300" w:lineRule="exact"/>
                    <w:contextualSpacing/>
                    <w:jc w:val="center"/>
                    <w:textAlignment w:val="center"/>
                    <w:rPr>
                      <w:rFonts w:hint="default" w:ascii="Times New Roman" w:hAnsi="Times New Roman" w:cs="Times New Roman"/>
                      <w:sz w:val="21"/>
                      <w:szCs w:val="21"/>
                    </w:rPr>
                  </w:pPr>
                  <w:r>
                    <w:rPr>
                      <w:rFonts w:hint="default" w:ascii="Times New Roman" w:hAnsi="Times New Roman" w:cs="Times New Roman"/>
                      <w:color w:val="auto"/>
                      <w:kern w:val="0"/>
                      <w:sz w:val="21"/>
                      <w:szCs w:val="21"/>
                    </w:rPr>
                    <w:t>0.00</w:t>
                  </w:r>
                  <w:r>
                    <w:rPr>
                      <w:rFonts w:hint="default" w:ascii="Times New Roman" w:hAnsi="Times New Roman" w:cs="Times New Roman"/>
                      <w:color w:val="auto"/>
                      <w:kern w:val="0"/>
                      <w:sz w:val="21"/>
                      <w:szCs w:val="21"/>
                      <w:lang w:val="en-US" w:eastAsia="zh-CN"/>
                    </w:rPr>
                    <w:t>18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673" w:type="pct"/>
                  <w:vMerge w:val="continue"/>
                  <w:vAlign w:val="center"/>
                </w:tcPr>
                <w:p>
                  <w:pPr>
                    <w:jc w:val="center"/>
                    <w:rPr>
                      <w:rFonts w:hint="default" w:ascii="Times New Roman" w:hAnsi="Times New Roman" w:cs="Times New Roman"/>
                      <w:sz w:val="21"/>
                      <w:szCs w:val="21"/>
                    </w:rPr>
                  </w:pPr>
                </w:p>
              </w:tc>
              <w:tc>
                <w:tcPr>
                  <w:tcW w:w="690" w:type="pct"/>
                  <w:vAlign w:val="center"/>
                </w:tcPr>
                <w:p>
                  <w:pPr>
                    <w:pStyle w:val="39"/>
                    <w:spacing w:before="24" w:after="24"/>
                    <w:jc w:val="center"/>
                    <w:rPr>
                      <w:rFonts w:hint="default" w:ascii="Times New Roman" w:hAnsi="Times New Roman" w:cs="Times New Roman"/>
                      <w:sz w:val="21"/>
                      <w:szCs w:val="21"/>
                    </w:rPr>
                  </w:pPr>
                  <w:r>
                    <w:rPr>
                      <w:rFonts w:hint="default" w:ascii="Times New Roman" w:hAnsi="Times New Roman" w:cs="Times New Roman"/>
                      <w:color w:val="auto"/>
                      <w:sz w:val="21"/>
                      <w:szCs w:val="21"/>
                    </w:rPr>
                    <w:t>TN</w:t>
                  </w:r>
                </w:p>
              </w:tc>
              <w:tc>
                <w:tcPr>
                  <w:tcW w:w="1007" w:type="pct"/>
                  <w:vMerge w:val="continue"/>
                  <w:vAlign w:val="center"/>
                </w:tcPr>
                <w:p>
                  <w:pPr>
                    <w:jc w:val="center"/>
                    <w:rPr>
                      <w:rFonts w:hint="default" w:ascii="Times New Roman" w:hAnsi="Times New Roman" w:cs="Times New Roman"/>
                      <w:sz w:val="21"/>
                      <w:szCs w:val="21"/>
                    </w:rPr>
                  </w:pPr>
                </w:p>
              </w:tc>
              <w:tc>
                <w:tcPr>
                  <w:tcW w:w="936" w:type="pct"/>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34.2</w:t>
                  </w:r>
                </w:p>
              </w:tc>
              <w:tc>
                <w:tcPr>
                  <w:tcW w:w="716" w:type="pct"/>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0.0</w:t>
                  </w:r>
                  <w:r>
                    <w:rPr>
                      <w:rFonts w:hint="default" w:ascii="Times New Roman" w:hAnsi="Times New Roman" w:cs="Times New Roman"/>
                      <w:sz w:val="21"/>
                      <w:szCs w:val="21"/>
                      <w:lang w:val="en-US" w:eastAsia="zh-CN"/>
                    </w:rPr>
                    <w:t>12</w:t>
                  </w:r>
                </w:p>
              </w:tc>
              <w:tc>
                <w:tcPr>
                  <w:tcW w:w="975" w:type="pct"/>
                  <w:vAlign w:val="center"/>
                </w:tcPr>
                <w:p>
                  <w:pPr>
                    <w:widowControl/>
                    <w:spacing w:line="300" w:lineRule="exact"/>
                    <w:contextualSpacing/>
                    <w:jc w:val="center"/>
                    <w:textAlignment w:val="center"/>
                    <w:rPr>
                      <w:rFonts w:hint="default" w:ascii="Times New Roman" w:hAnsi="Times New Roman" w:cs="Times New Roman"/>
                      <w:sz w:val="21"/>
                      <w:szCs w:val="21"/>
                    </w:rPr>
                  </w:pPr>
                  <w:r>
                    <w:rPr>
                      <w:rFonts w:hint="default" w:ascii="Times New Roman" w:hAnsi="Times New Roman" w:cs="Times New Roman"/>
                      <w:color w:val="auto"/>
                      <w:kern w:val="0"/>
                      <w:sz w:val="21"/>
                      <w:szCs w:val="21"/>
                    </w:rPr>
                    <w:t>0.0</w:t>
                  </w:r>
                  <w:r>
                    <w:rPr>
                      <w:rFonts w:hint="default" w:ascii="Times New Roman" w:hAnsi="Times New Roman" w:cs="Times New Roman"/>
                      <w:color w:val="auto"/>
                      <w:kern w:val="0"/>
                      <w:sz w:val="21"/>
                      <w:szCs w:val="21"/>
                      <w:lang w:val="en-US" w:eastAsia="zh-CN"/>
                    </w:rPr>
                    <w:t>144</w:t>
                  </w:r>
                </w:p>
              </w:tc>
            </w:tr>
          </w:tbl>
          <w:p>
            <w:pPr>
              <w:spacing w:line="360" w:lineRule="auto"/>
              <w:ind w:firstLine="482" w:firstLineChars="200"/>
              <w:jc w:val="both"/>
              <w:rPr>
                <w:rFonts w:hint="default" w:ascii="Times New Roman" w:hAnsi="Times New Roman" w:cs="Times New Roman"/>
              </w:rPr>
            </w:pPr>
            <w:r>
              <w:rPr>
                <w:rFonts w:hint="default" w:ascii="Times New Roman" w:hAnsi="Times New Roman" w:cs="Times New Roman"/>
                <w:b/>
                <w:bCs/>
                <w:sz w:val="24"/>
              </w:rPr>
              <w:t>5、现有项目存在的问题和“以新带老”措施</w:t>
            </w:r>
          </w:p>
          <w:p>
            <w:pPr>
              <w:spacing w:line="360" w:lineRule="auto"/>
              <w:ind w:firstLine="480" w:firstLineChars="200"/>
              <w:jc w:val="both"/>
              <w:rPr>
                <w:rFonts w:hint="eastAsia" w:ascii="Times New Roman" w:hAnsi="Times New Roman" w:cs="Times New Roman" w:eastAsiaTheme="minorEastAsia"/>
                <w:color w:val="000000" w:themeColor="text1"/>
                <w:sz w:val="24"/>
                <w:lang w:eastAsia="zh-CN"/>
                <w14:textFill>
                  <w14:solidFill>
                    <w14:schemeClr w14:val="tx1"/>
                  </w14:solidFill>
                </w14:textFill>
              </w:rPr>
            </w:pPr>
            <w:r>
              <w:rPr>
                <w:rFonts w:hint="eastAsia" w:ascii="Times New Roman" w:hAnsi="Times New Roman" w:eastAsia="宋体" w:cs="Times New Roman"/>
                <w:sz w:val="24"/>
                <w:szCs w:val="24"/>
                <w:lang w:val="en-US" w:eastAsia="zh-CN"/>
              </w:rPr>
              <w:t>现有项目已通过“三同时”竣工</w:t>
            </w:r>
            <w:r>
              <w:rPr>
                <w:rFonts w:hint="eastAsia" w:ascii="Times New Roman" w:hAnsi="Times New Roman" w:cs="Times New Roman"/>
                <w:sz w:val="24"/>
                <w:szCs w:val="24"/>
                <w:lang w:val="en-US" w:eastAsia="zh-CN"/>
              </w:rPr>
              <w:t>环境保护自主</w:t>
            </w:r>
            <w:r>
              <w:rPr>
                <w:rFonts w:hint="eastAsia" w:ascii="Times New Roman" w:hAnsi="Times New Roman" w:eastAsia="宋体" w:cs="Times New Roman"/>
                <w:sz w:val="24"/>
                <w:szCs w:val="24"/>
                <w:lang w:val="en-US" w:eastAsia="zh-CN"/>
              </w:rPr>
              <w:t>验收，运营期间未收到过环保投诉，无现有环保问题。</w:t>
            </w:r>
            <w:r>
              <w:rPr>
                <w:rFonts w:hint="eastAsia" w:ascii="宋体" w:hAnsi="宋体" w:eastAsia="宋体" w:cs="宋体"/>
                <w:color w:val="000000"/>
                <w:kern w:val="0"/>
                <w:sz w:val="24"/>
                <w:szCs w:val="24"/>
                <w:lang w:val="en-US" w:eastAsia="zh-CN" w:bidi="ar"/>
              </w:rPr>
              <w:t xml:space="preserve"> </w:t>
            </w:r>
          </w:p>
        </w:tc>
      </w:tr>
    </w:tbl>
    <w:p>
      <w:pPr>
        <w:rPr>
          <w:rFonts w:hint="default" w:ascii="Times New Roman" w:hAnsi="Times New Roman" w:cs="Times New Roman"/>
          <w:lang w:eastAsia="zh-CN"/>
        </w:rPr>
        <w:sectPr>
          <w:footerReference r:id="rId5" w:type="default"/>
          <w:pgSz w:w="11910" w:h="16840"/>
          <w:pgMar w:top="1440" w:right="1417" w:bottom="1440" w:left="1417" w:header="0" w:footer="813" w:gutter="0"/>
          <w:pgBorders>
            <w:top w:val="none" w:sz="0" w:space="0"/>
            <w:left w:val="none" w:sz="0" w:space="0"/>
            <w:bottom w:val="none" w:sz="0" w:space="0"/>
            <w:right w:val="none" w:sz="0" w:space="0"/>
          </w:pgBorders>
          <w:pgNumType w:fmt="decimal"/>
          <w:cols w:space="720" w:num="1"/>
        </w:sectPr>
      </w:pPr>
    </w:p>
    <w:p>
      <w:pPr>
        <w:pStyle w:val="3"/>
        <w:spacing w:before="0" w:line="360" w:lineRule="auto"/>
        <w:jc w:val="center"/>
        <w:rPr>
          <w:rFonts w:hint="default" w:ascii="Times New Roman" w:hAnsi="Times New Roman" w:eastAsia="宋体" w:cs="Times New Roman"/>
          <w:b/>
          <w:bCs/>
          <w:lang w:eastAsia="zh-CN"/>
        </w:rPr>
      </w:pPr>
      <w:bookmarkStart w:id="2" w:name="_Toc8992"/>
      <w:r>
        <w:rPr>
          <w:rFonts w:hint="default" w:ascii="Times New Roman" w:hAnsi="Times New Roman" w:eastAsia="宋体" w:cs="Times New Roman"/>
          <w:b/>
          <w:bCs/>
          <w:lang w:eastAsia="zh-CN"/>
        </w:rPr>
        <w:t>三、区域环境质量现状、环境保护目标及评价标准</w:t>
      </w:r>
      <w:bookmarkEnd w:id="2"/>
    </w:p>
    <w:tbl>
      <w:tblPr>
        <w:tblStyle w:val="24"/>
        <w:tblW w:w="494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2"/>
        <w:gridCol w:w="8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5" w:hRule="atLeast"/>
          <w:jc w:val="center"/>
        </w:trPr>
        <w:tc>
          <w:tcPr>
            <w:tcW w:w="305" w:type="pct"/>
            <w:vAlign w:val="center"/>
          </w:tcPr>
          <w:p>
            <w:pPr>
              <w:jc w:val="center"/>
              <w:rPr>
                <w:rFonts w:hint="default" w:ascii="Times New Roman" w:hAnsi="Times New Roman" w:eastAsia="宋体" w:cs="Times New Roman"/>
                <w:spacing w:val="-1"/>
                <w:sz w:val="24"/>
                <w:szCs w:val="24"/>
                <w:lang w:eastAsia="zh-CN"/>
              </w:rPr>
            </w:pPr>
            <w:r>
              <w:rPr>
                <w:rFonts w:hint="default" w:ascii="Times New Roman" w:hAnsi="Times New Roman" w:eastAsia="宋体" w:cs="Times New Roman"/>
                <w:spacing w:val="-1"/>
                <w:sz w:val="24"/>
                <w:szCs w:val="24"/>
                <w:lang w:eastAsia="zh-CN"/>
              </w:rPr>
              <w:t>区域环境质量现状</w:t>
            </w:r>
          </w:p>
        </w:tc>
        <w:tc>
          <w:tcPr>
            <w:tcW w:w="4694" w:type="pct"/>
          </w:tcPr>
          <w:p>
            <w:pPr>
              <w:spacing w:line="460" w:lineRule="exact"/>
              <w:ind w:firstLine="482"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eastAsia="zh-CN"/>
              </w:rPr>
              <w:t>1、大气环境</w:t>
            </w:r>
          </w:p>
          <w:p>
            <w:pPr>
              <w:spacing w:line="46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本项目所在区域为环境空气质量功能二类区，评价区域大气环境中SO</w:t>
            </w:r>
            <w:r>
              <w:rPr>
                <w:rFonts w:hint="default" w:ascii="Times New Roman" w:hAnsi="Times New Roman" w:cs="Times New Roman"/>
                <w:color w:val="000000" w:themeColor="text1"/>
                <w:sz w:val="24"/>
                <w:vertAlign w:val="sub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、NO</w:t>
            </w:r>
            <w:r>
              <w:rPr>
                <w:rFonts w:hint="default" w:ascii="Times New Roman" w:hAnsi="Times New Roman" w:cs="Times New Roman"/>
                <w:color w:val="000000" w:themeColor="text1"/>
                <w:sz w:val="24"/>
                <w:vertAlign w:val="subscript"/>
                <w14:textFill>
                  <w14:solidFill>
                    <w14:schemeClr w14:val="tx1"/>
                  </w14:solidFill>
                </w14:textFill>
              </w:rPr>
              <w:t>2</w:t>
            </w:r>
            <w:r>
              <w:rPr>
                <w:rFonts w:hint="default" w:ascii="Times New Roman" w:hAnsi="Times New Roman" w:cs="Times New Roman"/>
                <w:color w:val="000000" w:themeColor="text1"/>
                <w:sz w:val="24"/>
                <w14:textFill>
                  <w14:solidFill>
                    <w14:schemeClr w14:val="tx1"/>
                  </w14:solidFill>
                </w14:textFill>
              </w:rPr>
              <w:t>、PM</w:t>
            </w:r>
            <w:r>
              <w:rPr>
                <w:rFonts w:hint="default" w:ascii="Times New Roman" w:hAnsi="Times New Roman" w:cs="Times New Roman"/>
                <w:color w:val="000000" w:themeColor="text1"/>
                <w:sz w:val="24"/>
                <w:vertAlign w:val="subscript"/>
                <w14:textFill>
                  <w14:solidFill>
                    <w14:schemeClr w14:val="tx1"/>
                  </w14:solidFill>
                </w14:textFill>
              </w:rPr>
              <w:t>10</w:t>
            </w:r>
            <w:r>
              <w:rPr>
                <w:rFonts w:hint="default" w:ascii="Times New Roman" w:hAnsi="Times New Roman" w:cs="Times New Roman"/>
                <w:color w:val="000000" w:themeColor="text1"/>
                <w:sz w:val="24"/>
                <w14:textFill>
                  <w14:solidFill>
                    <w14:schemeClr w14:val="tx1"/>
                  </w14:solidFill>
                </w14:textFill>
              </w:rPr>
              <w:t>、PM</w:t>
            </w:r>
            <w:r>
              <w:rPr>
                <w:rFonts w:hint="default" w:ascii="Times New Roman" w:hAnsi="Times New Roman" w:cs="Times New Roman"/>
                <w:color w:val="000000" w:themeColor="text1"/>
                <w:sz w:val="24"/>
                <w:vertAlign w:val="subscript"/>
                <w14:textFill>
                  <w14:solidFill>
                    <w14:schemeClr w14:val="tx1"/>
                  </w14:solidFill>
                </w14:textFill>
              </w:rPr>
              <w:t>2.5</w:t>
            </w:r>
            <w:r>
              <w:rPr>
                <w:rFonts w:hint="default" w:ascii="Times New Roman" w:hAnsi="Times New Roman" w:cs="Times New Roman"/>
                <w:color w:val="000000" w:themeColor="text1"/>
                <w:sz w:val="24"/>
                <w14:textFill>
                  <w14:solidFill>
                    <w14:schemeClr w14:val="tx1"/>
                  </w14:solidFill>
                </w14:textFill>
              </w:rPr>
              <w:t>、CO、O</w:t>
            </w:r>
            <w:r>
              <w:rPr>
                <w:rFonts w:hint="default" w:ascii="Times New Roman" w:hAnsi="Times New Roman" w:cs="Times New Roman"/>
                <w:color w:val="000000" w:themeColor="text1"/>
                <w:sz w:val="24"/>
                <w:vertAlign w:val="sub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、TSP执行《环境空气质量标准》（GB3095-2012）及其修改单中二级标准。具体见表3-1。</w:t>
            </w:r>
          </w:p>
          <w:p>
            <w:pPr>
              <w:jc w:val="center"/>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表3-1  环境空气质量标准限值表</w:t>
            </w:r>
          </w:p>
          <w:tbl>
            <w:tblPr>
              <w:tblStyle w:val="23"/>
              <w:tblW w:w="8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1465"/>
              <w:gridCol w:w="1293"/>
              <w:gridCol w:w="1808"/>
              <w:gridCol w:w="996"/>
              <w:gridCol w:w="25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50" w:type="dxa"/>
                  <w:vMerge w:val="restart"/>
                  <w:vAlign w:val="center"/>
                </w:tcPr>
                <w:p>
                  <w:pPr>
                    <w:adjustRightInd w:val="0"/>
                    <w:snapToGrid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序号</w:t>
                  </w:r>
                </w:p>
              </w:tc>
              <w:tc>
                <w:tcPr>
                  <w:tcW w:w="1465" w:type="dxa"/>
                  <w:vMerge w:val="restart"/>
                  <w:vAlign w:val="center"/>
                </w:tcPr>
                <w:p>
                  <w:pPr>
                    <w:adjustRightInd w:val="0"/>
                    <w:snapToGrid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污染物</w:t>
                  </w:r>
                </w:p>
              </w:tc>
              <w:tc>
                <w:tcPr>
                  <w:tcW w:w="4097" w:type="dxa"/>
                  <w:gridSpan w:val="3"/>
                  <w:vAlign w:val="center"/>
                </w:tcPr>
                <w:p>
                  <w:pPr>
                    <w:adjustRightInd w:val="0"/>
                    <w:snapToGrid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浓度限值（mg/m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r>
                    <w:rPr>
                      <w:rFonts w:hint="default" w:ascii="Times New Roman" w:hAnsi="Times New Roman" w:cs="Times New Roman"/>
                      <w:b/>
                      <w:bCs/>
                      <w:color w:val="000000" w:themeColor="text1"/>
                      <w:sz w:val="21"/>
                      <w:szCs w:val="21"/>
                      <w14:textFill>
                        <w14:solidFill>
                          <w14:schemeClr w14:val="tx1"/>
                        </w14:solidFill>
                      </w14:textFill>
                    </w:rPr>
                    <w:t>）</w:t>
                  </w:r>
                </w:p>
              </w:tc>
              <w:tc>
                <w:tcPr>
                  <w:tcW w:w="2527" w:type="dxa"/>
                  <w:vMerge w:val="restart"/>
                  <w:vAlign w:val="center"/>
                </w:tcPr>
                <w:p>
                  <w:pPr>
                    <w:adjustRightInd w:val="0"/>
                    <w:snapToGrid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50" w:type="dxa"/>
                  <w:vMerge w:val="continue"/>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465" w:type="dxa"/>
                  <w:vMerge w:val="continue"/>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293" w:type="dxa"/>
                  <w:vAlign w:val="center"/>
                </w:tcPr>
                <w:p>
                  <w:pPr>
                    <w:adjustRightInd w:val="0"/>
                    <w:snapToGrid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1小时平均</w:t>
                  </w:r>
                </w:p>
              </w:tc>
              <w:tc>
                <w:tcPr>
                  <w:tcW w:w="1808" w:type="dxa"/>
                  <w:vAlign w:val="center"/>
                </w:tcPr>
                <w:p>
                  <w:pPr>
                    <w:adjustRightInd w:val="0"/>
                    <w:snapToGrid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日均值</w:t>
                  </w:r>
                </w:p>
              </w:tc>
              <w:tc>
                <w:tcPr>
                  <w:tcW w:w="996" w:type="dxa"/>
                  <w:vAlign w:val="center"/>
                </w:tcPr>
                <w:p>
                  <w:pPr>
                    <w:adjustRightInd w:val="0"/>
                    <w:snapToGrid w:val="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年均值</w:t>
                  </w:r>
                </w:p>
              </w:tc>
              <w:tc>
                <w:tcPr>
                  <w:tcW w:w="2527" w:type="dxa"/>
                  <w:vMerge w:val="continue"/>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650"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465"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SO</w:t>
                  </w:r>
                  <w:r>
                    <w:rPr>
                      <w:rFonts w:hint="default" w:ascii="Times New Roman" w:hAnsi="Times New Roman" w:cs="Times New Roman"/>
                      <w:color w:val="000000" w:themeColor="text1"/>
                      <w:sz w:val="21"/>
                      <w:szCs w:val="21"/>
                      <w:vertAlign w:val="subscript"/>
                      <w14:textFill>
                        <w14:solidFill>
                          <w14:schemeClr w14:val="tx1"/>
                        </w14:solidFill>
                      </w14:textFill>
                    </w:rPr>
                    <w:t>2</w:t>
                  </w:r>
                </w:p>
              </w:tc>
              <w:tc>
                <w:tcPr>
                  <w:tcW w:w="1293"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0.5</w:t>
                  </w:r>
                </w:p>
              </w:tc>
              <w:tc>
                <w:tcPr>
                  <w:tcW w:w="1808"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0.15</w:t>
                  </w:r>
                </w:p>
              </w:tc>
              <w:tc>
                <w:tcPr>
                  <w:tcW w:w="996"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0.06</w:t>
                  </w:r>
                </w:p>
              </w:tc>
              <w:tc>
                <w:tcPr>
                  <w:tcW w:w="2527" w:type="dxa"/>
                  <w:vMerge w:val="restart"/>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《环境空气质量标准》（GB3095-2012）及其修改单中二级标准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650"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1465"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NO</w:t>
                  </w:r>
                  <w:r>
                    <w:rPr>
                      <w:rFonts w:hint="default" w:ascii="Times New Roman" w:hAnsi="Times New Roman" w:cs="Times New Roman"/>
                      <w:color w:val="000000" w:themeColor="text1"/>
                      <w:sz w:val="21"/>
                      <w:szCs w:val="21"/>
                      <w:vertAlign w:val="subscript"/>
                      <w14:textFill>
                        <w14:solidFill>
                          <w14:schemeClr w14:val="tx1"/>
                        </w14:solidFill>
                      </w14:textFill>
                    </w:rPr>
                    <w:t>2</w:t>
                  </w:r>
                </w:p>
              </w:tc>
              <w:tc>
                <w:tcPr>
                  <w:tcW w:w="1293"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0.2</w:t>
                  </w:r>
                </w:p>
              </w:tc>
              <w:tc>
                <w:tcPr>
                  <w:tcW w:w="1808"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0.08</w:t>
                  </w:r>
                </w:p>
              </w:tc>
              <w:tc>
                <w:tcPr>
                  <w:tcW w:w="996"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0.04</w:t>
                  </w:r>
                </w:p>
              </w:tc>
              <w:tc>
                <w:tcPr>
                  <w:tcW w:w="2527" w:type="dxa"/>
                  <w:vMerge w:val="continue"/>
                  <w:vAlign w:val="center"/>
                </w:tcPr>
                <w:p>
                  <w:pPr>
                    <w:widowControl/>
                    <w:jc w:val="left"/>
                    <w:rPr>
                      <w:rFonts w:hint="default" w:ascii="Times New Roman" w:hAnsi="Times New Roman"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650"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1465"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w:t>
                  </w:r>
                </w:p>
              </w:tc>
              <w:tc>
                <w:tcPr>
                  <w:tcW w:w="1293"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10.0</w:t>
                  </w:r>
                </w:p>
              </w:tc>
              <w:tc>
                <w:tcPr>
                  <w:tcW w:w="1808"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996"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527" w:type="dxa"/>
                  <w:vMerge w:val="continue"/>
                  <w:vAlign w:val="center"/>
                </w:tcPr>
                <w:p>
                  <w:pPr>
                    <w:widowControl/>
                    <w:jc w:val="left"/>
                    <w:rPr>
                      <w:rFonts w:hint="default" w:ascii="Times New Roman" w:hAnsi="Times New Roman"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50"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w:t>
                  </w:r>
                </w:p>
              </w:tc>
              <w:tc>
                <w:tcPr>
                  <w:tcW w:w="1465"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O</w:t>
                  </w:r>
                  <w:r>
                    <w:rPr>
                      <w:rFonts w:hint="default" w:ascii="Times New Roman" w:hAnsi="Times New Roman" w:cs="Times New Roman"/>
                      <w:color w:val="000000" w:themeColor="text1"/>
                      <w:sz w:val="21"/>
                      <w:szCs w:val="21"/>
                      <w:vertAlign w:val="subscript"/>
                      <w14:textFill>
                        <w14:solidFill>
                          <w14:schemeClr w14:val="tx1"/>
                        </w14:solidFill>
                      </w14:textFill>
                    </w:rPr>
                    <w:t>3</w:t>
                  </w:r>
                </w:p>
              </w:tc>
              <w:tc>
                <w:tcPr>
                  <w:tcW w:w="1293"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0.2</w:t>
                  </w:r>
                </w:p>
              </w:tc>
              <w:tc>
                <w:tcPr>
                  <w:tcW w:w="1808"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0.16（8小时）</w:t>
                  </w:r>
                </w:p>
              </w:tc>
              <w:tc>
                <w:tcPr>
                  <w:tcW w:w="996"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527" w:type="dxa"/>
                  <w:vMerge w:val="continue"/>
                  <w:vAlign w:val="center"/>
                </w:tcPr>
                <w:p>
                  <w:pPr>
                    <w:widowControl/>
                    <w:jc w:val="left"/>
                    <w:rPr>
                      <w:rFonts w:hint="default" w:ascii="Times New Roman" w:hAnsi="Times New Roman"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650"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w:t>
                  </w:r>
                </w:p>
              </w:tc>
              <w:tc>
                <w:tcPr>
                  <w:tcW w:w="1465"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10</w:t>
                  </w:r>
                </w:p>
              </w:tc>
              <w:tc>
                <w:tcPr>
                  <w:tcW w:w="1293"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808"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0.15</w:t>
                  </w:r>
                </w:p>
              </w:tc>
              <w:tc>
                <w:tcPr>
                  <w:tcW w:w="996"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0.07</w:t>
                  </w:r>
                </w:p>
              </w:tc>
              <w:tc>
                <w:tcPr>
                  <w:tcW w:w="2527" w:type="dxa"/>
                  <w:vMerge w:val="continue"/>
                  <w:vAlign w:val="center"/>
                </w:tcPr>
                <w:p>
                  <w:pPr>
                    <w:widowControl/>
                    <w:jc w:val="left"/>
                    <w:rPr>
                      <w:rFonts w:hint="default" w:ascii="Times New Roman" w:hAnsi="Times New Roman"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650"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w:t>
                  </w:r>
                </w:p>
              </w:tc>
              <w:tc>
                <w:tcPr>
                  <w:tcW w:w="1465"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PM</w:t>
                  </w:r>
                  <w:r>
                    <w:rPr>
                      <w:rFonts w:hint="default" w:ascii="Times New Roman" w:hAnsi="Times New Roman" w:cs="Times New Roman"/>
                      <w:color w:val="000000" w:themeColor="text1"/>
                      <w:sz w:val="21"/>
                      <w:szCs w:val="21"/>
                      <w:vertAlign w:val="subscript"/>
                      <w14:textFill>
                        <w14:solidFill>
                          <w14:schemeClr w14:val="tx1"/>
                        </w14:solidFill>
                      </w14:textFill>
                    </w:rPr>
                    <w:t>2.5</w:t>
                  </w:r>
                </w:p>
              </w:tc>
              <w:tc>
                <w:tcPr>
                  <w:tcW w:w="1293"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1808"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0.075</w:t>
                  </w:r>
                </w:p>
              </w:tc>
              <w:tc>
                <w:tcPr>
                  <w:tcW w:w="996"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0.035</w:t>
                  </w:r>
                </w:p>
              </w:tc>
              <w:tc>
                <w:tcPr>
                  <w:tcW w:w="2527" w:type="dxa"/>
                  <w:vMerge w:val="continue"/>
                  <w:vAlign w:val="center"/>
                </w:tcPr>
                <w:p>
                  <w:pPr>
                    <w:widowControl/>
                    <w:jc w:val="left"/>
                    <w:rPr>
                      <w:rFonts w:hint="default" w:ascii="Times New Roman" w:hAnsi="Times New Roman"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650" w:type="dxa"/>
                  <w:vAlign w:val="center"/>
                </w:tcPr>
                <w:p>
                  <w:pPr>
                    <w:adjustRightInd w:val="0"/>
                    <w:snapToGrid w:val="0"/>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w:t>
                  </w:r>
                </w:p>
              </w:tc>
              <w:tc>
                <w:tcPr>
                  <w:tcW w:w="1465"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1293"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w:t>
                  </w:r>
                </w:p>
              </w:tc>
              <w:tc>
                <w:tcPr>
                  <w:tcW w:w="1808"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996"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527" w:type="dxa"/>
                  <w:vAlign w:val="center"/>
                </w:tcPr>
                <w:p>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参照《大气污染物综合排放标准详解》</w:t>
                  </w:r>
                </w:p>
              </w:tc>
            </w:tr>
          </w:tbl>
          <w:p>
            <w:pPr>
              <w:spacing w:line="460" w:lineRule="exact"/>
              <w:ind w:firstLine="480" w:firstLineChars="200"/>
              <w:jc w:val="both"/>
              <w:rPr>
                <w:rFonts w:hint="default" w:ascii="Times New Roman" w:hAnsi="Times New Roman" w:eastAsia="宋体" w:cs="Times New Roman"/>
                <w:sz w:val="24"/>
              </w:rPr>
            </w:pPr>
            <w:r>
              <w:rPr>
                <w:rFonts w:hint="default" w:ascii="Times New Roman" w:hAnsi="Times New Roman" w:cs="Times New Roman"/>
                <w:color w:val="000000" w:themeColor="text1"/>
                <w:sz w:val="24"/>
                <w14:textFill>
                  <w14:solidFill>
                    <w14:schemeClr w14:val="tx1"/>
                  </w14:solidFill>
                </w14:textFill>
              </w:rPr>
              <w:t>本项目位于</w:t>
            </w:r>
            <w:r>
              <w:rPr>
                <w:rFonts w:hint="default" w:ascii="Times New Roman" w:hAnsi="Times New Roman" w:cs="Times New Roman"/>
                <w:color w:val="000000"/>
                <w:sz w:val="24"/>
              </w:rPr>
              <w:t>江苏省</w:t>
            </w:r>
            <w:r>
              <w:rPr>
                <w:rFonts w:hint="default" w:ascii="Times New Roman" w:hAnsi="Times New Roman" w:eastAsia="宋体" w:cs="Times New Roman"/>
                <w:sz w:val="24"/>
              </w:rPr>
              <w:t>连云港</w:t>
            </w:r>
            <w:r>
              <w:rPr>
                <w:rFonts w:hint="default" w:ascii="Times New Roman" w:hAnsi="Times New Roman" w:cs="Times New Roman"/>
                <w:sz w:val="24"/>
                <w:lang w:val="en-US" w:eastAsia="zh-CN"/>
              </w:rPr>
              <w:t>市</w:t>
            </w:r>
            <w:r>
              <w:rPr>
                <w:rFonts w:hint="default" w:ascii="Times New Roman" w:hAnsi="Times New Roman" w:eastAsia="宋体" w:cs="Times New Roman"/>
                <w:sz w:val="24"/>
              </w:rPr>
              <w:t>经济技术开发区</w:t>
            </w:r>
            <w:r>
              <w:rPr>
                <w:rFonts w:hint="default" w:ascii="Times New Roman" w:hAnsi="Times New Roman" w:cs="Times New Roman"/>
                <w:sz w:val="24"/>
              </w:rPr>
              <w:t>，</w:t>
            </w:r>
            <w:r>
              <w:rPr>
                <w:rFonts w:hint="default" w:ascii="Times New Roman" w:hAnsi="Times New Roman" w:cs="Times New Roman"/>
                <w:color w:val="000000" w:themeColor="text1"/>
                <w:sz w:val="24"/>
                <w14:textFill>
                  <w14:solidFill>
                    <w14:schemeClr w14:val="tx1"/>
                  </w14:solidFill>
                </w14:textFill>
              </w:rPr>
              <w:t>根据《连云港市环境空气质量功能区划分规定》（连政发[2012]115号），项目所在地大气环境功能区划为二类区</w:t>
            </w:r>
            <w:r>
              <w:rPr>
                <w:rFonts w:hint="default" w:ascii="Times New Roman" w:hAnsi="Times New Roman" w:eastAsia="宋体" w:cs="Times New Roman"/>
                <w:sz w:val="24"/>
              </w:rPr>
              <w:t>，空气质量执行《环境空气质量标准》(GB3095-2012)中的二级标准。</w:t>
            </w:r>
          </w:p>
          <w:p>
            <w:pPr>
              <w:spacing w:line="460" w:lineRule="exact"/>
              <w:ind w:firstLine="480" w:firstLineChars="200"/>
              <w:jc w:val="both"/>
              <w:rPr>
                <w:rFonts w:hint="default" w:ascii="Times New Roman" w:hAnsi="Times New Roman" w:eastAsia="宋体" w:cs="Times New Roman"/>
                <w:sz w:val="24"/>
              </w:rPr>
            </w:pPr>
            <w:r>
              <w:rPr>
                <w:rFonts w:hint="default" w:ascii="Times New Roman" w:hAnsi="Times New Roman" w:eastAsia="宋体" w:cs="Times New Roman"/>
                <w:sz w:val="24"/>
              </w:rPr>
              <w:t>本项目特征因子为非甲烷总烃，现状监测数据引用江苏国正监测有限公司对公园里的监测数据，监测日期为2021年7月3日至7月6日连续监测3天</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监测点位于项目东侧约1000m处</w:t>
            </w:r>
            <w:r>
              <w:rPr>
                <w:rFonts w:hint="default" w:ascii="Times New Roman" w:hAnsi="Times New Roman" w:eastAsia="宋体" w:cs="Times New Roman"/>
                <w:sz w:val="24"/>
              </w:rPr>
              <w:t>。监测结果统计情况见表 3-2。</w:t>
            </w:r>
          </w:p>
          <w:p>
            <w:pPr>
              <w:spacing w:line="460" w:lineRule="exact"/>
              <w:ind w:firstLine="422" w:firstLineChars="200"/>
              <w:jc w:val="center"/>
              <w:rPr>
                <w:rFonts w:hint="default" w:ascii="Times New Roman" w:hAnsi="Times New Roman" w:cs="Times New Roman" w:eastAsiaTheme="majorEastAsia"/>
                <w:b/>
                <w:bCs/>
                <w:sz w:val="21"/>
                <w:szCs w:val="21"/>
              </w:rPr>
            </w:pPr>
            <w:r>
              <w:rPr>
                <w:rFonts w:hint="default" w:ascii="Times New Roman" w:hAnsi="Times New Roman" w:eastAsia="宋体" w:cs="Times New Roman"/>
                <w:b/>
                <w:bCs/>
                <w:sz w:val="21"/>
                <w:szCs w:val="21"/>
              </w:rPr>
              <w:t>表3-2  特征因子监测结果统</w:t>
            </w:r>
            <w:r>
              <w:rPr>
                <w:rFonts w:hint="default" w:ascii="Times New Roman" w:hAnsi="Times New Roman" w:cs="Times New Roman" w:eastAsiaTheme="majorEastAsia"/>
                <w:b/>
                <w:bCs/>
                <w:sz w:val="21"/>
                <w:szCs w:val="21"/>
              </w:rPr>
              <w:t>计表（单位：mg/Nm</w:t>
            </w:r>
            <w:r>
              <w:rPr>
                <w:rFonts w:hint="default" w:ascii="Times New Roman" w:hAnsi="Times New Roman" w:cs="Times New Roman" w:eastAsiaTheme="majorEastAsia"/>
                <w:b/>
                <w:bCs/>
                <w:sz w:val="21"/>
                <w:szCs w:val="21"/>
                <w:vertAlign w:val="superscript"/>
              </w:rPr>
              <w:t>3</w:t>
            </w:r>
            <w:r>
              <w:rPr>
                <w:rFonts w:hint="default" w:ascii="Times New Roman" w:hAnsi="Times New Roman" w:cs="Times New Roman" w:eastAsiaTheme="majorEastAsia"/>
                <w:b/>
                <w:bCs/>
                <w:sz w:val="21"/>
                <w:szCs w:val="21"/>
              </w:rPr>
              <w:t>）</w:t>
            </w:r>
          </w:p>
          <w:tbl>
            <w:tblPr>
              <w:tblStyle w:val="23"/>
              <w:tblW w:w="499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28" w:type="dxa"/>
                <w:bottom w:w="0" w:type="dxa"/>
                <w:right w:w="28" w:type="dxa"/>
              </w:tblCellMar>
            </w:tblPr>
            <w:tblGrid>
              <w:gridCol w:w="669"/>
              <w:gridCol w:w="1452"/>
              <w:gridCol w:w="833"/>
              <w:gridCol w:w="710"/>
              <w:gridCol w:w="1332"/>
              <w:gridCol w:w="1452"/>
              <w:gridCol w:w="771"/>
              <w:gridCol w:w="891"/>
              <w:gridCol w:w="46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cantSplit/>
                <w:trHeight w:val="842" w:hRule="atLeast"/>
                <w:jc w:val="center"/>
              </w:trPr>
              <w:tc>
                <w:tcPr>
                  <w:tcW w:w="390"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eastAsia="宋体" w:cs="Times New Roman"/>
                      <w:b/>
                      <w:bCs/>
                      <w:kern w:val="0"/>
                      <w:sz w:val="21"/>
                      <w:szCs w:val="21"/>
                      <w:lang w:eastAsia="zh-CN"/>
                    </w:rPr>
                  </w:pPr>
                  <w:r>
                    <w:rPr>
                      <w:rFonts w:hint="default" w:ascii="Times New Roman" w:hAnsi="Times New Roman" w:cs="Times New Roman"/>
                      <w:b/>
                      <w:bCs/>
                      <w:sz w:val="21"/>
                      <w:szCs w:val="21"/>
                      <w:lang w:val="en-US" w:eastAsia="zh-CN"/>
                    </w:rPr>
                    <w:t>序号</w:t>
                  </w:r>
                </w:p>
              </w:tc>
              <w:tc>
                <w:tcPr>
                  <w:tcW w:w="847"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rPr>
                    <w:t>监测点</w:t>
                  </w:r>
                  <w:r>
                    <w:rPr>
                      <w:rFonts w:hint="default" w:ascii="Times New Roman" w:hAnsi="Times New Roman" w:cs="Times New Roman"/>
                      <w:b/>
                      <w:bCs/>
                      <w:sz w:val="21"/>
                      <w:szCs w:val="21"/>
                      <w:lang w:val="en-US" w:eastAsia="zh-CN"/>
                    </w:rPr>
                    <w:t>位名称</w:t>
                  </w:r>
                </w:p>
              </w:tc>
              <w:tc>
                <w:tcPr>
                  <w:tcW w:w="485"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污染物名称</w:t>
                  </w:r>
                </w:p>
              </w:tc>
              <w:tc>
                <w:tcPr>
                  <w:tcW w:w="414"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平均时间</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评价标准（mg/m</w:t>
                  </w:r>
                  <w:r>
                    <w:rPr>
                      <w:rFonts w:hint="default" w:ascii="Times New Roman" w:hAnsi="Times New Roman" w:cs="Times New Roman"/>
                      <w:b/>
                      <w:bCs/>
                      <w:sz w:val="21"/>
                      <w:szCs w:val="21"/>
                      <w:vertAlign w:val="superscript"/>
                    </w:rPr>
                    <w:t>3</w:t>
                  </w:r>
                  <w:r>
                    <w:rPr>
                      <w:rFonts w:hint="default" w:ascii="Times New Roman" w:hAnsi="Times New Roman" w:cs="Times New Roman"/>
                      <w:b/>
                      <w:bCs/>
                      <w:sz w:val="21"/>
                      <w:szCs w:val="21"/>
                    </w:rPr>
                    <w:t>）</w:t>
                  </w:r>
                </w:p>
              </w:tc>
              <w:tc>
                <w:tcPr>
                  <w:tcW w:w="847"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监测浓度范围（mg/m</w:t>
                  </w:r>
                  <w:r>
                    <w:rPr>
                      <w:rFonts w:hint="default" w:ascii="Times New Roman" w:hAnsi="Times New Roman" w:cs="Times New Roman"/>
                      <w:b/>
                      <w:bCs/>
                      <w:sz w:val="21"/>
                      <w:szCs w:val="21"/>
                      <w:vertAlign w:val="superscript"/>
                    </w:rPr>
                    <w:t>3</w:t>
                  </w:r>
                  <w:r>
                    <w:rPr>
                      <w:rFonts w:hint="default" w:ascii="Times New Roman" w:hAnsi="Times New Roman" w:cs="Times New Roman"/>
                      <w:b/>
                      <w:bCs/>
                      <w:sz w:val="21"/>
                      <w:szCs w:val="21"/>
                    </w:rPr>
                    <w:t>）</w:t>
                  </w:r>
                </w:p>
              </w:tc>
              <w:tc>
                <w:tcPr>
                  <w:tcW w:w="449"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最大浓度占标率/%</w:t>
                  </w:r>
                </w:p>
              </w:tc>
              <w:tc>
                <w:tcPr>
                  <w:tcW w:w="519"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超标率（%）</w:t>
                  </w:r>
                </w:p>
              </w:tc>
              <w:tc>
                <w:tcPr>
                  <w:tcW w:w="268"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达标情况</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cantSplit/>
                <w:trHeight w:val="462" w:hRule="atLeast"/>
                <w:jc w:val="center"/>
              </w:trPr>
              <w:tc>
                <w:tcPr>
                  <w:tcW w:w="390" w:type="pct"/>
                  <w:tcBorders>
                    <w:top w:val="single" w:color="auto" w:sz="2" w:space="0"/>
                    <w:left w:val="single" w:color="auto" w:sz="2" w:space="0"/>
                    <w:right w:val="single" w:color="auto" w:sz="2" w:space="0"/>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1</w:t>
                  </w:r>
                </w:p>
              </w:tc>
              <w:tc>
                <w:tcPr>
                  <w:tcW w:w="847" w:type="pct"/>
                  <w:tcBorders>
                    <w:top w:val="single" w:color="auto" w:sz="2" w:space="0"/>
                    <w:left w:val="single" w:color="auto" w:sz="2" w:space="0"/>
                    <w:right w:val="single" w:color="auto" w:sz="2" w:space="0"/>
                  </w:tcBorders>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公园里</w:t>
                  </w:r>
                </w:p>
              </w:tc>
              <w:tc>
                <w:tcPr>
                  <w:tcW w:w="485"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非甲烷总烃</w:t>
                  </w:r>
                </w:p>
              </w:tc>
              <w:tc>
                <w:tcPr>
                  <w:tcW w:w="414"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小时平均浓度</w:t>
                  </w:r>
                </w:p>
              </w:tc>
              <w:tc>
                <w:tcPr>
                  <w:tcW w:w="776"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2.0</w:t>
                  </w:r>
                </w:p>
              </w:tc>
              <w:tc>
                <w:tcPr>
                  <w:tcW w:w="847"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0.58</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0.77</w:t>
                  </w:r>
                </w:p>
              </w:tc>
              <w:tc>
                <w:tcPr>
                  <w:tcW w:w="449"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38.5</w:t>
                  </w:r>
                </w:p>
              </w:tc>
              <w:tc>
                <w:tcPr>
                  <w:tcW w:w="519"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0</w:t>
                  </w:r>
                </w:p>
              </w:tc>
              <w:tc>
                <w:tcPr>
                  <w:tcW w:w="268" w:type="pct"/>
                  <w:tcBorders>
                    <w:top w:val="single" w:color="auto" w:sz="2" w:space="0"/>
                    <w:left w:val="single" w:color="auto" w:sz="2" w:space="0"/>
                    <w:bottom w:val="single" w:color="auto" w:sz="2" w:space="0"/>
                    <w:right w:val="single" w:color="auto" w:sz="2" w:space="0"/>
                  </w:tcBorders>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达标</w:t>
                  </w:r>
                </w:p>
              </w:tc>
            </w:tr>
          </w:tbl>
          <w:p>
            <w:pPr>
              <w:spacing w:line="460" w:lineRule="exact"/>
              <w:ind w:firstLine="480" w:firstLineChars="200"/>
              <w:jc w:val="both"/>
              <w:rPr>
                <w:rFonts w:hint="default" w:ascii="Times New Roman" w:hAnsi="Times New Roman" w:cs="Times New Roman"/>
                <w:sz w:val="24"/>
              </w:rPr>
            </w:pPr>
            <w:r>
              <w:rPr>
                <w:rFonts w:hint="default" w:ascii="Times New Roman" w:hAnsi="Times New Roman" w:cs="Times New Roman"/>
                <w:sz w:val="24"/>
              </w:rPr>
              <w:t>从大气环境监测结果及评价指数来看，监测点位非甲烷总烃污染物的指标满足《环境空气质量标准》(GB3095-2012)中二级标准及相应质量标准的要求，区域环境质量现状较好。</w:t>
            </w:r>
          </w:p>
          <w:p>
            <w:pPr>
              <w:spacing w:line="460" w:lineRule="exact"/>
              <w:ind w:firstLine="480" w:firstLineChars="200"/>
              <w:jc w:val="both"/>
              <w:rPr>
                <w:rFonts w:hint="default" w:ascii="Times New Roman" w:hAnsi="Times New Roman" w:cs="Times New Roman"/>
                <w:kern w:val="0"/>
                <w:sz w:val="24"/>
                <w:szCs w:val="22"/>
              </w:rPr>
            </w:pPr>
            <w:r>
              <w:rPr>
                <w:rFonts w:hint="default" w:ascii="Times New Roman" w:hAnsi="Times New Roman" w:cs="Times New Roman"/>
                <w:sz w:val="24"/>
              </w:rPr>
              <w:t>根据《202</w:t>
            </w:r>
            <w:r>
              <w:rPr>
                <w:rFonts w:hint="default" w:ascii="Times New Roman" w:hAnsi="Times New Roman" w:cs="Times New Roman"/>
                <w:sz w:val="24"/>
                <w:lang w:val="en-US" w:eastAsia="zh-CN"/>
              </w:rPr>
              <w:t>2</w:t>
            </w:r>
            <w:r>
              <w:rPr>
                <w:rFonts w:hint="default" w:ascii="Times New Roman" w:hAnsi="Times New Roman" w:cs="Times New Roman"/>
                <w:sz w:val="24"/>
              </w:rPr>
              <w:t>年度连云港市生态环境质量状况公报》，202</w:t>
            </w:r>
            <w:r>
              <w:rPr>
                <w:rFonts w:hint="default" w:ascii="Times New Roman" w:hAnsi="Times New Roman" w:cs="Times New Roman"/>
                <w:sz w:val="24"/>
                <w:lang w:val="en-US" w:eastAsia="zh-CN"/>
              </w:rPr>
              <w:t>2</w:t>
            </w:r>
            <w:r>
              <w:rPr>
                <w:rFonts w:hint="default" w:ascii="Times New Roman" w:hAnsi="Times New Roman" w:cs="Times New Roman"/>
                <w:sz w:val="24"/>
              </w:rPr>
              <w:t>年</w:t>
            </w:r>
            <w:r>
              <w:rPr>
                <w:rFonts w:hint="default" w:ascii="Times New Roman" w:hAnsi="Times New Roman" w:cs="Times New Roman"/>
                <w:sz w:val="24"/>
                <w:lang w:val="en-US" w:eastAsia="zh-CN"/>
              </w:rPr>
              <w:t>市区环境空气二氧化硫、二氧化氮、可吸入颗粒物（PM</w:t>
            </w:r>
            <w:r>
              <w:rPr>
                <w:rFonts w:hint="default" w:ascii="Times New Roman" w:hAnsi="Times New Roman" w:cs="Times New Roman"/>
                <w:sz w:val="24"/>
                <w:vertAlign w:val="subscript"/>
                <w:lang w:val="en-US" w:eastAsia="zh-CN"/>
              </w:rPr>
              <w:t>10</w:t>
            </w:r>
            <w:r>
              <w:rPr>
                <w:rFonts w:hint="default" w:ascii="Times New Roman" w:hAnsi="Times New Roman" w:cs="Times New Roman"/>
                <w:sz w:val="24"/>
                <w:lang w:val="en-US" w:eastAsia="zh-CN"/>
              </w:rPr>
              <w:t>） 和细颗粒物（PM</w:t>
            </w:r>
            <w:r>
              <w:rPr>
                <w:rFonts w:hint="default" w:ascii="Times New Roman" w:hAnsi="Times New Roman" w:cs="Times New Roman"/>
                <w:sz w:val="24"/>
                <w:vertAlign w:val="subscript"/>
                <w:lang w:val="en-US" w:eastAsia="zh-CN"/>
              </w:rPr>
              <w:t>2.5</w:t>
            </w:r>
            <w:r>
              <w:rPr>
                <w:rFonts w:hint="default" w:ascii="Times New Roman" w:hAnsi="Times New Roman" w:cs="Times New Roman"/>
                <w:sz w:val="24"/>
                <w:lang w:val="en-US" w:eastAsia="zh-CN"/>
              </w:rPr>
              <w:t>）的年均浓度分别为7 微克/立方米、22微克/立方米、54微克/立方米和30微克/立方米，同比下降 30.0%、18.5%、5.3%、6.2%；臭氧日最大 8 小时均值第 90 百分位浓度为159 微克/立方米，同比上升 6.0%；一氧化碳日均值第 95 百分位浓度为 0.9 毫克/立方米，同比下降 18.2%。二氧化硫、二氧化氮、可吸入颗粒物（PM</w:t>
            </w:r>
            <w:r>
              <w:rPr>
                <w:rFonts w:hint="default" w:ascii="Times New Roman" w:hAnsi="Times New Roman" w:cs="Times New Roman"/>
                <w:sz w:val="24"/>
                <w:vertAlign w:val="subscript"/>
                <w:lang w:val="en-US" w:eastAsia="zh-CN"/>
              </w:rPr>
              <w:t>10</w:t>
            </w:r>
            <w:r>
              <w:rPr>
                <w:rFonts w:hint="default" w:ascii="Times New Roman" w:hAnsi="Times New Roman" w:cs="Times New Roman"/>
                <w:sz w:val="24"/>
                <w:lang w:val="en-US" w:eastAsia="zh-CN"/>
              </w:rPr>
              <w:t>）、细颗粒物（PM</w:t>
            </w:r>
            <w:r>
              <w:rPr>
                <w:rFonts w:hint="default" w:ascii="Times New Roman" w:hAnsi="Times New Roman" w:cs="Times New Roman"/>
                <w:sz w:val="24"/>
                <w:vertAlign w:val="subscript"/>
                <w:lang w:val="en-US" w:eastAsia="zh-CN"/>
              </w:rPr>
              <w:t>2.5</w:t>
            </w:r>
            <w:r>
              <w:rPr>
                <w:rFonts w:hint="default" w:ascii="Times New Roman" w:hAnsi="Times New Roman" w:cs="Times New Roman"/>
                <w:sz w:val="24"/>
                <w:lang w:val="en-US" w:eastAsia="zh-CN"/>
              </w:rPr>
              <w:t>）年平均浓度和 CO 日均值的第 95 百分位浓度、臭氧 8 小时第 90 百分位浓度 6 项指标全部达到《环境空气质量标准》（GB3095-2012）二级标准要求</w:t>
            </w:r>
            <w:r>
              <w:rPr>
                <w:rFonts w:hint="default" w:ascii="Times New Roman" w:hAnsi="Times New Roman" w:cs="Times New Roman"/>
                <w:sz w:val="24"/>
              </w:rPr>
              <w:t>。</w:t>
            </w:r>
          </w:p>
          <w:p>
            <w:pPr>
              <w:tabs>
                <w:tab w:val="left" w:pos="5142"/>
              </w:tabs>
              <w:snapToGrid w:val="0"/>
              <w:spacing w:line="460" w:lineRule="exact"/>
              <w:jc w:val="center"/>
              <w:rPr>
                <w:rFonts w:hint="default" w:ascii="Times New Roman" w:hAnsi="Times New Roman" w:cs="Times New Roman" w:eastAsiaTheme="majorEastAsia"/>
                <w:b/>
                <w:bCs/>
                <w:sz w:val="21"/>
                <w:szCs w:val="21"/>
              </w:rPr>
            </w:pPr>
            <w:r>
              <w:rPr>
                <w:rFonts w:hint="default" w:ascii="Times New Roman" w:hAnsi="Times New Roman" w:cs="Times New Roman" w:eastAsiaTheme="majorEastAsia"/>
                <w:b/>
                <w:bCs/>
                <w:sz w:val="21"/>
                <w:szCs w:val="21"/>
              </w:rPr>
              <w:t>表3-3  市区空气质量现状评价表</w:t>
            </w:r>
          </w:p>
          <w:tbl>
            <w:tblPr>
              <w:tblStyle w:val="23"/>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80"/>
              <w:gridCol w:w="2905"/>
              <w:gridCol w:w="648"/>
              <w:gridCol w:w="658"/>
              <w:gridCol w:w="1070"/>
              <w:gridCol w:w="873"/>
              <w:gridCol w:w="767"/>
              <w:gridCol w:w="7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513" w:type="pct"/>
                  <w:vMerge w:val="restar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b/>
                      <w:bCs/>
                      <w:sz w:val="21"/>
                      <w:szCs w:val="21"/>
                      <w:lang w:eastAsia="en-US"/>
                    </w:rPr>
                  </w:pPr>
                  <w:r>
                    <w:rPr>
                      <w:rFonts w:hint="default" w:ascii="Times New Roman" w:hAnsi="Times New Roman" w:cs="Times New Roman"/>
                      <w:b/>
                      <w:bCs/>
                      <w:sz w:val="21"/>
                      <w:szCs w:val="21"/>
                    </w:rPr>
                    <w:t>污染物</w:t>
                  </w:r>
                </w:p>
              </w:tc>
              <w:tc>
                <w:tcPr>
                  <w:tcW w:w="1694" w:type="pct"/>
                  <w:vMerge w:val="restar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b/>
                      <w:bCs/>
                      <w:sz w:val="21"/>
                      <w:szCs w:val="21"/>
                    </w:rPr>
                  </w:pPr>
                  <w:r>
                    <w:rPr>
                      <w:rFonts w:hint="default" w:ascii="Times New Roman" w:hAnsi="Times New Roman" w:cs="Times New Roman"/>
                      <w:b/>
                      <w:bCs/>
                      <w:sz w:val="21"/>
                      <w:szCs w:val="21"/>
                    </w:rPr>
                    <w:t>年评价指标</w:t>
                  </w:r>
                </w:p>
              </w:tc>
              <w:tc>
                <w:tcPr>
                  <w:tcW w:w="762" w:type="pct"/>
                  <w:gridSpan w:val="2"/>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b/>
                      <w:bCs/>
                      <w:sz w:val="21"/>
                      <w:szCs w:val="21"/>
                    </w:rPr>
                  </w:pPr>
                  <w:r>
                    <w:rPr>
                      <w:rFonts w:hint="default" w:ascii="Times New Roman" w:hAnsi="Times New Roman" w:cs="Times New Roman"/>
                      <w:b/>
                      <w:bCs/>
                      <w:sz w:val="21"/>
                      <w:szCs w:val="21"/>
                    </w:rPr>
                    <w:t>现状浓度</w:t>
                  </w:r>
                </w:p>
                <w:p>
                  <w:pPr>
                    <w:pStyle w:val="41"/>
                    <w:rPr>
                      <w:rFonts w:hint="default" w:ascii="Times New Roman" w:hAnsi="Times New Roman" w:cs="Times New Roman"/>
                      <w:b/>
                      <w:bCs/>
                      <w:sz w:val="21"/>
                      <w:szCs w:val="21"/>
                    </w:rPr>
                  </w:pPr>
                  <w:r>
                    <w:rPr>
                      <w:rFonts w:hint="default" w:ascii="Times New Roman" w:hAnsi="Times New Roman" w:cs="Times New Roman"/>
                      <w:b/>
                      <w:bCs/>
                      <w:sz w:val="21"/>
                      <w:szCs w:val="21"/>
                    </w:rPr>
                    <w:t>（μg/m</w:t>
                  </w:r>
                  <w:r>
                    <w:rPr>
                      <w:rFonts w:hint="default" w:ascii="Times New Roman" w:hAnsi="Times New Roman" w:cs="Times New Roman"/>
                      <w:b/>
                      <w:bCs/>
                      <w:sz w:val="21"/>
                      <w:szCs w:val="21"/>
                      <w:vertAlign w:val="superscript"/>
                    </w:rPr>
                    <w:t>3</w:t>
                  </w:r>
                  <w:r>
                    <w:rPr>
                      <w:rFonts w:hint="default" w:ascii="Times New Roman" w:hAnsi="Times New Roman" w:cs="Times New Roman"/>
                      <w:b/>
                      <w:bCs/>
                      <w:sz w:val="21"/>
                      <w:szCs w:val="21"/>
                    </w:rPr>
                    <w:t>）</w:t>
                  </w:r>
                </w:p>
              </w:tc>
              <w:tc>
                <w:tcPr>
                  <w:tcW w:w="624" w:type="pct"/>
                  <w:vMerge w:val="restar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b/>
                      <w:bCs/>
                      <w:sz w:val="21"/>
                      <w:szCs w:val="21"/>
                    </w:rPr>
                  </w:pPr>
                  <w:r>
                    <w:rPr>
                      <w:rFonts w:hint="default" w:ascii="Times New Roman" w:hAnsi="Times New Roman" w:cs="Times New Roman"/>
                      <w:b/>
                      <w:bCs/>
                      <w:sz w:val="21"/>
                      <w:szCs w:val="21"/>
                    </w:rPr>
                    <w:t>标准值</w:t>
                  </w:r>
                </w:p>
                <w:p>
                  <w:pPr>
                    <w:pStyle w:val="41"/>
                    <w:rPr>
                      <w:rFonts w:hint="default" w:ascii="Times New Roman" w:hAnsi="Times New Roman" w:cs="Times New Roman"/>
                      <w:b/>
                      <w:bCs/>
                      <w:sz w:val="21"/>
                      <w:szCs w:val="21"/>
                    </w:rPr>
                  </w:pPr>
                  <w:r>
                    <w:rPr>
                      <w:rFonts w:hint="default" w:ascii="Times New Roman" w:hAnsi="Times New Roman" w:cs="Times New Roman"/>
                      <w:b/>
                      <w:bCs/>
                      <w:sz w:val="21"/>
                      <w:szCs w:val="21"/>
                    </w:rPr>
                    <w:t>（μg/m</w:t>
                  </w:r>
                  <w:r>
                    <w:rPr>
                      <w:rFonts w:hint="default" w:ascii="Times New Roman" w:hAnsi="Times New Roman" w:cs="Times New Roman"/>
                      <w:b/>
                      <w:bCs/>
                      <w:sz w:val="21"/>
                      <w:szCs w:val="21"/>
                      <w:vertAlign w:val="superscript"/>
                    </w:rPr>
                    <w:t>3</w:t>
                  </w:r>
                  <w:r>
                    <w:rPr>
                      <w:rFonts w:hint="default" w:ascii="Times New Roman" w:hAnsi="Times New Roman" w:cs="Times New Roman"/>
                      <w:b/>
                      <w:bCs/>
                      <w:sz w:val="21"/>
                      <w:szCs w:val="21"/>
                    </w:rPr>
                    <w:t>）</w:t>
                  </w:r>
                </w:p>
              </w:tc>
              <w:tc>
                <w:tcPr>
                  <w:tcW w:w="956" w:type="pct"/>
                  <w:gridSpan w:val="2"/>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b/>
                      <w:bCs/>
                      <w:sz w:val="21"/>
                      <w:szCs w:val="21"/>
                    </w:rPr>
                  </w:pPr>
                  <w:r>
                    <w:rPr>
                      <w:rFonts w:hint="default" w:ascii="Times New Roman" w:hAnsi="Times New Roman" w:cs="Times New Roman"/>
                      <w:b/>
                      <w:bCs/>
                      <w:sz w:val="21"/>
                      <w:szCs w:val="21"/>
                    </w:rPr>
                    <w:t>占标率（%）</w:t>
                  </w:r>
                </w:p>
              </w:tc>
              <w:tc>
                <w:tcPr>
                  <w:tcW w:w="451" w:type="pct"/>
                  <w:vMerge w:val="restar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b/>
                      <w:bCs/>
                      <w:sz w:val="21"/>
                      <w:szCs w:val="21"/>
                    </w:rPr>
                  </w:pPr>
                  <w:r>
                    <w:rPr>
                      <w:rFonts w:hint="default" w:ascii="Times New Roman" w:hAnsi="Times New Roman" w:cs="Times New Roman"/>
                      <w:b/>
                      <w:bCs/>
                      <w:sz w:val="21"/>
                      <w:szCs w:val="21"/>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jc w:val="center"/>
              </w:trPr>
              <w:tc>
                <w:tcPr>
                  <w:tcW w:w="880"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default" w:ascii="Times New Roman" w:hAnsi="Times New Roman" w:cs="Times New Roman"/>
                      <w:b/>
                      <w:bCs/>
                      <w:sz w:val="21"/>
                      <w:szCs w:val="21"/>
                      <w:lang w:eastAsia="en-US"/>
                    </w:rPr>
                  </w:pPr>
                </w:p>
              </w:tc>
              <w:tc>
                <w:tcPr>
                  <w:tcW w:w="2904"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default" w:ascii="Times New Roman" w:hAnsi="Times New Roman" w:cs="Times New Roman"/>
                      <w:b/>
                      <w:bCs/>
                      <w:sz w:val="21"/>
                      <w:szCs w:val="21"/>
                      <w:lang w:eastAsia="en-US"/>
                    </w:rPr>
                  </w:pPr>
                </w:p>
              </w:tc>
              <w:tc>
                <w:tcPr>
                  <w:tcW w:w="378"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b/>
                      <w:sz w:val="21"/>
                      <w:szCs w:val="21"/>
                    </w:rPr>
                  </w:pPr>
                  <w:r>
                    <w:rPr>
                      <w:rFonts w:hint="default" w:ascii="Times New Roman" w:hAnsi="Times New Roman" w:cs="Times New Roman"/>
                      <w:b/>
                      <w:sz w:val="21"/>
                      <w:szCs w:val="21"/>
                    </w:rPr>
                    <w:t>平均</w:t>
                  </w:r>
                </w:p>
                <w:p>
                  <w:pPr>
                    <w:pStyle w:val="41"/>
                    <w:rPr>
                      <w:rFonts w:hint="default" w:ascii="Times New Roman" w:hAnsi="Times New Roman" w:cs="Times New Roman"/>
                      <w:b/>
                      <w:sz w:val="21"/>
                      <w:szCs w:val="21"/>
                    </w:rPr>
                  </w:pPr>
                  <w:r>
                    <w:rPr>
                      <w:rFonts w:hint="default" w:ascii="Times New Roman" w:hAnsi="Times New Roman" w:cs="Times New Roman"/>
                      <w:b/>
                      <w:sz w:val="21"/>
                      <w:szCs w:val="21"/>
                    </w:rPr>
                    <w:t>浓度</w:t>
                  </w:r>
                </w:p>
              </w:tc>
              <w:tc>
                <w:tcPr>
                  <w:tcW w:w="38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b/>
                      <w:sz w:val="21"/>
                      <w:szCs w:val="21"/>
                    </w:rPr>
                  </w:pPr>
                  <w:r>
                    <w:rPr>
                      <w:rFonts w:hint="default" w:ascii="Times New Roman" w:hAnsi="Times New Roman" w:cs="Times New Roman"/>
                      <w:b/>
                      <w:sz w:val="21"/>
                      <w:szCs w:val="21"/>
                    </w:rPr>
                    <w:t>最高</w:t>
                  </w:r>
                </w:p>
                <w:p>
                  <w:pPr>
                    <w:pStyle w:val="41"/>
                    <w:rPr>
                      <w:rFonts w:hint="default" w:ascii="Times New Roman" w:hAnsi="Times New Roman" w:cs="Times New Roman"/>
                      <w:b/>
                      <w:sz w:val="21"/>
                      <w:szCs w:val="21"/>
                    </w:rPr>
                  </w:pPr>
                  <w:r>
                    <w:rPr>
                      <w:rFonts w:hint="default" w:ascii="Times New Roman" w:hAnsi="Times New Roman" w:cs="Times New Roman"/>
                      <w:b/>
                      <w:sz w:val="21"/>
                      <w:szCs w:val="21"/>
                    </w:rPr>
                    <w:t>浓度</w:t>
                  </w:r>
                </w:p>
              </w:tc>
              <w:tc>
                <w:tcPr>
                  <w:tcW w:w="1070"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default" w:ascii="Times New Roman" w:hAnsi="Times New Roman" w:cs="Times New Roman"/>
                      <w:b/>
                      <w:bCs/>
                      <w:sz w:val="21"/>
                      <w:szCs w:val="21"/>
                      <w:lang w:eastAsia="en-US"/>
                    </w:rPr>
                  </w:pP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b/>
                      <w:sz w:val="21"/>
                      <w:szCs w:val="21"/>
                    </w:rPr>
                  </w:pPr>
                  <w:r>
                    <w:rPr>
                      <w:rFonts w:hint="default" w:ascii="Times New Roman" w:hAnsi="Times New Roman" w:cs="Times New Roman"/>
                      <w:b/>
                      <w:sz w:val="21"/>
                      <w:szCs w:val="21"/>
                    </w:rPr>
                    <w:t>平均</w:t>
                  </w:r>
                </w:p>
                <w:p>
                  <w:pPr>
                    <w:pStyle w:val="41"/>
                    <w:rPr>
                      <w:rFonts w:hint="default" w:ascii="Times New Roman" w:hAnsi="Times New Roman" w:cs="Times New Roman"/>
                      <w:b/>
                      <w:sz w:val="21"/>
                      <w:szCs w:val="21"/>
                    </w:rPr>
                  </w:pPr>
                  <w:r>
                    <w:rPr>
                      <w:rFonts w:hint="default" w:ascii="Times New Roman" w:hAnsi="Times New Roman" w:cs="Times New Roman"/>
                      <w:b/>
                      <w:sz w:val="21"/>
                      <w:szCs w:val="21"/>
                    </w:rPr>
                    <w:t>占标率</w:t>
                  </w:r>
                </w:p>
              </w:tc>
              <w:tc>
                <w:tcPr>
                  <w:tcW w:w="447"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b/>
                      <w:sz w:val="21"/>
                      <w:szCs w:val="21"/>
                    </w:rPr>
                  </w:pPr>
                  <w:r>
                    <w:rPr>
                      <w:rFonts w:hint="default" w:ascii="Times New Roman" w:hAnsi="Times New Roman" w:cs="Times New Roman"/>
                      <w:b/>
                      <w:sz w:val="21"/>
                      <w:szCs w:val="21"/>
                    </w:rPr>
                    <w:t>最大占</w:t>
                  </w:r>
                </w:p>
                <w:p>
                  <w:pPr>
                    <w:pStyle w:val="41"/>
                    <w:rPr>
                      <w:rFonts w:hint="default" w:ascii="Times New Roman" w:hAnsi="Times New Roman" w:cs="Times New Roman"/>
                      <w:b/>
                      <w:sz w:val="21"/>
                      <w:szCs w:val="21"/>
                    </w:rPr>
                  </w:pPr>
                  <w:r>
                    <w:rPr>
                      <w:rFonts w:hint="default" w:ascii="Times New Roman" w:hAnsi="Times New Roman" w:cs="Times New Roman"/>
                      <w:b/>
                      <w:sz w:val="21"/>
                      <w:szCs w:val="21"/>
                    </w:rPr>
                    <w:t>标率</w:t>
                  </w:r>
                </w:p>
              </w:tc>
              <w:tc>
                <w:tcPr>
                  <w:tcW w:w="773" w:type="dxa"/>
                  <w:vMerge w:val="continue"/>
                  <w:tcBorders>
                    <w:top w:val="single" w:color="000000" w:sz="4" w:space="0"/>
                    <w:left w:val="single" w:color="000000" w:sz="4" w:space="0"/>
                    <w:bottom w:val="single" w:color="000000" w:sz="4" w:space="0"/>
                    <w:right w:val="single" w:color="000000" w:sz="4" w:space="0"/>
                  </w:tcBorders>
                  <w:vAlign w:val="center"/>
                </w:tcPr>
                <w:p>
                  <w:pPr>
                    <w:widowControl/>
                    <w:rPr>
                      <w:rFonts w:hint="default" w:ascii="Times New Roman" w:hAnsi="Times New Roman" w:cs="Times New Roman"/>
                      <w:b/>
                      <w:bCs/>
                      <w:sz w:val="21"/>
                      <w:szCs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513"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SO</w:t>
                  </w:r>
                  <w:r>
                    <w:rPr>
                      <w:rFonts w:hint="default" w:ascii="Times New Roman" w:hAnsi="Times New Roman" w:cs="Times New Roman"/>
                      <w:sz w:val="21"/>
                      <w:szCs w:val="21"/>
                      <w:vertAlign w:val="subscript"/>
                    </w:rPr>
                    <w:t>2</w:t>
                  </w:r>
                </w:p>
              </w:tc>
              <w:tc>
                <w:tcPr>
                  <w:tcW w:w="169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年平均质量浓度</w:t>
                  </w:r>
                </w:p>
              </w:tc>
              <w:tc>
                <w:tcPr>
                  <w:tcW w:w="378"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7</w:t>
                  </w:r>
                </w:p>
              </w:tc>
              <w:tc>
                <w:tcPr>
                  <w:tcW w:w="38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w:t>
                  </w:r>
                </w:p>
              </w:tc>
              <w:tc>
                <w:tcPr>
                  <w:tcW w:w="62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60</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lang w:val="en-US" w:eastAsia="zh-CN"/>
                    </w:rPr>
                    <w:t>11</w:t>
                  </w:r>
                  <w:r>
                    <w:rPr>
                      <w:rFonts w:hint="default" w:ascii="Times New Roman" w:hAnsi="Times New Roman" w:cs="Times New Roman"/>
                      <w:sz w:val="21"/>
                      <w:szCs w:val="21"/>
                    </w:rPr>
                    <w:t>1.7</w:t>
                  </w:r>
                </w:p>
              </w:tc>
              <w:tc>
                <w:tcPr>
                  <w:tcW w:w="447"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w:t>
                  </w:r>
                </w:p>
              </w:tc>
              <w:tc>
                <w:tcPr>
                  <w:tcW w:w="451"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513"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NO</w:t>
                  </w:r>
                  <w:r>
                    <w:rPr>
                      <w:rFonts w:hint="default" w:ascii="Times New Roman" w:hAnsi="Times New Roman" w:cs="Times New Roman"/>
                      <w:sz w:val="21"/>
                      <w:szCs w:val="21"/>
                      <w:vertAlign w:val="subscript"/>
                    </w:rPr>
                    <w:t>2</w:t>
                  </w:r>
                </w:p>
              </w:tc>
              <w:tc>
                <w:tcPr>
                  <w:tcW w:w="169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年平均质量浓度</w:t>
                  </w:r>
                </w:p>
              </w:tc>
              <w:tc>
                <w:tcPr>
                  <w:tcW w:w="378"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22</w:t>
                  </w:r>
                </w:p>
              </w:tc>
              <w:tc>
                <w:tcPr>
                  <w:tcW w:w="38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w:t>
                  </w:r>
                </w:p>
              </w:tc>
              <w:tc>
                <w:tcPr>
                  <w:tcW w:w="62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40</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5.0</w:t>
                  </w:r>
                </w:p>
              </w:tc>
              <w:tc>
                <w:tcPr>
                  <w:tcW w:w="447"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w:t>
                  </w:r>
                </w:p>
              </w:tc>
              <w:tc>
                <w:tcPr>
                  <w:tcW w:w="451"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513"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PM</w:t>
                  </w:r>
                  <w:r>
                    <w:rPr>
                      <w:rFonts w:hint="default" w:ascii="Times New Roman" w:hAnsi="Times New Roman" w:cs="Times New Roman"/>
                      <w:sz w:val="21"/>
                      <w:szCs w:val="21"/>
                      <w:vertAlign w:val="subscript"/>
                    </w:rPr>
                    <w:t>10</w:t>
                  </w:r>
                </w:p>
              </w:tc>
              <w:tc>
                <w:tcPr>
                  <w:tcW w:w="169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年平均质量浓度</w:t>
                  </w:r>
                </w:p>
              </w:tc>
              <w:tc>
                <w:tcPr>
                  <w:tcW w:w="378"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5</w:t>
                  </w:r>
                  <w:r>
                    <w:rPr>
                      <w:rFonts w:hint="default" w:ascii="Times New Roman" w:hAnsi="Times New Roman" w:cs="Times New Roman"/>
                      <w:sz w:val="21"/>
                      <w:szCs w:val="21"/>
                      <w:lang w:val="en-US" w:eastAsia="zh-CN"/>
                    </w:rPr>
                    <w:t>4</w:t>
                  </w:r>
                </w:p>
              </w:tc>
              <w:tc>
                <w:tcPr>
                  <w:tcW w:w="38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w:t>
                  </w:r>
                </w:p>
              </w:tc>
              <w:tc>
                <w:tcPr>
                  <w:tcW w:w="62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70</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77.1</w:t>
                  </w:r>
                </w:p>
              </w:tc>
              <w:tc>
                <w:tcPr>
                  <w:tcW w:w="447"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w:t>
                  </w:r>
                </w:p>
              </w:tc>
              <w:tc>
                <w:tcPr>
                  <w:tcW w:w="451"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513"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PM</w:t>
                  </w:r>
                  <w:r>
                    <w:rPr>
                      <w:rFonts w:hint="default" w:ascii="Times New Roman" w:hAnsi="Times New Roman" w:cs="Times New Roman"/>
                      <w:sz w:val="21"/>
                      <w:szCs w:val="21"/>
                      <w:vertAlign w:val="subscript"/>
                    </w:rPr>
                    <w:t>2.5</w:t>
                  </w:r>
                </w:p>
              </w:tc>
              <w:tc>
                <w:tcPr>
                  <w:tcW w:w="169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年平均质量浓度</w:t>
                  </w:r>
                </w:p>
              </w:tc>
              <w:tc>
                <w:tcPr>
                  <w:tcW w:w="378"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3</w:t>
                  </w:r>
                  <w:r>
                    <w:rPr>
                      <w:rFonts w:hint="default" w:ascii="Times New Roman" w:hAnsi="Times New Roman" w:cs="Times New Roman"/>
                      <w:sz w:val="21"/>
                      <w:szCs w:val="21"/>
                      <w:lang w:val="en-US" w:eastAsia="zh-CN"/>
                    </w:rPr>
                    <w:t>0</w:t>
                  </w:r>
                </w:p>
              </w:tc>
              <w:tc>
                <w:tcPr>
                  <w:tcW w:w="38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w:t>
                  </w:r>
                </w:p>
              </w:tc>
              <w:tc>
                <w:tcPr>
                  <w:tcW w:w="62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35</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85.7</w:t>
                  </w:r>
                </w:p>
              </w:tc>
              <w:tc>
                <w:tcPr>
                  <w:tcW w:w="447"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w:t>
                  </w:r>
                </w:p>
              </w:tc>
              <w:tc>
                <w:tcPr>
                  <w:tcW w:w="451"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513"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CO</w:t>
                  </w:r>
                </w:p>
              </w:tc>
              <w:tc>
                <w:tcPr>
                  <w:tcW w:w="169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日均值第95百分位数浓度</w:t>
                  </w:r>
                  <w:r>
                    <w:rPr>
                      <w:rFonts w:hint="default" w:ascii="Times New Roman" w:hAnsi="Times New Roman" w:cs="Times New Roman"/>
                      <w:b w:val="0"/>
                      <w:bCs w:val="0"/>
                      <w:sz w:val="21"/>
                      <w:szCs w:val="21"/>
                      <w:lang w:eastAsia="zh-CN"/>
                    </w:rPr>
                    <w:t>（</w:t>
                  </w:r>
                  <w:r>
                    <w:rPr>
                      <w:rFonts w:hint="default" w:ascii="Times New Roman" w:hAnsi="Times New Roman" w:cs="Times New Roman"/>
                      <w:b w:val="0"/>
                      <w:bCs w:val="0"/>
                      <w:sz w:val="21"/>
                      <w:szCs w:val="21"/>
                      <w:lang w:val="en-US" w:eastAsia="zh-CN"/>
                    </w:rPr>
                    <w:t>m</w:t>
                  </w:r>
                  <w:r>
                    <w:rPr>
                      <w:rFonts w:hint="default" w:ascii="Times New Roman" w:hAnsi="Times New Roman" w:cs="Times New Roman"/>
                      <w:b w:val="0"/>
                      <w:bCs w:val="0"/>
                      <w:sz w:val="21"/>
                      <w:szCs w:val="21"/>
                    </w:rPr>
                    <w:t>g/m</w:t>
                  </w:r>
                  <w:r>
                    <w:rPr>
                      <w:rFonts w:hint="default" w:ascii="Times New Roman" w:hAnsi="Times New Roman" w:cs="Times New Roman"/>
                      <w:b w:val="0"/>
                      <w:bCs w:val="0"/>
                      <w:sz w:val="21"/>
                      <w:szCs w:val="21"/>
                      <w:vertAlign w:val="superscript"/>
                    </w:rPr>
                    <w:t>3</w:t>
                  </w:r>
                  <w:r>
                    <w:rPr>
                      <w:rFonts w:hint="default" w:ascii="Times New Roman" w:hAnsi="Times New Roman" w:cs="Times New Roman"/>
                      <w:b w:val="0"/>
                      <w:bCs w:val="0"/>
                      <w:sz w:val="21"/>
                      <w:szCs w:val="21"/>
                      <w:lang w:eastAsia="zh-CN"/>
                    </w:rPr>
                    <w:t>）</w:t>
                  </w:r>
                </w:p>
              </w:tc>
              <w:tc>
                <w:tcPr>
                  <w:tcW w:w="378"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0.9</w:t>
                  </w:r>
                </w:p>
              </w:tc>
              <w:tc>
                <w:tcPr>
                  <w:tcW w:w="38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w:t>
                  </w:r>
                </w:p>
              </w:tc>
              <w:tc>
                <w:tcPr>
                  <w:tcW w:w="62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4</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lang w:val="en-US" w:eastAsia="zh-CN"/>
                    </w:rPr>
                    <w:t>22</w:t>
                  </w:r>
                  <w:r>
                    <w:rPr>
                      <w:rFonts w:hint="default" w:ascii="Times New Roman" w:hAnsi="Times New Roman" w:cs="Times New Roman"/>
                      <w:sz w:val="21"/>
                      <w:szCs w:val="21"/>
                    </w:rPr>
                    <w:t>.5</w:t>
                  </w:r>
                </w:p>
              </w:tc>
              <w:tc>
                <w:tcPr>
                  <w:tcW w:w="447"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w:t>
                  </w:r>
                </w:p>
              </w:tc>
              <w:tc>
                <w:tcPr>
                  <w:tcW w:w="451"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513"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O</w:t>
                  </w:r>
                  <w:r>
                    <w:rPr>
                      <w:rFonts w:hint="default" w:ascii="Times New Roman" w:hAnsi="Times New Roman" w:cs="Times New Roman"/>
                      <w:sz w:val="21"/>
                      <w:szCs w:val="21"/>
                      <w:vertAlign w:val="subscript"/>
                    </w:rPr>
                    <w:t>3</w:t>
                  </w:r>
                </w:p>
              </w:tc>
              <w:tc>
                <w:tcPr>
                  <w:tcW w:w="169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日最大8小时第90百分位数浓度</w:t>
                  </w:r>
                </w:p>
              </w:tc>
              <w:tc>
                <w:tcPr>
                  <w:tcW w:w="378"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15</w:t>
                  </w:r>
                  <w:r>
                    <w:rPr>
                      <w:rFonts w:hint="default" w:ascii="Times New Roman" w:hAnsi="Times New Roman" w:cs="Times New Roman"/>
                      <w:sz w:val="21"/>
                      <w:szCs w:val="21"/>
                      <w:lang w:val="en-US" w:eastAsia="zh-CN"/>
                    </w:rPr>
                    <w:t>9</w:t>
                  </w:r>
                </w:p>
              </w:tc>
              <w:tc>
                <w:tcPr>
                  <w:tcW w:w="38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w:t>
                  </w:r>
                </w:p>
              </w:tc>
              <w:tc>
                <w:tcPr>
                  <w:tcW w:w="624"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160</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99.4</w:t>
                  </w:r>
                </w:p>
              </w:tc>
              <w:tc>
                <w:tcPr>
                  <w:tcW w:w="447"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w:t>
                  </w:r>
                </w:p>
              </w:tc>
              <w:tc>
                <w:tcPr>
                  <w:tcW w:w="451" w:type="pct"/>
                  <w:tcBorders>
                    <w:top w:val="single" w:color="000000" w:sz="4" w:space="0"/>
                    <w:left w:val="single" w:color="000000" w:sz="4" w:space="0"/>
                    <w:bottom w:val="single" w:color="000000" w:sz="4" w:space="0"/>
                    <w:right w:val="single" w:color="000000" w:sz="4" w:space="0"/>
                  </w:tcBorders>
                  <w:vAlign w:val="center"/>
                </w:tcPr>
                <w:p>
                  <w:pPr>
                    <w:pStyle w:val="41"/>
                    <w:rPr>
                      <w:rFonts w:hint="default" w:ascii="Times New Roman" w:hAnsi="Times New Roman" w:cs="Times New Roman"/>
                      <w:sz w:val="21"/>
                      <w:szCs w:val="21"/>
                    </w:rPr>
                  </w:pPr>
                  <w:r>
                    <w:rPr>
                      <w:rFonts w:hint="default" w:ascii="Times New Roman" w:hAnsi="Times New Roman" w:cs="Times New Roman"/>
                      <w:sz w:val="21"/>
                      <w:szCs w:val="21"/>
                    </w:rPr>
                    <w:t>达标</w:t>
                  </w:r>
                </w:p>
              </w:tc>
            </w:tr>
          </w:tbl>
          <w:p>
            <w:pPr>
              <w:spacing w:line="460" w:lineRule="exact"/>
              <w:ind w:firstLine="482"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eastAsia="zh-CN"/>
              </w:rPr>
              <w:t>2、地表水环境</w:t>
            </w:r>
          </w:p>
          <w:p>
            <w:pPr>
              <w:spacing w:line="460" w:lineRule="exact"/>
              <w:ind w:firstLine="480" w:firstLineChars="200"/>
              <w:jc w:val="both"/>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项目所在区域相关水体主要为运盐河和排淡河，根据地表水功能规划，排淡河水环境质量执行《地表水环境质量标准》（GB3838-2002）规定的Ⅲ类标准，运盐河上游下游均为排淡河，运盐河水质标准参照排淡河水质标准执行。具体标准值详见表3-</w:t>
            </w:r>
            <w:r>
              <w:rPr>
                <w:rFonts w:hint="default" w:ascii="Times New Roman" w:hAnsi="Times New Roman" w:cs="Times New Roman"/>
                <w:sz w:val="24"/>
                <w:szCs w:val="21"/>
                <w:lang w:val="en-US" w:eastAsia="zh-CN"/>
              </w:rPr>
              <w:t>4</w:t>
            </w:r>
            <w:r>
              <w:rPr>
                <w:rFonts w:hint="default" w:ascii="Times New Roman" w:hAnsi="Times New Roman" w:eastAsia="宋体" w:cs="Times New Roman"/>
                <w:sz w:val="24"/>
                <w:szCs w:val="21"/>
                <w:lang w:val="en-US" w:eastAsia="zh-CN"/>
              </w:rPr>
              <w:t>。</w:t>
            </w:r>
          </w:p>
          <w:p>
            <w:pPr>
              <w:keepNext w:val="0"/>
              <w:keepLines w:val="0"/>
              <w:pageBreakBefore w:val="0"/>
              <w:widowControl w:val="0"/>
              <w:kinsoku/>
              <w:wordWrap/>
              <w:overflowPunct/>
              <w:topLinePunct w:val="0"/>
              <w:autoSpaceDE/>
              <w:autoSpaceDN/>
              <w:bidi w:val="0"/>
              <w:adjustRightInd/>
              <w:snapToGrid w:val="0"/>
              <w:spacing w:line="460" w:lineRule="exact"/>
              <w:jc w:val="center"/>
              <w:textAlignment w:val="auto"/>
              <w:rPr>
                <w:rFonts w:hint="default" w:ascii="Times New Roman" w:hAnsi="Times New Roman" w:eastAsia="宋体" w:cs="Times New Roman"/>
                <w:b/>
                <w:bCs/>
                <w:color w:val="auto"/>
                <w:sz w:val="21"/>
                <w:szCs w:val="21"/>
                <w:lang w:val="en-US" w:eastAsia="zh-CN" w:bidi="zh-CN"/>
              </w:rPr>
            </w:pPr>
            <w:r>
              <w:rPr>
                <w:rFonts w:hint="default" w:ascii="Times New Roman" w:hAnsi="Times New Roman" w:eastAsia="宋体" w:cs="Times New Roman"/>
                <w:b/>
                <w:bCs/>
                <w:color w:val="auto"/>
                <w:sz w:val="21"/>
                <w:szCs w:val="21"/>
                <w:lang w:eastAsia="zh-CN" w:bidi="zh-CN"/>
              </w:rPr>
              <w:t>表</w:t>
            </w:r>
            <w:r>
              <w:rPr>
                <w:rFonts w:hint="default" w:ascii="Times New Roman" w:hAnsi="Times New Roman" w:eastAsia="宋体" w:cs="Times New Roman"/>
                <w:b/>
                <w:bCs/>
                <w:color w:val="auto"/>
                <w:sz w:val="21"/>
                <w:szCs w:val="21"/>
                <w:lang w:val="en-US" w:eastAsia="zh-CN" w:bidi="zh-CN"/>
              </w:rPr>
              <w:t>3-</w:t>
            </w:r>
            <w:r>
              <w:rPr>
                <w:rFonts w:hint="default" w:ascii="Times New Roman" w:hAnsi="Times New Roman" w:cs="Times New Roman"/>
                <w:b/>
                <w:bCs/>
                <w:color w:val="auto"/>
                <w:sz w:val="21"/>
                <w:szCs w:val="21"/>
                <w:lang w:val="en-US" w:eastAsia="zh-CN" w:bidi="zh-CN"/>
              </w:rPr>
              <w:t>4</w:t>
            </w:r>
            <w:r>
              <w:rPr>
                <w:rFonts w:hint="default" w:ascii="Times New Roman" w:hAnsi="Times New Roman" w:eastAsia="宋体" w:cs="Times New Roman"/>
                <w:b/>
                <w:bCs/>
                <w:color w:val="auto"/>
                <w:sz w:val="21"/>
                <w:szCs w:val="21"/>
                <w:lang w:val="en-US" w:eastAsia="zh-CN" w:bidi="zh-CN"/>
              </w:rPr>
              <w:t xml:space="preserve">  地表水执行的标准限值（单位：mg/L，pH无量纲）</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3"/>
              <w:gridCol w:w="2778"/>
              <w:gridCol w:w="2478"/>
              <w:gridCol w:w="25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33"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620"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1445"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Ⅲ类</w:t>
                  </w:r>
                </w:p>
              </w:tc>
              <w:tc>
                <w:tcPr>
                  <w:tcW w:w="1500"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eastAsiaTheme="majorEastAsia"/>
                      <w:b/>
                      <w:bCs/>
                      <w:color w:val="auto"/>
                      <w:sz w:val="21"/>
                      <w:szCs w:val="21"/>
                      <w:highlight w:val="none"/>
                    </w:rPr>
                  </w:pPr>
                  <w:r>
                    <w:rPr>
                      <w:rFonts w:hint="default" w:ascii="Times New Roman" w:hAnsi="Times New Roman" w:cs="Times New Roman" w:eastAsiaTheme="majorEastAsia"/>
                      <w:b/>
                      <w:bCs/>
                      <w:color w:val="auto"/>
                      <w:sz w:val="21"/>
                      <w:szCs w:val="21"/>
                      <w:highlight w:val="non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620"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pH值（无量纲）</w:t>
                  </w:r>
                </w:p>
              </w:tc>
              <w:tc>
                <w:tcPr>
                  <w:tcW w:w="1445"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1500" w:type="pct"/>
                  <w:vMerge w:val="restar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eastAsiaTheme="majorEastAsia"/>
                      <w:color w:val="auto"/>
                      <w:sz w:val="21"/>
                      <w:szCs w:val="21"/>
                      <w:highlight w:val="none"/>
                    </w:rPr>
                  </w:pPr>
                  <w:r>
                    <w:rPr>
                      <w:rFonts w:hint="default" w:ascii="Times New Roman" w:hAnsi="Times New Roman" w:cs="Times New Roman" w:eastAsiaTheme="majorEastAsia"/>
                      <w:color w:val="auto"/>
                      <w:sz w:val="21"/>
                      <w:szCs w:val="21"/>
                      <w:highlight w:val="none"/>
                    </w:rPr>
                    <w:t>《地表水环境质量标准》</w:t>
                  </w:r>
                </w:p>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eastAsiaTheme="majorEastAsia"/>
                      <w:color w:val="auto"/>
                      <w:sz w:val="21"/>
                      <w:szCs w:val="21"/>
                      <w:highlight w:val="none"/>
                    </w:rPr>
                  </w:pPr>
                  <w:r>
                    <w:rPr>
                      <w:rFonts w:hint="default" w:ascii="Times New Roman" w:hAnsi="Times New Roman" w:cs="Times New Roman" w:eastAsiaTheme="majorEastAsia"/>
                      <w:color w:val="auto"/>
                      <w:sz w:val="21"/>
                      <w:szCs w:val="21"/>
                      <w:highlight w:val="none"/>
                    </w:rPr>
                    <w:t>（GB3838-2002）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620"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溶解氧≥</w:t>
                  </w:r>
                </w:p>
              </w:tc>
              <w:tc>
                <w:tcPr>
                  <w:tcW w:w="1445"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w:t>
                  </w:r>
                </w:p>
              </w:tc>
              <w:tc>
                <w:tcPr>
                  <w:tcW w:w="1500" w:type="pct"/>
                  <w:vMerge w:val="continue"/>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eastAsiaTheme="majorEastAsia"/>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620"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化学需氧量（COD）≤</w:t>
                  </w:r>
                </w:p>
              </w:tc>
              <w:tc>
                <w:tcPr>
                  <w:tcW w:w="1445"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20</w:t>
                  </w:r>
                </w:p>
              </w:tc>
              <w:tc>
                <w:tcPr>
                  <w:tcW w:w="1500" w:type="pct"/>
                  <w:vMerge w:val="continue"/>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eastAsiaTheme="majorEastAsia"/>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433"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4</w:t>
                  </w:r>
                </w:p>
              </w:tc>
              <w:tc>
                <w:tcPr>
                  <w:tcW w:w="1620"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1445"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1.0</w:t>
                  </w:r>
                </w:p>
              </w:tc>
              <w:tc>
                <w:tcPr>
                  <w:tcW w:w="1500" w:type="pct"/>
                  <w:vMerge w:val="continue"/>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eastAsiaTheme="majorEastAsia"/>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w:t>
                  </w:r>
                </w:p>
              </w:tc>
              <w:tc>
                <w:tcPr>
                  <w:tcW w:w="1620"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总磷（以P计）≤</w:t>
                  </w:r>
                </w:p>
              </w:tc>
              <w:tc>
                <w:tcPr>
                  <w:tcW w:w="1445"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0.2</w:t>
                  </w:r>
                  <w:r>
                    <w:rPr>
                      <w:rFonts w:hint="default" w:ascii="Times New Roman" w:hAnsi="Times New Roman" w:eastAsia="宋体" w:cs="Times New Roman"/>
                      <w:color w:val="auto"/>
                      <w:sz w:val="21"/>
                      <w:szCs w:val="21"/>
                      <w:highlight w:val="none"/>
                    </w:rPr>
                    <w:t>（湖、库0.</w:t>
                  </w:r>
                  <w:r>
                    <w:rPr>
                      <w:rFonts w:hint="default" w:ascii="Times New Roman" w:hAnsi="Times New Roman" w:eastAsia="宋体"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rPr>
                    <w:t>）</w:t>
                  </w:r>
                </w:p>
              </w:tc>
              <w:tc>
                <w:tcPr>
                  <w:tcW w:w="1500" w:type="pct"/>
                  <w:vMerge w:val="continue"/>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eastAsiaTheme="majorEastAsia"/>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6</w:t>
                  </w:r>
                </w:p>
              </w:tc>
              <w:tc>
                <w:tcPr>
                  <w:tcW w:w="1620"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总氮（湖、库，以N计）≤</w:t>
                  </w:r>
                </w:p>
              </w:tc>
              <w:tc>
                <w:tcPr>
                  <w:tcW w:w="1445" w:type="pc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1.0</w:t>
                  </w:r>
                </w:p>
              </w:tc>
              <w:tc>
                <w:tcPr>
                  <w:tcW w:w="1500" w:type="pct"/>
                  <w:vMerge w:val="continue"/>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eastAsiaTheme="majorEastAsia"/>
                      <w:color w:val="auto"/>
                      <w:szCs w:val="21"/>
                      <w:highlight w:val="none"/>
                    </w:rPr>
                  </w:pPr>
                </w:p>
              </w:tc>
            </w:tr>
          </w:tbl>
          <w:p>
            <w:pPr>
              <w:spacing w:line="460" w:lineRule="exact"/>
              <w:ind w:firstLine="480" w:firstLineChars="200"/>
              <w:jc w:val="both"/>
              <w:rPr>
                <w:rFonts w:hint="default" w:ascii="Times New Roman" w:hAnsi="Times New Roman" w:eastAsia="宋体" w:cs="Times New Roman"/>
                <w:sz w:val="24"/>
                <w:szCs w:val="21"/>
                <w:lang w:val="en-US" w:eastAsia="zh-CN"/>
              </w:rPr>
            </w:pPr>
            <w:r>
              <w:rPr>
                <w:rFonts w:hint="default" w:ascii="Times New Roman" w:hAnsi="Times New Roman" w:eastAsia="宋体" w:cs="Times New Roman"/>
                <w:color w:val="auto"/>
                <w:sz w:val="24"/>
                <w:lang w:eastAsia="zh-CN"/>
              </w:rPr>
              <w:t>本项目地表水引用连云港市生态环境局发布的《202</w:t>
            </w:r>
            <w:r>
              <w:rPr>
                <w:rFonts w:hint="default" w:ascii="Times New Roman" w:hAnsi="Times New Roman" w:cs="Times New Roman"/>
                <w:color w:val="auto"/>
                <w:sz w:val="24"/>
                <w:lang w:val="en-US" w:eastAsia="zh-CN"/>
              </w:rPr>
              <w:t>3</w:t>
            </w:r>
            <w:r>
              <w:rPr>
                <w:rFonts w:hint="default" w:ascii="Times New Roman" w:hAnsi="Times New Roman" w:eastAsia="宋体" w:cs="Times New Roman"/>
                <w:color w:val="auto"/>
                <w:sz w:val="24"/>
                <w:lang w:eastAsia="zh-CN"/>
              </w:rPr>
              <w:t>年</w:t>
            </w:r>
            <w:r>
              <w:rPr>
                <w:rFonts w:hint="default" w:ascii="Times New Roman" w:hAnsi="Times New Roman" w:cs="Times New Roman"/>
                <w:color w:val="auto"/>
                <w:sz w:val="24"/>
                <w:lang w:val="en-US" w:eastAsia="zh-CN"/>
              </w:rPr>
              <w:t>5</w:t>
            </w:r>
            <w:r>
              <w:rPr>
                <w:rFonts w:hint="default" w:ascii="Times New Roman" w:hAnsi="Times New Roman" w:eastAsia="宋体" w:cs="Times New Roman"/>
                <w:color w:val="auto"/>
                <w:sz w:val="24"/>
                <w:lang w:eastAsia="zh-CN"/>
              </w:rPr>
              <w:t>月</w:t>
            </w:r>
            <w:r>
              <w:rPr>
                <w:rFonts w:hint="default" w:ascii="Times New Roman" w:hAnsi="Times New Roman" w:eastAsia="宋体" w:cs="Times New Roman"/>
                <w:sz w:val="24"/>
                <w:szCs w:val="21"/>
                <w:lang w:val="en-US" w:eastAsia="zh-CN"/>
              </w:rPr>
              <w:t>连云港市水环境质量状况》中关于对排淡河的的监测结果：排淡河（大板跳闸断面）</w:t>
            </w:r>
            <w:r>
              <w:rPr>
                <w:rFonts w:hint="default" w:ascii="Times New Roman" w:hAnsi="Times New Roman" w:cs="Times New Roman"/>
                <w:sz w:val="24"/>
                <w:szCs w:val="21"/>
                <w:lang w:val="en-US" w:eastAsia="zh-CN"/>
              </w:rPr>
              <w:t>2023年5</w:t>
            </w:r>
            <w:r>
              <w:rPr>
                <w:rFonts w:hint="default" w:ascii="Times New Roman" w:hAnsi="Times New Roman" w:eastAsia="宋体" w:cs="Times New Roman"/>
                <w:sz w:val="24"/>
                <w:szCs w:val="21"/>
                <w:lang w:val="en-US" w:eastAsia="zh-CN"/>
              </w:rPr>
              <w:t>月水质类别为Ⅲ类水质，符合《地表水环境质量标准（GB3838-2002）》中Ⅲ类水质标准要求。</w:t>
            </w:r>
          </w:p>
          <w:p>
            <w:pPr>
              <w:spacing w:line="460" w:lineRule="exact"/>
              <w:ind w:firstLine="482"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eastAsia="zh-CN"/>
              </w:rPr>
              <w:t>3、声环境</w:t>
            </w:r>
          </w:p>
          <w:p>
            <w:pPr>
              <w:spacing w:line="460" w:lineRule="exact"/>
              <w:ind w:firstLine="480" w:firstLineChars="200"/>
              <w:jc w:val="both"/>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根据《声环境功能区划分技术规范》（GB15190-2014），</w:t>
            </w:r>
            <w:r>
              <w:rPr>
                <w:rFonts w:hint="default" w:ascii="Times New Roman" w:hAnsi="Times New Roman" w:eastAsia="宋体" w:cs="Times New Roman"/>
                <w:sz w:val="24"/>
                <w:szCs w:val="24"/>
                <w:lang w:eastAsia="zh-CN"/>
              </w:rPr>
              <w:t>项目所在区域声环境应执行《声环境质量标准》(GB3096-2008)3类区标准，即昼间≤65dB(A)、夜间≤55dB(A)。根据连云港市环境保护局发布的《202</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eastAsia="zh-CN"/>
              </w:rPr>
              <w:t>年度连云港市环境状况公报》，202</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eastAsia="zh-CN"/>
              </w:rPr>
              <w:t>年，</w:t>
            </w:r>
            <w:r>
              <w:rPr>
                <w:rFonts w:hint="default" w:ascii="Times New Roman" w:hAnsi="Times New Roman" w:eastAsia="宋体" w:cs="Times New Roman"/>
                <w:sz w:val="24"/>
                <w:szCs w:val="24"/>
                <w:lang w:val="en-US" w:eastAsia="zh-CN"/>
              </w:rPr>
              <w:t>市区(含赣榆区)区域环境噪声平均等效声级为 52.8 分贝，达到“较好”等级，市区(含赣榆区)17 个功能区点位共监测 68 个频次，昼间、夜间噪声达标率均为 100%。</w:t>
            </w:r>
            <w:r>
              <w:rPr>
                <w:rFonts w:hint="default" w:ascii="Times New Roman" w:hAnsi="Times New Roman" w:eastAsia="宋体" w:cs="Times New Roman"/>
                <w:sz w:val="24"/>
                <w:szCs w:val="24"/>
                <w:lang w:eastAsia="zh-CN"/>
              </w:rPr>
              <w:t>项目所在区域声环境质量良好，能满足《声环境质量标准》(GB3096-2008)3类昼间标准的要求。</w:t>
            </w:r>
          </w:p>
          <w:p>
            <w:pPr>
              <w:spacing w:line="460" w:lineRule="exact"/>
              <w:ind w:firstLine="482"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eastAsia="zh-CN"/>
              </w:rPr>
              <w:t>4、生态环境</w:t>
            </w:r>
          </w:p>
          <w:p>
            <w:pPr>
              <w:spacing w:line="460" w:lineRule="exact"/>
              <w:ind w:firstLine="480" w:firstLineChars="200"/>
              <w:jc w:val="both"/>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项目用地范围内无生态环境保护目标，无需开展生态现状调查。</w:t>
            </w:r>
          </w:p>
          <w:p>
            <w:pPr>
              <w:spacing w:line="460" w:lineRule="exact"/>
              <w:ind w:firstLine="482"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eastAsia="zh-CN"/>
              </w:rPr>
              <w:t>5、电磁辐射</w:t>
            </w:r>
          </w:p>
          <w:p>
            <w:pPr>
              <w:spacing w:line="460" w:lineRule="exact"/>
              <w:ind w:firstLine="480" w:firstLineChars="200"/>
              <w:jc w:val="both"/>
              <w:rPr>
                <w:rFonts w:hint="default" w:ascii="Times New Roman" w:hAnsi="Times New Roman" w:eastAsia="宋体" w:cs="Times New Roman"/>
                <w:sz w:val="24"/>
                <w:lang w:eastAsia="zh-CN"/>
              </w:rPr>
            </w:pPr>
            <w:r>
              <w:rPr>
                <w:rFonts w:hint="default" w:ascii="Times New Roman" w:hAnsi="Times New Roman" w:eastAsia="宋体" w:cs="Times New Roman"/>
                <w:sz w:val="24"/>
                <w:lang w:eastAsia="zh-CN"/>
              </w:rPr>
              <w:t>项目不涉及电磁辐射，无需开展电磁辐射现状调查。</w:t>
            </w:r>
          </w:p>
          <w:p>
            <w:pPr>
              <w:spacing w:line="460" w:lineRule="exact"/>
              <w:ind w:firstLine="482"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eastAsia="zh-CN"/>
              </w:rPr>
              <w:t>6、地下水、</w:t>
            </w:r>
            <w:r>
              <w:rPr>
                <w:rFonts w:hint="default" w:ascii="Times New Roman" w:hAnsi="Times New Roman" w:eastAsia="宋体" w:cs="Times New Roman"/>
                <w:b/>
                <w:bCs/>
                <w:sz w:val="24"/>
                <w:lang w:val="en-US" w:eastAsia="zh-CN"/>
              </w:rPr>
              <w:t>土壤</w:t>
            </w:r>
            <w:r>
              <w:rPr>
                <w:rFonts w:hint="default" w:ascii="Times New Roman" w:hAnsi="Times New Roman" w:eastAsia="宋体" w:cs="Times New Roman"/>
                <w:b/>
                <w:bCs/>
                <w:sz w:val="24"/>
                <w:lang w:eastAsia="zh-CN"/>
              </w:rPr>
              <w:t>环境</w:t>
            </w:r>
          </w:p>
          <w:p>
            <w:pPr>
              <w:spacing w:line="460" w:lineRule="exact"/>
              <w:ind w:firstLine="480" w:firstLineChars="200"/>
              <w:jc w:val="both"/>
              <w:rPr>
                <w:rFonts w:hint="default" w:ascii="Times New Roman" w:hAnsi="Times New Roman" w:eastAsia="宋体" w:cs="Times New Roman"/>
                <w:lang w:eastAsia="zh-CN"/>
              </w:rPr>
            </w:pPr>
            <w:r>
              <w:rPr>
                <w:rFonts w:hint="default" w:ascii="Times New Roman" w:hAnsi="Times New Roman" w:eastAsia="宋体" w:cs="Times New Roman"/>
                <w:b w:val="0"/>
                <w:bCs w:val="0"/>
                <w:color w:val="auto"/>
                <w:sz w:val="24"/>
                <w:lang w:val="en-US" w:eastAsia="zh-CN"/>
              </w:rPr>
              <w:t>项目不存在土壤、地下水环境污染途径，不开展地下水、土壤环境质量现状调查。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5" w:type="pct"/>
            <w:vAlign w:val="center"/>
          </w:tcPr>
          <w:p>
            <w:pPr>
              <w:jc w:val="center"/>
              <w:rPr>
                <w:rFonts w:hint="default" w:ascii="Times New Roman" w:hAnsi="Times New Roman" w:eastAsia="宋体" w:cs="Times New Roman"/>
                <w:spacing w:val="-1"/>
                <w:sz w:val="24"/>
                <w:szCs w:val="24"/>
                <w:lang w:eastAsia="zh-CN"/>
              </w:rPr>
            </w:pPr>
            <w:r>
              <w:rPr>
                <w:rFonts w:hint="default" w:ascii="Times New Roman" w:hAnsi="Times New Roman" w:eastAsia="宋体" w:cs="Times New Roman"/>
                <w:spacing w:val="-1"/>
                <w:sz w:val="24"/>
                <w:szCs w:val="24"/>
                <w:lang w:eastAsia="zh-CN"/>
              </w:rPr>
              <w:t>环境保护目标</w:t>
            </w:r>
          </w:p>
        </w:tc>
        <w:tc>
          <w:tcPr>
            <w:tcW w:w="4694" w:type="pct"/>
          </w:tcPr>
          <w:p>
            <w:pPr>
              <w:spacing w:line="460" w:lineRule="exact"/>
              <w:ind w:firstLine="482"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val="en-US" w:eastAsia="zh-CN"/>
              </w:rPr>
              <w:t xml:space="preserve">1、大气环境 </w:t>
            </w:r>
          </w:p>
          <w:p>
            <w:pPr>
              <w:spacing w:line="460" w:lineRule="exact"/>
              <w:ind w:firstLine="480" w:firstLineChars="200"/>
              <w:jc w:val="both"/>
              <w:rPr>
                <w:rFonts w:hint="default" w:ascii="Times New Roman" w:hAnsi="Times New Roman" w:eastAsia="宋体" w:cs="Times New Roman"/>
                <w:sz w:val="24"/>
                <w:lang w:eastAsia="zh-CN"/>
              </w:rPr>
            </w:pPr>
            <w:r>
              <w:rPr>
                <w:rFonts w:hint="default" w:ascii="Times New Roman" w:hAnsi="Times New Roman" w:eastAsia="宋体" w:cs="Times New Roman"/>
                <w:sz w:val="24"/>
                <w:lang w:val="en-US" w:eastAsia="zh-CN"/>
              </w:rPr>
              <w:t>本项目厂界外 500 米范围内的自然保护区、风景名胜区、居住区、文化区和农村地区中人群较集中的区域等保护目标，见表 3-</w:t>
            </w:r>
            <w:r>
              <w:rPr>
                <w:rFonts w:hint="default" w:ascii="Times New Roman" w:hAnsi="Times New Roman" w:cs="Times New Roman"/>
                <w:sz w:val="24"/>
                <w:lang w:val="en-US" w:eastAsia="zh-CN"/>
              </w:rPr>
              <w:t>5</w:t>
            </w:r>
            <w:r>
              <w:rPr>
                <w:rFonts w:hint="default" w:ascii="Times New Roman" w:hAnsi="Times New Roman" w:eastAsia="宋体" w:cs="Times New Roman"/>
                <w:sz w:val="24"/>
                <w:lang w:val="en-US" w:eastAsia="zh-CN"/>
              </w:rPr>
              <w:t xml:space="preserve">。 </w:t>
            </w:r>
          </w:p>
          <w:p>
            <w:pPr>
              <w:spacing w:line="460" w:lineRule="exact"/>
              <w:ind w:firstLine="482"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val="en-US" w:eastAsia="zh-CN"/>
              </w:rPr>
              <w:t xml:space="preserve">2、声环境 </w:t>
            </w:r>
          </w:p>
          <w:p>
            <w:pPr>
              <w:spacing w:line="460" w:lineRule="exact"/>
              <w:ind w:firstLine="480" w:firstLineChars="200"/>
              <w:jc w:val="both"/>
              <w:rPr>
                <w:rFonts w:hint="default" w:ascii="Times New Roman" w:hAnsi="Times New Roman" w:eastAsia="宋体" w:cs="Times New Roman"/>
                <w:sz w:val="24"/>
                <w:lang w:eastAsia="zh-CN"/>
              </w:rPr>
            </w:pPr>
            <w:r>
              <w:rPr>
                <w:rFonts w:hint="default" w:ascii="Times New Roman" w:hAnsi="Times New Roman" w:eastAsia="宋体" w:cs="Times New Roman"/>
                <w:sz w:val="24"/>
                <w:lang w:val="en-US" w:eastAsia="zh-CN"/>
              </w:rPr>
              <w:t xml:space="preserve">本改建项目车间外 50 米范围内无声环境保护目标。 </w:t>
            </w:r>
          </w:p>
          <w:p>
            <w:pPr>
              <w:spacing w:line="460" w:lineRule="exact"/>
              <w:ind w:firstLine="482"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val="en-US" w:eastAsia="zh-CN"/>
              </w:rPr>
              <w:t xml:space="preserve">3、地下水环境 </w:t>
            </w:r>
          </w:p>
          <w:p>
            <w:pPr>
              <w:spacing w:line="460" w:lineRule="exact"/>
              <w:ind w:firstLine="480" w:firstLineChars="200"/>
              <w:jc w:val="both"/>
              <w:rPr>
                <w:rFonts w:hint="default" w:ascii="Times New Roman" w:hAnsi="Times New Roman" w:eastAsia="宋体" w:cs="Times New Roman"/>
                <w:sz w:val="24"/>
                <w:lang w:eastAsia="zh-CN"/>
              </w:rPr>
            </w:pPr>
            <w:r>
              <w:rPr>
                <w:rFonts w:hint="default" w:ascii="Times New Roman" w:hAnsi="Times New Roman" w:eastAsia="宋体" w:cs="Times New Roman"/>
                <w:sz w:val="24"/>
                <w:lang w:val="en-US" w:eastAsia="zh-CN"/>
              </w:rPr>
              <w:t xml:space="preserve">本项目厂界 500 米范围内无地下水集中式饮用水水源和热水、矿泉水、温泉等特殊地下水资源。 </w:t>
            </w:r>
          </w:p>
          <w:p>
            <w:pPr>
              <w:spacing w:line="460" w:lineRule="exact"/>
              <w:ind w:firstLine="482"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val="en-US" w:eastAsia="zh-CN"/>
              </w:rPr>
              <w:t xml:space="preserve">4、生态环境 </w:t>
            </w:r>
          </w:p>
          <w:p>
            <w:pPr>
              <w:spacing w:line="460" w:lineRule="exact"/>
              <w:ind w:firstLine="480" w:firstLineChars="200"/>
              <w:jc w:val="both"/>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本项目位于江苏省</w:t>
            </w:r>
            <w:r>
              <w:rPr>
                <w:rFonts w:hint="default" w:ascii="Times New Roman" w:hAnsi="Times New Roman" w:eastAsia="宋体" w:cs="Times New Roman"/>
                <w:sz w:val="24"/>
              </w:rPr>
              <w:t>连云港经济技术开发区东方大道36号</w:t>
            </w:r>
            <w:r>
              <w:rPr>
                <w:rFonts w:hint="default" w:ascii="Times New Roman" w:hAnsi="Times New Roman" w:eastAsia="宋体" w:cs="Times New Roman"/>
                <w:sz w:val="24"/>
                <w:lang w:val="en-US" w:eastAsia="zh-CN"/>
              </w:rPr>
              <w:t xml:space="preserve">，项目用地内无生态环境保护目标，项目正常工况和非正常工况下对生态环境影响较小。项目生产过程中产生的废气经相应废气处理措施处理后，对周边陆生生态环境影响较小；项目生产过程中无废水排放。项目建设对生态环境影响较小。 </w:t>
            </w:r>
          </w:p>
          <w:p>
            <w:pPr>
              <w:keepNext w:val="0"/>
              <w:keepLines w:val="0"/>
              <w:pageBreakBefore w:val="0"/>
              <w:widowControl w:val="0"/>
              <w:kinsoku/>
              <w:wordWrap/>
              <w:overflowPunct/>
              <w:topLinePunct w:val="0"/>
              <w:autoSpaceDE/>
              <w:autoSpaceDN/>
              <w:bidi w:val="0"/>
              <w:adjustRightInd/>
              <w:snapToGrid w:val="0"/>
              <w:spacing w:line="460" w:lineRule="exact"/>
              <w:jc w:val="center"/>
              <w:textAlignment w:val="auto"/>
              <w:rPr>
                <w:rFonts w:hint="default" w:ascii="Times New Roman" w:hAnsi="Times New Roman" w:cs="Times New Roman"/>
                <w:lang w:val="en-US" w:eastAsia="zh-CN"/>
              </w:rPr>
            </w:pPr>
            <w:r>
              <w:rPr>
                <w:rFonts w:hint="default" w:ascii="Times New Roman" w:hAnsi="Times New Roman" w:eastAsia="宋体" w:cs="Times New Roman"/>
                <w:b/>
                <w:bCs/>
                <w:color w:val="auto"/>
                <w:sz w:val="21"/>
                <w:szCs w:val="21"/>
                <w:lang w:val="en-US" w:eastAsia="zh-CN" w:bidi="zh-CN"/>
              </w:rPr>
              <w:t>表3-5 项目主要大气环境保护目标表</w:t>
            </w:r>
          </w:p>
          <w:tbl>
            <w:tblPr>
              <w:tblStyle w:val="24"/>
              <w:tblW w:w="85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3"/>
              <w:gridCol w:w="1073"/>
              <w:gridCol w:w="1073"/>
              <w:gridCol w:w="1073"/>
              <w:gridCol w:w="1073"/>
              <w:gridCol w:w="1073"/>
              <w:gridCol w:w="1073"/>
              <w:gridCol w:w="1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73" w:type="dxa"/>
                  <w:vMerge w:val="restar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环境保护对象名称</w:t>
                  </w:r>
                </w:p>
              </w:tc>
              <w:tc>
                <w:tcPr>
                  <w:tcW w:w="2146" w:type="dxa"/>
                  <w:gridSpan w:val="2"/>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坐标/m</w:t>
                  </w:r>
                </w:p>
              </w:tc>
              <w:tc>
                <w:tcPr>
                  <w:tcW w:w="1073" w:type="dxa"/>
                  <w:vMerge w:val="restar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保护对象</w:t>
                  </w:r>
                </w:p>
              </w:tc>
              <w:tc>
                <w:tcPr>
                  <w:tcW w:w="1073" w:type="dxa"/>
                  <w:vMerge w:val="restar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保护内容</w:t>
                  </w:r>
                </w:p>
              </w:tc>
              <w:tc>
                <w:tcPr>
                  <w:tcW w:w="1073" w:type="dxa"/>
                  <w:vMerge w:val="restar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环境功能区划</w:t>
                  </w:r>
                </w:p>
              </w:tc>
              <w:tc>
                <w:tcPr>
                  <w:tcW w:w="1073" w:type="dxa"/>
                  <w:vMerge w:val="restar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方位</w:t>
                  </w:r>
                </w:p>
              </w:tc>
              <w:tc>
                <w:tcPr>
                  <w:tcW w:w="1073" w:type="dxa"/>
                  <w:vMerge w:val="restar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c>
                <w:tcPr>
                  <w:tcW w:w="1073" w:type="dxa"/>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X</w:t>
                  </w:r>
                </w:p>
              </w:tc>
              <w:tc>
                <w:tcPr>
                  <w:tcW w:w="1073" w:type="dxa"/>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Y</w:t>
                  </w:r>
                </w:p>
              </w:tc>
              <w:tc>
                <w:tcPr>
                  <w:tcW w:w="1073" w:type="dxa"/>
                  <w:vMerge w:val="continue"/>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c>
                <w:tcPr>
                  <w:tcW w:w="1073" w:type="dxa"/>
                  <w:vMerge w:val="continue"/>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c>
                <w:tcPr>
                  <w:tcW w:w="1073" w:type="dxa"/>
                  <w:vMerge w:val="continue"/>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c>
                <w:tcPr>
                  <w:tcW w:w="1073" w:type="dxa"/>
                  <w:vMerge w:val="continue"/>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c>
                <w:tcPr>
                  <w:tcW w:w="1073" w:type="dxa"/>
                  <w:vMerge w:val="continue"/>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华盖山派出所</w:t>
                  </w:r>
                </w:p>
              </w:tc>
              <w:tc>
                <w:tcPr>
                  <w:tcW w:w="1073"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w:t>
                  </w:r>
                </w:p>
              </w:tc>
              <w:tc>
                <w:tcPr>
                  <w:tcW w:w="1073"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-135</w:t>
                  </w:r>
                </w:p>
              </w:tc>
              <w:tc>
                <w:tcPr>
                  <w:tcW w:w="1073"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办公区</w:t>
                  </w:r>
                </w:p>
              </w:tc>
              <w:tc>
                <w:tcPr>
                  <w:tcW w:w="1073"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人身健康</w:t>
                  </w:r>
                </w:p>
              </w:tc>
              <w:tc>
                <w:tcPr>
                  <w:tcW w:w="1073"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二类区</w:t>
                  </w:r>
                </w:p>
              </w:tc>
              <w:tc>
                <w:tcPr>
                  <w:tcW w:w="1073"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SW</w:t>
                  </w:r>
                </w:p>
              </w:tc>
              <w:tc>
                <w:tcPr>
                  <w:tcW w:w="1073"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约140</w:t>
                  </w:r>
                </w:p>
              </w:tc>
            </w:tr>
          </w:tbl>
          <w:p>
            <w:pPr>
              <w:pStyle w:val="18"/>
              <w:keepNext w:val="0"/>
              <w:keepLines w:val="0"/>
              <w:widowControl/>
              <w:suppressLineNumbers w:val="0"/>
              <w:spacing w:before="0" w:beforeAutospacing="0" w:after="0" w:afterAutospacing="0"/>
              <w:ind w:left="0" w:right="0" w:firstLine="0"/>
              <w:jc w:val="both"/>
              <w:rPr>
                <w:rFonts w:hint="default" w:ascii="Times New Roman" w:hAnsi="Times New Roman" w:cs="Times New Roman"/>
                <w:sz w:val="21"/>
                <w:szCs w:val="21"/>
              </w:rPr>
            </w:pPr>
            <w:r>
              <w:rPr>
                <w:rFonts w:hint="default" w:ascii="Times New Roman" w:hAnsi="Times New Roman" w:cs="Times New Roman"/>
                <w:sz w:val="21"/>
                <w:szCs w:val="21"/>
                <w:lang w:val="en-US" w:eastAsia="zh-CN"/>
              </w:rPr>
              <w:t>注：</w:t>
            </w:r>
            <w:r>
              <w:rPr>
                <w:rFonts w:hint="default" w:ascii="Times New Roman" w:hAnsi="Times New Roman" w:cs="Times New Roman"/>
                <w:sz w:val="21"/>
                <w:szCs w:val="21"/>
              </w:rPr>
              <w:t>本次评价以厂区厂界为原点，坐标(0,0)</w:t>
            </w:r>
            <w:r>
              <w:rPr>
                <w:rFonts w:hint="default" w:ascii="Times New Roman" w:hAnsi="Times New Roman" w:cs="Times New Roman"/>
                <w:sz w:val="21"/>
                <w:szCs w:val="21"/>
                <w:lang w:eastAsia="zh-CN"/>
              </w:rPr>
              <w:t>，</w:t>
            </w:r>
            <w:r>
              <w:rPr>
                <w:rFonts w:hint="default" w:ascii="Times New Roman" w:hAnsi="Times New Roman" w:cs="Times New Roman"/>
                <w:sz w:val="21"/>
                <w:szCs w:val="21"/>
              </w:rPr>
              <w:t>东西方向为X轴、南北方向为Y轴，保护目标坐标为相对坐标。</w:t>
            </w:r>
          </w:p>
          <w:p>
            <w:pPr>
              <w:keepNext w:val="0"/>
              <w:keepLines w:val="0"/>
              <w:pageBreakBefore w:val="0"/>
              <w:widowControl w:val="0"/>
              <w:kinsoku/>
              <w:wordWrap/>
              <w:overflowPunct/>
              <w:topLinePunct w:val="0"/>
              <w:autoSpaceDE/>
              <w:autoSpaceDN/>
              <w:bidi w:val="0"/>
              <w:adjustRightInd/>
              <w:snapToGrid w:val="0"/>
              <w:spacing w:line="460" w:lineRule="exact"/>
              <w:jc w:val="center"/>
              <w:textAlignment w:val="auto"/>
              <w:rPr>
                <w:rFonts w:hint="default" w:ascii="Times New Roman" w:hAnsi="Times New Roman" w:cs="Times New Roman"/>
                <w:lang w:val="en-US" w:eastAsia="zh-CN"/>
              </w:rPr>
            </w:pPr>
            <w:r>
              <w:rPr>
                <w:rFonts w:hint="default" w:ascii="Times New Roman" w:hAnsi="Times New Roman" w:eastAsia="宋体" w:cs="Times New Roman"/>
                <w:b/>
                <w:bCs/>
                <w:color w:val="auto"/>
                <w:sz w:val="21"/>
                <w:szCs w:val="21"/>
                <w:lang w:val="en-US" w:eastAsia="zh-CN" w:bidi="zh-CN"/>
              </w:rPr>
              <w:t>表3-</w:t>
            </w:r>
            <w:r>
              <w:rPr>
                <w:rFonts w:hint="default" w:ascii="Times New Roman" w:hAnsi="Times New Roman" w:cs="Times New Roman"/>
                <w:b/>
                <w:bCs/>
                <w:color w:val="auto"/>
                <w:sz w:val="21"/>
                <w:szCs w:val="21"/>
                <w:lang w:val="en-US" w:eastAsia="zh-CN" w:bidi="zh-CN"/>
              </w:rPr>
              <w:t>6</w:t>
            </w:r>
            <w:r>
              <w:rPr>
                <w:rFonts w:hint="default" w:ascii="Times New Roman" w:hAnsi="Times New Roman" w:eastAsia="宋体" w:cs="Times New Roman"/>
                <w:b/>
                <w:bCs/>
                <w:color w:val="auto"/>
                <w:sz w:val="21"/>
                <w:szCs w:val="21"/>
                <w:lang w:val="en-US" w:eastAsia="zh-CN" w:bidi="zh-CN"/>
              </w:rPr>
              <w:t xml:space="preserve"> 项目</w:t>
            </w:r>
            <w:r>
              <w:rPr>
                <w:rFonts w:hint="default" w:ascii="Times New Roman" w:hAnsi="Times New Roman" w:cs="Times New Roman"/>
                <w:b/>
                <w:bCs/>
                <w:color w:val="auto"/>
                <w:sz w:val="21"/>
                <w:szCs w:val="21"/>
                <w:lang w:val="en-US" w:eastAsia="zh-CN" w:bidi="zh-CN"/>
              </w:rPr>
              <w:t>其他主要</w:t>
            </w:r>
            <w:r>
              <w:rPr>
                <w:rFonts w:hint="default" w:ascii="Times New Roman" w:hAnsi="Times New Roman" w:eastAsia="宋体" w:cs="Times New Roman"/>
                <w:b/>
                <w:bCs/>
                <w:color w:val="auto"/>
                <w:sz w:val="21"/>
                <w:szCs w:val="21"/>
                <w:lang w:val="en-US" w:eastAsia="zh-CN" w:bidi="zh-CN"/>
              </w:rPr>
              <w:t>环境保护目标表</w:t>
            </w:r>
          </w:p>
          <w:tbl>
            <w:tblPr>
              <w:tblStyle w:val="24"/>
              <w:tblW w:w="85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2"/>
              <w:gridCol w:w="1640"/>
              <w:gridCol w:w="749"/>
              <w:gridCol w:w="889"/>
              <w:gridCol w:w="678"/>
              <w:gridCol w:w="1477"/>
              <w:gridCol w:w="2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12"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环境要素</w:t>
                  </w:r>
                </w:p>
              </w:tc>
              <w:tc>
                <w:tcPr>
                  <w:tcW w:w="1640"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保护对象名称</w:t>
                  </w:r>
                </w:p>
              </w:tc>
              <w:tc>
                <w:tcPr>
                  <w:tcW w:w="749"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方位</w:t>
                  </w:r>
                </w:p>
              </w:tc>
              <w:tc>
                <w:tcPr>
                  <w:tcW w:w="889"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距离（m）</w:t>
                  </w:r>
                </w:p>
              </w:tc>
              <w:tc>
                <w:tcPr>
                  <w:tcW w:w="678"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规模</w:t>
                  </w:r>
                </w:p>
              </w:tc>
              <w:tc>
                <w:tcPr>
                  <w:tcW w:w="1477"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环境功能</w:t>
                  </w:r>
                </w:p>
              </w:tc>
              <w:tc>
                <w:tcPr>
                  <w:tcW w:w="2339"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2" w:type="dxa"/>
                  <w:vMerge w:val="restar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水环境</w:t>
                  </w:r>
                </w:p>
              </w:tc>
              <w:tc>
                <w:tcPr>
                  <w:tcW w:w="1640"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运盐河</w:t>
                  </w:r>
                </w:p>
              </w:tc>
              <w:tc>
                <w:tcPr>
                  <w:tcW w:w="749"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w:t>
                  </w:r>
                </w:p>
              </w:tc>
              <w:tc>
                <w:tcPr>
                  <w:tcW w:w="889"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约220</w:t>
                  </w:r>
                </w:p>
              </w:tc>
              <w:tc>
                <w:tcPr>
                  <w:tcW w:w="678"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小型</w:t>
                  </w:r>
                </w:p>
              </w:tc>
              <w:tc>
                <w:tcPr>
                  <w:tcW w:w="1477" w:type="dxa"/>
                  <w:vMerge w:val="restar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工业、农业用水区</w:t>
                  </w:r>
                </w:p>
              </w:tc>
              <w:tc>
                <w:tcPr>
                  <w:tcW w:w="2339" w:type="dxa"/>
                  <w:vMerge w:val="restar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《地表水环境质量标准》（GB3838-2002）Ⅲ类标准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dxa"/>
                  <w:vMerge w:val="continue"/>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p>
              </w:tc>
              <w:tc>
                <w:tcPr>
                  <w:tcW w:w="1640"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排淡河</w:t>
                  </w:r>
                </w:p>
              </w:tc>
              <w:tc>
                <w:tcPr>
                  <w:tcW w:w="749"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SW</w:t>
                  </w:r>
                </w:p>
              </w:tc>
              <w:tc>
                <w:tcPr>
                  <w:tcW w:w="889"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约760</w:t>
                  </w:r>
                </w:p>
              </w:tc>
              <w:tc>
                <w:tcPr>
                  <w:tcW w:w="678"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小型</w:t>
                  </w:r>
                </w:p>
              </w:tc>
              <w:tc>
                <w:tcPr>
                  <w:tcW w:w="1477" w:type="dxa"/>
                  <w:vMerge w:val="continue"/>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p>
              </w:tc>
              <w:tc>
                <w:tcPr>
                  <w:tcW w:w="2339" w:type="dxa"/>
                  <w:vMerge w:val="continue"/>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声环境</w:t>
                  </w:r>
                </w:p>
              </w:tc>
              <w:tc>
                <w:tcPr>
                  <w:tcW w:w="1640"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华盖山派出所</w:t>
                  </w:r>
                </w:p>
              </w:tc>
              <w:tc>
                <w:tcPr>
                  <w:tcW w:w="749" w:type="dxa"/>
                  <w:vAlign w:val="center"/>
                </w:tcPr>
                <w:p>
                  <w:pPr>
                    <w:keepNext w:val="0"/>
                    <w:keepLines w:val="0"/>
                    <w:suppressLineNumbers w:val="0"/>
                    <w:shd w:val="clear"/>
                    <w:adjustRightInd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SW</w:t>
                  </w:r>
                </w:p>
              </w:tc>
              <w:tc>
                <w:tcPr>
                  <w:tcW w:w="889" w:type="dxa"/>
                  <w:vAlign w:val="center"/>
                </w:tcPr>
                <w:p>
                  <w:pPr>
                    <w:keepNext w:val="0"/>
                    <w:keepLines w:val="0"/>
                    <w:suppressLineNumbers w:val="0"/>
                    <w:shd w:val="clear"/>
                    <w:adjustRightInd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约140</w:t>
                  </w:r>
                </w:p>
              </w:tc>
              <w:tc>
                <w:tcPr>
                  <w:tcW w:w="678"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477"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2339"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《声环境质量标准》(GB3096-2008)2类标准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dxa"/>
                  <w:vMerge w:val="restar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生态环境</w:t>
                  </w:r>
                </w:p>
              </w:tc>
              <w:tc>
                <w:tcPr>
                  <w:tcW w:w="1640"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连云港云台山风景名胜区</w:t>
                  </w:r>
                </w:p>
              </w:tc>
              <w:tc>
                <w:tcPr>
                  <w:tcW w:w="749" w:type="dxa"/>
                  <w:vAlign w:val="center"/>
                </w:tcPr>
                <w:p>
                  <w:pPr>
                    <w:keepNext w:val="0"/>
                    <w:keepLines w:val="0"/>
                    <w:suppressLineNumbers w:val="0"/>
                    <w:shd w:val="clear"/>
                    <w:adjustRightInd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w:t>
                  </w:r>
                </w:p>
              </w:tc>
              <w:tc>
                <w:tcPr>
                  <w:tcW w:w="889" w:type="dxa"/>
                  <w:vAlign w:val="center"/>
                </w:tcPr>
                <w:p>
                  <w:pPr>
                    <w:keepNext w:val="0"/>
                    <w:keepLines w:val="0"/>
                    <w:suppressLineNumbers w:val="0"/>
                    <w:shd w:val="clear"/>
                    <w:adjustRightInd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2540</w:t>
                  </w:r>
                </w:p>
              </w:tc>
              <w:tc>
                <w:tcPr>
                  <w:tcW w:w="678"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477" w:type="dxa"/>
                  <w:vMerge w:val="restar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自然与人文景观保护</w:t>
                  </w:r>
                </w:p>
              </w:tc>
              <w:tc>
                <w:tcPr>
                  <w:tcW w:w="2339" w:type="dxa"/>
                  <w:vMerge w:val="restart"/>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生态空间管控区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 w:type="dxa"/>
                  <w:vMerge w:val="continue"/>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p>
              </w:tc>
              <w:tc>
                <w:tcPr>
                  <w:tcW w:w="1640"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云台山国家级森林公园</w:t>
                  </w:r>
                </w:p>
              </w:tc>
              <w:tc>
                <w:tcPr>
                  <w:tcW w:w="749" w:type="dxa"/>
                  <w:vAlign w:val="center"/>
                </w:tcPr>
                <w:p>
                  <w:pPr>
                    <w:keepNext w:val="0"/>
                    <w:keepLines w:val="0"/>
                    <w:suppressLineNumbers w:val="0"/>
                    <w:shd w:val="clear"/>
                    <w:adjustRightInd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SE</w:t>
                  </w:r>
                </w:p>
              </w:tc>
              <w:tc>
                <w:tcPr>
                  <w:tcW w:w="889" w:type="dxa"/>
                  <w:vAlign w:val="center"/>
                </w:tcPr>
                <w:p>
                  <w:pPr>
                    <w:keepNext w:val="0"/>
                    <w:keepLines w:val="0"/>
                    <w:suppressLineNumbers w:val="0"/>
                    <w:shd w:val="clear"/>
                    <w:adjustRightInd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5230</w:t>
                  </w:r>
                </w:p>
              </w:tc>
              <w:tc>
                <w:tcPr>
                  <w:tcW w:w="678" w:type="dxa"/>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477" w:type="dxa"/>
                  <w:vMerge w:val="continue"/>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p>
              </w:tc>
              <w:tc>
                <w:tcPr>
                  <w:tcW w:w="2339" w:type="dxa"/>
                  <w:vMerge w:val="continue"/>
                  <w:vAlign w:val="center"/>
                </w:tcPr>
                <w:p>
                  <w:pPr>
                    <w:keepNext w:val="0"/>
                    <w:keepLines w:val="0"/>
                    <w:suppressLineNumbers w:val="0"/>
                    <w:shd w:val="clear"/>
                    <w:adjustRightInd w:val="0"/>
                    <w:snapToGrid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p>
              </w:tc>
            </w:tr>
          </w:tbl>
          <w:p>
            <w:pPr>
              <w:pStyle w:val="7"/>
              <w:jc w:val="both"/>
              <w:rPr>
                <w:rFonts w:hint="default" w:ascii="Times New Roman" w:hAnsi="Times New Roman" w:cs="Times New Roman"/>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8" w:hRule="atLeast"/>
          <w:jc w:val="center"/>
        </w:trPr>
        <w:tc>
          <w:tcPr>
            <w:tcW w:w="305" w:type="pct"/>
            <w:vAlign w:val="center"/>
          </w:tcPr>
          <w:p>
            <w:pPr>
              <w:jc w:val="center"/>
              <w:rPr>
                <w:rFonts w:hint="default" w:ascii="Times New Roman" w:hAnsi="Times New Roman" w:eastAsia="宋体" w:cs="Times New Roman"/>
                <w:spacing w:val="-1"/>
                <w:sz w:val="24"/>
                <w:szCs w:val="24"/>
                <w:lang w:eastAsia="zh-CN"/>
              </w:rPr>
            </w:pPr>
            <w:r>
              <w:rPr>
                <w:rFonts w:hint="default" w:ascii="Times New Roman" w:hAnsi="Times New Roman" w:eastAsia="宋体" w:cs="Times New Roman"/>
                <w:spacing w:val="-1"/>
                <w:sz w:val="24"/>
                <w:szCs w:val="24"/>
                <w:lang w:eastAsia="zh-CN"/>
              </w:rPr>
              <w:t>污染物排放控制标准</w:t>
            </w:r>
          </w:p>
        </w:tc>
        <w:tc>
          <w:tcPr>
            <w:tcW w:w="4694" w:type="pct"/>
          </w:tcPr>
          <w:p>
            <w:pPr>
              <w:spacing w:line="460" w:lineRule="exact"/>
              <w:ind w:firstLine="482" w:firstLineChars="200"/>
              <w:jc w:val="both"/>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t>1、废气排放标准</w:t>
            </w:r>
          </w:p>
          <w:p>
            <w:pPr>
              <w:spacing w:line="460" w:lineRule="exact"/>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项目运营期</w:t>
            </w:r>
            <w:r>
              <w:rPr>
                <w:rFonts w:hint="eastAsia" w:ascii="Times New Roman" w:hAnsi="Times New Roman" w:eastAsia="宋体" w:cs="Times New Roman"/>
                <w:color w:val="auto"/>
                <w:sz w:val="24"/>
                <w:lang w:val="en-US" w:eastAsia="zh-CN"/>
              </w:rPr>
              <w:t>涂膜、印刷工序</w:t>
            </w:r>
            <w:r>
              <w:rPr>
                <w:rFonts w:hint="default" w:ascii="Times New Roman" w:hAnsi="Times New Roman" w:eastAsia="宋体" w:cs="Times New Roman"/>
                <w:color w:val="auto"/>
                <w:sz w:val="24"/>
                <w:lang w:val="en-US" w:eastAsia="zh-CN"/>
              </w:rPr>
              <w:t>产生的有组织非甲烷总烃废气</w:t>
            </w:r>
            <w:r>
              <w:rPr>
                <w:rFonts w:hint="eastAsia" w:ascii="Times New Roman" w:hAnsi="Times New Roman" w:cs="Times New Roman"/>
                <w:color w:val="auto"/>
                <w:sz w:val="24"/>
                <w:lang w:val="en-US" w:eastAsia="zh-CN"/>
              </w:rPr>
              <w:t>参照</w:t>
            </w:r>
            <w:r>
              <w:rPr>
                <w:rFonts w:hint="default" w:ascii="Times New Roman" w:hAnsi="Times New Roman" w:eastAsia="宋体" w:cs="Times New Roman"/>
                <w:color w:val="auto"/>
                <w:sz w:val="24"/>
                <w:lang w:val="en-US" w:eastAsia="zh-CN"/>
              </w:rPr>
              <w:t>执行</w:t>
            </w:r>
            <w:r>
              <w:rPr>
                <w:rFonts w:hint="eastAsia" w:ascii="Times New Roman" w:hAnsi="Times New Roman" w:eastAsia="宋体" w:cs="Times New Roman"/>
                <w:color w:val="auto"/>
                <w:sz w:val="24"/>
                <w:lang w:val="en-US" w:eastAsia="zh-CN"/>
              </w:rPr>
              <w:t>《工业涂装工序大气污染物排放标准》（DB32/4439-2022）</w:t>
            </w:r>
            <w:r>
              <w:rPr>
                <w:rFonts w:hint="eastAsia" w:ascii="Times New Roman" w:hAnsi="Times New Roman" w:cs="Times New Roman"/>
                <w:color w:val="auto"/>
                <w:sz w:val="24"/>
                <w:lang w:val="en-US" w:eastAsia="zh-CN"/>
              </w:rPr>
              <w:t>表1中排放标准，</w:t>
            </w:r>
            <w:r>
              <w:rPr>
                <w:rFonts w:hint="default" w:ascii="Times New Roman" w:hAnsi="Times New Roman" w:eastAsia="宋体" w:cs="Times New Roman"/>
                <w:color w:val="auto"/>
                <w:sz w:val="24"/>
                <w:lang w:val="en-US" w:eastAsia="zh-CN"/>
              </w:rPr>
              <w:t>厂区内非甲烷总烃无组织排放限值执行《大气污染物综合排放标准》（DB32/4041-2021）表2中标准。无组织排放有机废气（以 非甲烷总烃计）厂界浓度执行《大气污染物综合排放标准》（DB32/4041-2021）中表3中标准。具体标准限值见表</w:t>
            </w:r>
            <w:r>
              <w:rPr>
                <w:rFonts w:hint="default" w:ascii="Times New Roman" w:hAnsi="Times New Roman" w:cs="Times New Roman"/>
                <w:color w:val="auto"/>
                <w:sz w:val="24"/>
                <w:lang w:val="en-US" w:eastAsia="zh-CN"/>
              </w:rPr>
              <w:t>3</w:t>
            </w:r>
            <w:r>
              <w:rPr>
                <w:rFonts w:hint="default" w:ascii="Times New Roman" w:hAnsi="Times New Roman" w:eastAsia="宋体" w:cs="Times New Roman"/>
                <w:color w:val="auto"/>
                <w:sz w:val="24"/>
                <w:lang w:val="en-US" w:eastAsia="zh-CN"/>
              </w:rPr>
              <w:t>-</w:t>
            </w:r>
            <w:r>
              <w:rPr>
                <w:rFonts w:hint="default" w:ascii="Times New Roman" w:hAnsi="Times New Roman" w:cs="Times New Roman"/>
                <w:color w:val="auto"/>
                <w:sz w:val="24"/>
                <w:lang w:val="en-US" w:eastAsia="zh-CN"/>
              </w:rPr>
              <w:t>7</w:t>
            </w:r>
            <w:r>
              <w:rPr>
                <w:rFonts w:hint="default" w:ascii="Times New Roman" w:hAnsi="Times New Roman" w:eastAsia="宋体" w:cs="Times New Roman"/>
                <w:color w:val="auto"/>
                <w:sz w:val="24"/>
                <w:lang w:val="en-US" w:eastAsia="zh-CN"/>
              </w:rPr>
              <w:t>、表</w:t>
            </w:r>
            <w:r>
              <w:rPr>
                <w:rFonts w:hint="default" w:ascii="Times New Roman" w:hAnsi="Times New Roman" w:cs="Times New Roman"/>
                <w:color w:val="auto"/>
                <w:sz w:val="24"/>
                <w:lang w:val="en-US" w:eastAsia="zh-CN"/>
              </w:rPr>
              <w:t>3</w:t>
            </w:r>
            <w:r>
              <w:rPr>
                <w:rFonts w:hint="default" w:ascii="Times New Roman" w:hAnsi="Times New Roman" w:eastAsia="宋体" w:cs="Times New Roman"/>
                <w:color w:val="auto"/>
                <w:sz w:val="24"/>
                <w:lang w:val="en-US" w:eastAsia="zh-CN"/>
              </w:rPr>
              <w:t>-</w:t>
            </w:r>
            <w:r>
              <w:rPr>
                <w:rFonts w:hint="default" w:ascii="Times New Roman" w:hAnsi="Times New Roman" w:cs="Times New Roman"/>
                <w:color w:val="auto"/>
                <w:sz w:val="24"/>
                <w:lang w:val="en-US" w:eastAsia="zh-CN"/>
              </w:rPr>
              <w:t>8</w:t>
            </w:r>
            <w:r>
              <w:rPr>
                <w:rFonts w:hint="default" w:ascii="Times New Roman" w:hAnsi="Times New Roman" w:eastAsia="宋体" w:cs="Times New Roman"/>
                <w:color w:val="auto"/>
                <w:sz w:val="24"/>
                <w:lang w:val="en-US" w:eastAsia="zh-CN"/>
              </w:rPr>
              <w:t>。</w:t>
            </w:r>
          </w:p>
          <w:p>
            <w:pPr>
              <w:tabs>
                <w:tab w:val="left" w:pos="210"/>
                <w:tab w:val="center" w:pos="4010"/>
              </w:tabs>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3-7  </w:t>
            </w:r>
            <w:r>
              <w:rPr>
                <w:rFonts w:hint="default" w:ascii="Times New Roman" w:hAnsi="Times New Roman" w:cs="Times New Roman"/>
                <w:b/>
                <w:bCs/>
                <w:color w:val="auto"/>
                <w:sz w:val="21"/>
                <w:szCs w:val="21"/>
              </w:rPr>
              <w:t>大气污染物浓度限值（单位:mg/m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2"/>
              <w:gridCol w:w="1635"/>
              <w:gridCol w:w="1719"/>
              <w:gridCol w:w="1940"/>
              <w:gridCol w:w="22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4" w:type="pct"/>
                  <w:vMerge w:val="restart"/>
                  <w:tcBorders>
                    <w:top w:val="single" w:color="auto" w:sz="4" w:space="0"/>
                    <w:left w:val="single" w:color="auto" w:sz="4" w:space="0"/>
                    <w:right w:val="single" w:color="auto" w:sz="4" w:space="0"/>
                  </w:tcBorders>
                  <w:vAlign w:val="center"/>
                </w:tcPr>
                <w:p>
                  <w:pPr>
                    <w:adjustRightIn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w:t>
                  </w:r>
                </w:p>
              </w:tc>
              <w:tc>
                <w:tcPr>
                  <w:tcW w:w="953" w:type="pct"/>
                  <w:vMerge w:val="restart"/>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最高允许排放速率（kg/h）</w:t>
                  </w:r>
                </w:p>
                <w:p>
                  <w:pPr>
                    <w:adjustRightIn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（15m）</w:t>
                  </w:r>
                </w:p>
              </w:tc>
              <w:tc>
                <w:tcPr>
                  <w:tcW w:w="2133" w:type="pct"/>
                  <w:gridSpan w:val="2"/>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排放限值</w:t>
                  </w:r>
                </w:p>
              </w:tc>
              <w:tc>
                <w:tcPr>
                  <w:tcW w:w="1328" w:type="pct"/>
                  <w:vMerge w:val="restart"/>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4" w:type="pct"/>
                  <w:vMerge w:val="continue"/>
                  <w:tcBorders>
                    <w:left w:val="single" w:color="auto" w:sz="4" w:space="0"/>
                    <w:bottom w:val="single" w:color="auto" w:sz="4" w:space="0"/>
                    <w:right w:val="single" w:color="auto" w:sz="4" w:space="0"/>
                  </w:tcBorders>
                  <w:vAlign w:val="center"/>
                </w:tcPr>
                <w:p>
                  <w:pPr>
                    <w:jc w:val="both"/>
                    <w:rPr>
                      <w:rFonts w:hint="default" w:ascii="Times New Roman" w:hAnsi="Times New Roman" w:cs="Times New Roman"/>
                      <w:color w:val="auto"/>
                      <w:sz w:val="21"/>
                      <w:szCs w:val="21"/>
                    </w:rPr>
                  </w:pPr>
                </w:p>
              </w:tc>
              <w:tc>
                <w:tcPr>
                  <w:tcW w:w="953" w:type="pct"/>
                  <w:vMerge w:val="continue"/>
                  <w:tcBorders>
                    <w:top w:val="single" w:color="auto" w:sz="4" w:space="0"/>
                    <w:left w:val="single" w:color="auto" w:sz="4" w:space="0"/>
                    <w:bottom w:val="single" w:color="auto" w:sz="4" w:space="0"/>
                    <w:right w:val="single" w:color="auto" w:sz="4" w:space="0"/>
                  </w:tcBorders>
                  <w:vAlign w:val="center"/>
                </w:tcPr>
                <w:p>
                  <w:pPr>
                    <w:jc w:val="both"/>
                    <w:rPr>
                      <w:rFonts w:hint="default" w:ascii="Times New Roman" w:hAnsi="Times New Roman" w:cs="Times New Roman"/>
                      <w:b/>
                      <w:bCs/>
                      <w:color w:val="auto"/>
                      <w:sz w:val="21"/>
                      <w:szCs w:val="21"/>
                    </w:rPr>
                  </w:pPr>
                </w:p>
              </w:tc>
              <w:tc>
                <w:tcPr>
                  <w:tcW w:w="1002" w:type="pct"/>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大气污染物排放限制mg/m</w:t>
                  </w:r>
                  <w:r>
                    <w:rPr>
                      <w:rFonts w:hint="default" w:ascii="Times New Roman" w:hAnsi="Times New Roman" w:cs="Times New Roman"/>
                      <w:b/>
                      <w:bCs/>
                      <w:color w:val="auto"/>
                      <w:sz w:val="21"/>
                      <w:szCs w:val="21"/>
                      <w:vertAlign w:val="superscript"/>
                    </w:rPr>
                    <w:t>3</w:t>
                  </w:r>
                </w:p>
              </w:tc>
              <w:tc>
                <w:tcPr>
                  <w:tcW w:w="1131" w:type="pct"/>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企业边界大气污染物浓度限值mg/m</w:t>
                  </w:r>
                  <w:r>
                    <w:rPr>
                      <w:rFonts w:hint="default" w:ascii="Times New Roman" w:hAnsi="Times New Roman" w:cs="Times New Roman"/>
                      <w:b/>
                      <w:bCs/>
                      <w:color w:val="auto"/>
                      <w:sz w:val="21"/>
                      <w:szCs w:val="21"/>
                      <w:vertAlign w:val="superscript"/>
                    </w:rPr>
                    <w:t>3</w:t>
                  </w:r>
                </w:p>
              </w:tc>
              <w:tc>
                <w:tcPr>
                  <w:tcW w:w="1328" w:type="pct"/>
                  <w:vMerge w:val="continue"/>
                  <w:tcBorders>
                    <w:top w:val="single" w:color="auto" w:sz="4" w:space="0"/>
                    <w:left w:val="single" w:color="auto" w:sz="4" w:space="0"/>
                    <w:bottom w:val="single" w:color="auto" w:sz="4" w:space="0"/>
                    <w:right w:val="single" w:color="auto" w:sz="4" w:space="0"/>
                  </w:tcBorders>
                  <w:vAlign w:val="center"/>
                </w:tcPr>
                <w:p>
                  <w:pPr>
                    <w:jc w:val="both"/>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4" w:type="pct"/>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default" w:ascii="Times New Roman" w:hAnsi="Times New Roman" w:cs="Times New Roman" w:eastAsiaTheme="majorEastAsia"/>
                      <w:color w:val="auto"/>
                      <w:sz w:val="21"/>
                      <w:szCs w:val="21"/>
                    </w:rPr>
                  </w:pPr>
                  <w:r>
                    <w:rPr>
                      <w:rFonts w:hint="default" w:ascii="Times New Roman" w:hAnsi="Times New Roman" w:cs="Times New Roman" w:eastAsiaTheme="majorEastAsia"/>
                      <w:color w:val="auto"/>
                      <w:sz w:val="21"/>
                      <w:szCs w:val="21"/>
                    </w:rPr>
                    <w:t>非甲烷总烃</w:t>
                  </w:r>
                </w:p>
              </w:tc>
              <w:tc>
                <w:tcPr>
                  <w:tcW w:w="953" w:type="pct"/>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2.0</w:t>
                  </w:r>
                </w:p>
              </w:tc>
              <w:tc>
                <w:tcPr>
                  <w:tcW w:w="1002" w:type="pct"/>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50</w:t>
                  </w:r>
                </w:p>
              </w:tc>
              <w:tc>
                <w:tcPr>
                  <w:tcW w:w="1131" w:type="pct"/>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eastAsia" w:ascii="Times New Roman" w:hAnsi="Times New Roman" w:eastAsia="宋体" w:cs="Times New Roman"/>
                      <w:bCs/>
                      <w:color w:val="auto"/>
                      <w:sz w:val="21"/>
                      <w:szCs w:val="21"/>
                      <w:lang w:eastAsia="zh-CN"/>
                    </w:rPr>
                  </w:pPr>
                  <w:r>
                    <w:rPr>
                      <w:rFonts w:hint="eastAsia" w:ascii="Times New Roman" w:hAnsi="Times New Roman" w:cs="Times New Roman"/>
                      <w:bCs/>
                      <w:color w:val="auto"/>
                      <w:sz w:val="21"/>
                      <w:szCs w:val="21"/>
                      <w:lang w:val="en-US" w:eastAsia="zh-CN"/>
                    </w:rPr>
                    <w:t>/</w:t>
                  </w:r>
                </w:p>
              </w:tc>
              <w:tc>
                <w:tcPr>
                  <w:tcW w:w="1328" w:type="pct"/>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default" w:ascii="Times New Roman" w:hAnsi="Times New Roman" w:cs="Times New Roman"/>
                      <w:bCs/>
                      <w:color w:val="auto"/>
                      <w:sz w:val="21"/>
                      <w:szCs w:val="21"/>
                    </w:rPr>
                  </w:pPr>
                  <w:r>
                    <w:rPr>
                      <w:rFonts w:hint="eastAsia" w:ascii="Times New Roman" w:hAnsi="Times New Roman" w:cs="Times New Roman"/>
                      <w:color w:val="auto"/>
                      <w:sz w:val="21"/>
                      <w:szCs w:val="21"/>
                      <w:lang w:val="en-US" w:eastAsia="zh-CN"/>
                    </w:rPr>
                    <w:t>《工业涂装工序大气污染物排放标准》（DB32/4439-2022）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4" w:type="pct"/>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default" w:ascii="Times New Roman" w:hAnsi="Times New Roman" w:cs="Times New Roman" w:eastAsiaTheme="majorEastAsia"/>
                      <w:color w:val="auto"/>
                      <w:sz w:val="21"/>
                      <w:szCs w:val="21"/>
                    </w:rPr>
                  </w:pPr>
                  <w:r>
                    <w:rPr>
                      <w:rFonts w:hint="default" w:ascii="Times New Roman" w:hAnsi="Times New Roman" w:cs="Times New Roman" w:eastAsiaTheme="majorEastAsia"/>
                      <w:color w:val="auto"/>
                      <w:sz w:val="21"/>
                      <w:szCs w:val="21"/>
                    </w:rPr>
                    <w:t>非甲烷总烃</w:t>
                  </w:r>
                </w:p>
              </w:tc>
              <w:tc>
                <w:tcPr>
                  <w:tcW w:w="953" w:type="pct"/>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lang w:val="en-US" w:eastAsia="zh-CN"/>
                    </w:rPr>
                    <w:t>3</w:t>
                  </w:r>
                  <w:r>
                    <w:rPr>
                      <w:rFonts w:hint="eastAsia" w:ascii="Times New Roman" w:hAnsi="Times New Roman" w:cs="Times New Roman"/>
                      <w:bCs/>
                      <w:color w:val="auto"/>
                      <w:sz w:val="21"/>
                      <w:szCs w:val="21"/>
                      <w:lang w:val="en-US" w:eastAsia="zh-CN"/>
                    </w:rPr>
                    <w:t>.0</w:t>
                  </w:r>
                </w:p>
              </w:tc>
              <w:tc>
                <w:tcPr>
                  <w:tcW w:w="1002" w:type="pct"/>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60</w:t>
                  </w:r>
                </w:p>
              </w:tc>
              <w:tc>
                <w:tcPr>
                  <w:tcW w:w="1131" w:type="pct"/>
                  <w:tcBorders>
                    <w:top w:val="single" w:color="auto" w:sz="4" w:space="0"/>
                    <w:left w:val="single" w:color="auto" w:sz="4" w:space="0"/>
                    <w:bottom w:val="single" w:color="auto" w:sz="4" w:space="0"/>
                    <w:right w:val="single" w:color="auto" w:sz="4" w:space="0"/>
                  </w:tcBorders>
                  <w:vAlign w:val="center"/>
                </w:tcPr>
                <w:p>
                  <w:pPr>
                    <w:adjustRightInd w:val="0"/>
                    <w:jc w:val="center"/>
                    <w:textAlignment w:val="baseline"/>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4.0</w:t>
                  </w:r>
                </w:p>
              </w:tc>
              <w:tc>
                <w:tcPr>
                  <w:tcW w:w="1328" w:type="pct"/>
                  <w:tcBorders>
                    <w:top w:val="single" w:color="auto" w:sz="4" w:space="0"/>
                    <w:left w:val="single" w:color="auto" w:sz="4" w:space="0"/>
                    <w:right w:val="single" w:color="auto" w:sz="4" w:space="0"/>
                  </w:tcBorders>
                  <w:vAlign w:val="center"/>
                </w:tcPr>
                <w:p>
                  <w:pPr>
                    <w:adjustRightInd w:val="0"/>
                    <w:jc w:val="center"/>
                    <w:textAlignment w:val="baseline"/>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《大气污染物综合排放标准》（DB32/4041-2021）</w:t>
                  </w:r>
                </w:p>
              </w:tc>
            </w:tr>
          </w:tbl>
          <w:p>
            <w:pPr>
              <w:tabs>
                <w:tab w:val="left" w:pos="210"/>
                <w:tab w:val="center" w:pos="4010"/>
              </w:tabs>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3-8 </w:t>
            </w:r>
            <w:r>
              <w:rPr>
                <w:rFonts w:hint="default" w:ascii="Times New Roman" w:hAnsi="Times New Roman" w:cs="Times New Roman"/>
                <w:b/>
                <w:bCs/>
                <w:color w:val="auto"/>
                <w:sz w:val="21"/>
                <w:szCs w:val="21"/>
              </w:rPr>
              <w:t>厂区内监控点执行标准</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871"/>
              <w:gridCol w:w="1632"/>
              <w:gridCol w:w="2761"/>
              <w:gridCol w:w="230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091" w:type="pct"/>
                  <w:tcBorders>
                    <w:top w:val="single" w:color="auto" w:sz="4" w:space="0"/>
                    <w:left w:val="single" w:color="auto" w:sz="4" w:space="0"/>
                    <w:bottom w:val="single" w:color="auto" w:sz="6" w:space="0"/>
                    <w:right w:val="single" w:color="auto" w:sz="6" w:space="0"/>
                  </w:tcBorders>
                  <w:vAlign w:val="center"/>
                </w:tcPr>
                <w:p>
                  <w:pPr>
                    <w:pStyle w:val="41"/>
                    <w:rPr>
                      <w:rFonts w:hint="default" w:ascii="Times New Roman" w:hAnsi="Times New Roman" w:cs="Times New Roman"/>
                      <w:b/>
                      <w:bCs/>
                      <w:color w:val="auto"/>
                      <w:sz w:val="21"/>
                      <w:szCs w:val="21"/>
                      <w:lang w:eastAsia="en-US"/>
                    </w:rPr>
                  </w:pPr>
                  <w:r>
                    <w:rPr>
                      <w:rFonts w:hint="default" w:ascii="Times New Roman" w:hAnsi="Times New Roman" w:cs="Times New Roman"/>
                      <w:b/>
                      <w:bCs/>
                      <w:color w:val="auto"/>
                      <w:sz w:val="21"/>
                      <w:szCs w:val="21"/>
                    </w:rPr>
                    <w:t>污染物项目</w:t>
                  </w:r>
                </w:p>
              </w:tc>
              <w:tc>
                <w:tcPr>
                  <w:tcW w:w="951" w:type="pct"/>
                  <w:tcBorders>
                    <w:top w:val="single" w:color="auto" w:sz="4" w:space="0"/>
                    <w:left w:val="single" w:color="auto" w:sz="6" w:space="0"/>
                    <w:bottom w:val="single" w:color="auto" w:sz="6" w:space="0"/>
                    <w:right w:val="single" w:color="auto" w:sz="6" w:space="0"/>
                  </w:tcBorders>
                  <w:vAlign w:val="center"/>
                </w:tcPr>
                <w:p>
                  <w:pPr>
                    <w:spacing w:line="240" w:lineRule="exact"/>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排放限值</w:t>
                  </w:r>
                </w:p>
              </w:tc>
              <w:tc>
                <w:tcPr>
                  <w:tcW w:w="1610" w:type="pct"/>
                  <w:tcBorders>
                    <w:top w:val="single" w:color="auto" w:sz="4" w:space="0"/>
                    <w:left w:val="single" w:color="auto" w:sz="6" w:space="0"/>
                    <w:bottom w:val="single" w:color="auto" w:sz="6" w:space="0"/>
                    <w:right w:val="single" w:color="auto" w:sz="6" w:space="0"/>
                  </w:tcBorders>
                  <w:vAlign w:val="center"/>
                </w:tcPr>
                <w:p>
                  <w:pPr>
                    <w:pStyle w:val="41"/>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限值含义</w:t>
                  </w:r>
                </w:p>
              </w:tc>
              <w:tc>
                <w:tcPr>
                  <w:tcW w:w="1347" w:type="pct"/>
                  <w:tcBorders>
                    <w:top w:val="single" w:color="auto" w:sz="4" w:space="0"/>
                    <w:left w:val="single" w:color="auto" w:sz="6" w:space="0"/>
                    <w:bottom w:val="single" w:color="auto" w:sz="6" w:space="0"/>
                    <w:right w:val="single" w:color="auto" w:sz="4" w:space="0"/>
                  </w:tcBorders>
                  <w:vAlign w:val="center"/>
                </w:tcPr>
                <w:p>
                  <w:pPr>
                    <w:spacing w:line="240" w:lineRule="exact"/>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无组织排放监控位置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091" w:type="pct"/>
                  <w:vMerge w:val="restart"/>
                  <w:tcBorders>
                    <w:top w:val="single" w:color="auto" w:sz="6" w:space="0"/>
                    <w:left w:val="single" w:color="auto" w:sz="4" w:space="0"/>
                    <w:bottom w:val="single" w:color="auto" w:sz="4" w:space="0"/>
                    <w:right w:val="single" w:color="auto" w:sz="6" w:space="0"/>
                  </w:tcBorders>
                  <w:vAlign w:val="center"/>
                </w:tcPr>
                <w:p>
                  <w:pPr>
                    <w:pStyle w:val="41"/>
                    <w:rPr>
                      <w:rFonts w:hint="default" w:ascii="Times New Roman" w:hAnsi="Times New Roman" w:cs="Times New Roman"/>
                      <w:color w:val="auto"/>
                      <w:sz w:val="21"/>
                      <w:szCs w:val="21"/>
                    </w:rPr>
                  </w:pPr>
                  <w:r>
                    <w:rPr>
                      <w:rFonts w:hint="default" w:ascii="Times New Roman" w:hAnsi="Times New Roman" w:cs="Times New Roman" w:eastAsiaTheme="majorEastAsia"/>
                      <w:color w:val="auto"/>
                      <w:sz w:val="21"/>
                      <w:szCs w:val="21"/>
                    </w:rPr>
                    <w:t>非甲烷总烃</w:t>
                  </w:r>
                </w:p>
              </w:tc>
              <w:tc>
                <w:tcPr>
                  <w:tcW w:w="951" w:type="pct"/>
                  <w:tcBorders>
                    <w:top w:val="single" w:color="auto" w:sz="6" w:space="0"/>
                    <w:left w:val="single" w:color="auto" w:sz="6" w:space="0"/>
                    <w:bottom w:val="single" w:color="auto" w:sz="6" w:space="0"/>
                    <w:right w:val="single" w:color="auto" w:sz="6" w:space="0"/>
                  </w:tcBorders>
                  <w:vAlign w:val="center"/>
                </w:tcPr>
                <w:p>
                  <w:pPr>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6mg/m</w:t>
                  </w:r>
                  <w:r>
                    <w:rPr>
                      <w:rFonts w:hint="default" w:ascii="Times New Roman" w:hAnsi="Times New Roman" w:cs="Times New Roman"/>
                      <w:color w:val="auto"/>
                      <w:sz w:val="21"/>
                      <w:szCs w:val="21"/>
                      <w:vertAlign w:val="superscript"/>
                    </w:rPr>
                    <w:t>3</w:t>
                  </w:r>
                </w:p>
              </w:tc>
              <w:tc>
                <w:tcPr>
                  <w:tcW w:w="1610" w:type="pct"/>
                  <w:tcBorders>
                    <w:top w:val="single" w:color="auto" w:sz="6" w:space="0"/>
                    <w:left w:val="single" w:color="auto" w:sz="6" w:space="0"/>
                    <w:bottom w:val="single" w:color="auto" w:sz="6" w:space="0"/>
                    <w:right w:val="single" w:color="auto" w:sz="6" w:space="0"/>
                  </w:tcBorders>
                  <w:vAlign w:val="center"/>
                </w:tcPr>
                <w:p>
                  <w:pPr>
                    <w:pStyle w:val="41"/>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监控点处1h平均浓度值</w:t>
                  </w:r>
                </w:p>
              </w:tc>
              <w:tc>
                <w:tcPr>
                  <w:tcW w:w="1347" w:type="pct"/>
                  <w:vMerge w:val="restart"/>
                  <w:tcBorders>
                    <w:top w:val="single" w:color="auto" w:sz="6" w:space="0"/>
                    <w:left w:val="single" w:color="auto" w:sz="6" w:space="0"/>
                    <w:bottom w:val="single" w:color="auto" w:sz="4" w:space="0"/>
                    <w:right w:val="single" w:color="auto" w:sz="4" w:space="0"/>
                  </w:tcBorders>
                  <w:vAlign w:val="center"/>
                </w:tcPr>
                <w:p>
                  <w:pPr>
                    <w:spacing w:line="240" w:lineRule="exact"/>
                    <w:jc w:val="center"/>
                    <w:rPr>
                      <w:rFonts w:hint="default" w:ascii="Times New Roman" w:hAnsi="Times New Roman" w:cs="Times New Roman"/>
                      <w:color w:val="auto"/>
                      <w:sz w:val="21"/>
                      <w:szCs w:val="21"/>
                      <w:lang w:eastAsia="en-US"/>
                    </w:rPr>
                  </w:pPr>
                  <w:r>
                    <w:rPr>
                      <w:rFonts w:hint="default" w:ascii="Times New Roman" w:hAnsi="Times New Roman" w:cs="Times New Roman"/>
                      <w:color w:val="auto"/>
                      <w:sz w:val="21"/>
                      <w:szCs w:val="21"/>
                    </w:rPr>
                    <w:t>在厂房外设置监控点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20" w:hRule="atLeast"/>
                <w:jc w:val="center"/>
              </w:trPr>
              <w:tc>
                <w:tcPr>
                  <w:tcW w:w="1915" w:type="dxa"/>
                  <w:vMerge w:val="continue"/>
                  <w:tcBorders>
                    <w:top w:val="single" w:color="auto" w:sz="6" w:space="0"/>
                    <w:left w:val="single" w:color="auto" w:sz="4" w:space="0"/>
                    <w:bottom w:val="single" w:color="auto" w:sz="4" w:space="0"/>
                    <w:right w:val="single" w:color="auto" w:sz="6" w:space="0"/>
                  </w:tcBorders>
                  <w:vAlign w:val="center"/>
                </w:tcPr>
                <w:p>
                  <w:pPr>
                    <w:widowControl/>
                    <w:rPr>
                      <w:rFonts w:hint="default" w:ascii="Times New Roman" w:hAnsi="Times New Roman" w:cs="Times New Roman"/>
                      <w:color w:val="auto"/>
                      <w:sz w:val="21"/>
                      <w:szCs w:val="21"/>
                      <w:lang w:eastAsia="en-US"/>
                    </w:rPr>
                  </w:pPr>
                </w:p>
              </w:tc>
              <w:tc>
                <w:tcPr>
                  <w:tcW w:w="951" w:type="pct"/>
                  <w:tcBorders>
                    <w:top w:val="single" w:color="auto" w:sz="6" w:space="0"/>
                    <w:left w:val="single" w:color="auto" w:sz="6" w:space="0"/>
                    <w:bottom w:val="single" w:color="auto" w:sz="4" w:space="0"/>
                    <w:right w:val="single" w:color="auto" w:sz="6" w:space="0"/>
                  </w:tcBorders>
                  <w:vAlign w:val="center"/>
                </w:tcPr>
                <w:p>
                  <w:pPr>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20mg/m</w:t>
                  </w:r>
                  <w:r>
                    <w:rPr>
                      <w:rFonts w:hint="default" w:ascii="Times New Roman" w:hAnsi="Times New Roman" w:cs="Times New Roman"/>
                      <w:color w:val="auto"/>
                      <w:sz w:val="21"/>
                      <w:szCs w:val="21"/>
                      <w:vertAlign w:val="superscript"/>
                    </w:rPr>
                    <w:t>3</w:t>
                  </w:r>
                </w:p>
              </w:tc>
              <w:tc>
                <w:tcPr>
                  <w:tcW w:w="1610" w:type="pct"/>
                  <w:tcBorders>
                    <w:top w:val="single" w:color="auto" w:sz="6" w:space="0"/>
                    <w:left w:val="single" w:color="auto" w:sz="6" w:space="0"/>
                    <w:bottom w:val="single" w:color="auto" w:sz="4" w:space="0"/>
                    <w:right w:val="single" w:color="auto" w:sz="6" w:space="0"/>
                  </w:tcBorders>
                  <w:vAlign w:val="center"/>
                </w:tcPr>
                <w:p>
                  <w:pPr>
                    <w:pStyle w:val="41"/>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监控点处任意一次浓度值</w:t>
                  </w:r>
                </w:p>
              </w:tc>
              <w:tc>
                <w:tcPr>
                  <w:tcW w:w="2364" w:type="dxa"/>
                  <w:vMerge w:val="continue"/>
                  <w:tcBorders>
                    <w:top w:val="single" w:color="auto" w:sz="6" w:space="0"/>
                    <w:left w:val="single" w:color="auto" w:sz="6" w:space="0"/>
                    <w:bottom w:val="single" w:color="auto" w:sz="4" w:space="0"/>
                    <w:right w:val="single" w:color="auto" w:sz="4" w:space="0"/>
                  </w:tcBorders>
                  <w:vAlign w:val="center"/>
                </w:tcPr>
                <w:p>
                  <w:pPr>
                    <w:widowControl/>
                    <w:rPr>
                      <w:rFonts w:hint="default" w:ascii="Times New Roman" w:hAnsi="Times New Roman" w:cs="Times New Roman"/>
                      <w:color w:val="auto"/>
                      <w:sz w:val="21"/>
                      <w:szCs w:val="21"/>
                    </w:rPr>
                  </w:pPr>
                </w:p>
              </w:tc>
            </w:tr>
          </w:tbl>
          <w:p>
            <w:pPr>
              <w:spacing w:line="460" w:lineRule="exact"/>
              <w:ind w:firstLine="482" w:firstLineChars="200"/>
              <w:jc w:val="both"/>
              <w:rPr>
                <w:rFonts w:hint="default" w:ascii="Times New Roman" w:hAnsi="Times New Roman" w:eastAsia="宋体" w:cs="Times New Roman"/>
                <w:b/>
                <w:bCs/>
                <w:sz w:val="24"/>
                <w:szCs w:val="24"/>
                <w:lang w:eastAsia="zh-CN"/>
              </w:rPr>
            </w:pPr>
            <w:r>
              <w:rPr>
                <w:rFonts w:hint="default" w:ascii="Times New Roman" w:hAnsi="Times New Roman" w:eastAsia="宋体" w:cs="Times New Roman"/>
                <w:b/>
                <w:bCs/>
                <w:sz w:val="24"/>
                <w:szCs w:val="24"/>
                <w:lang w:eastAsia="zh-CN"/>
              </w:rPr>
              <w:t>2、废水排放标准</w:t>
            </w:r>
          </w:p>
          <w:p>
            <w:pPr>
              <w:spacing w:line="460" w:lineRule="exact"/>
              <w:ind w:firstLine="480" w:firstLineChars="200"/>
              <w:jc w:val="both"/>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 xml:space="preserve">本项目不新增废水。 </w:t>
            </w:r>
          </w:p>
          <w:p>
            <w:pPr>
              <w:spacing w:line="460" w:lineRule="exact"/>
              <w:ind w:firstLine="482" w:firstLineChars="200"/>
              <w:jc w:val="both"/>
              <w:rPr>
                <w:rFonts w:hint="default" w:ascii="Times New Roman" w:hAnsi="Times New Roman" w:eastAsia="宋体" w:cs="Times New Roman"/>
                <w:b/>
                <w:bCs/>
                <w:sz w:val="24"/>
                <w:szCs w:val="24"/>
                <w:lang w:eastAsia="zh-CN"/>
              </w:rPr>
            </w:pPr>
            <w:r>
              <w:rPr>
                <w:rFonts w:hint="default" w:ascii="Times New Roman" w:hAnsi="Times New Roman" w:eastAsia="宋体" w:cs="Times New Roman"/>
                <w:b/>
                <w:bCs/>
                <w:sz w:val="24"/>
                <w:szCs w:val="24"/>
                <w:lang w:eastAsia="zh-CN"/>
              </w:rPr>
              <w:t>3、噪声排放标准</w:t>
            </w:r>
          </w:p>
          <w:p>
            <w:pPr>
              <w:spacing w:line="460" w:lineRule="exact"/>
              <w:ind w:firstLine="480" w:firstLineChars="200"/>
              <w:jc w:val="both"/>
              <w:rPr>
                <w:rFonts w:hint="default" w:ascii="Times New Roman" w:hAnsi="Times New Roman" w:eastAsia="宋体" w:cs="Times New Roman"/>
                <w:b/>
                <w:bCs/>
                <w:sz w:val="24"/>
                <w:szCs w:val="24"/>
                <w:lang w:eastAsia="zh-CN"/>
              </w:rPr>
            </w:pPr>
            <w:r>
              <w:rPr>
                <w:rFonts w:hint="default" w:ascii="Times New Roman" w:hAnsi="Times New Roman" w:eastAsia="宋体" w:cs="Times New Roman"/>
                <w:sz w:val="24"/>
                <w:szCs w:val="24"/>
                <w:lang w:eastAsia="zh-CN"/>
              </w:rPr>
              <w:t>项目厂界环境噪声执行《工业企业厂界环境噪声排放标准》（GB12348-2008）3类标准，具体标准值见表3-</w:t>
            </w:r>
            <w:r>
              <w:rPr>
                <w:rFonts w:hint="eastAsia" w:ascii="Times New Roman" w:hAnsi="Times New Roman" w:cs="Times New Roman"/>
                <w:sz w:val="24"/>
                <w:szCs w:val="24"/>
                <w:lang w:val="en-US" w:eastAsia="zh-CN"/>
              </w:rPr>
              <w:t>9</w:t>
            </w:r>
            <w:r>
              <w:rPr>
                <w:rFonts w:hint="default" w:ascii="Times New Roman" w:hAnsi="Times New Roman" w:eastAsia="宋体" w:cs="Times New Roman"/>
                <w:sz w:val="24"/>
                <w:szCs w:val="24"/>
                <w:lang w:eastAsia="zh-CN"/>
              </w:rPr>
              <w:t>。</w:t>
            </w:r>
          </w:p>
          <w:p>
            <w:pPr>
              <w:tabs>
                <w:tab w:val="left" w:pos="5142"/>
              </w:tabs>
              <w:snapToGrid w:val="0"/>
              <w:spacing w:line="460" w:lineRule="exact"/>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表3-</w:t>
            </w:r>
            <w:r>
              <w:rPr>
                <w:rFonts w:hint="eastAsia" w:ascii="Times New Roman" w:hAnsi="Times New Roman" w:cs="Times New Roman"/>
                <w:b/>
                <w:bCs/>
                <w:sz w:val="21"/>
                <w:szCs w:val="21"/>
                <w:lang w:val="en-US" w:eastAsia="zh-CN"/>
              </w:rPr>
              <w:t>9</w:t>
            </w:r>
            <w:r>
              <w:rPr>
                <w:rFonts w:hint="default" w:ascii="Times New Roman" w:hAnsi="Times New Roman" w:eastAsia="宋体" w:cs="Times New Roman"/>
                <w:b/>
                <w:bCs/>
                <w:sz w:val="21"/>
                <w:szCs w:val="21"/>
                <w:lang w:eastAsia="zh-CN"/>
              </w:rPr>
              <w:t xml:space="preserve">  工业企业厂界环境噪声排放标准   单位：dB（A）</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56"/>
              <w:gridCol w:w="2864"/>
              <w:gridCol w:w="2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 w:hRule="atLeast"/>
                <w:jc w:val="center"/>
              </w:trPr>
              <w:tc>
                <w:tcPr>
                  <w:tcW w:w="1665" w:type="pct"/>
                  <w:vMerge w:val="restart"/>
                  <w:vAlign w:val="center"/>
                </w:tcPr>
                <w:p>
                  <w:pPr>
                    <w:adjustRightInd w:val="0"/>
                    <w:snapToGrid w:val="0"/>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
                      <w:sz w:val="21"/>
                      <w:szCs w:val="21"/>
                      <w:lang w:eastAsia="zh-CN"/>
                    </w:rPr>
                    <w:t>类别</w:t>
                  </w:r>
                </w:p>
              </w:tc>
              <w:tc>
                <w:tcPr>
                  <w:tcW w:w="3334" w:type="pct"/>
                  <w:gridSpan w:val="2"/>
                  <w:vAlign w:val="center"/>
                </w:tcPr>
                <w:p>
                  <w:pPr>
                    <w:adjustRightInd w:val="0"/>
                    <w:snapToGrid w:val="0"/>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
                      <w:sz w:val="21"/>
                      <w:szCs w:val="21"/>
                      <w:lang w:eastAsia="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5" w:hRule="atLeast"/>
                <w:jc w:val="center"/>
              </w:trPr>
              <w:tc>
                <w:tcPr>
                  <w:tcW w:w="1665" w:type="pct"/>
                  <w:vMerge w:val="continue"/>
                  <w:vAlign w:val="center"/>
                </w:tcPr>
                <w:p>
                  <w:pPr>
                    <w:adjustRightInd w:val="0"/>
                    <w:snapToGrid w:val="0"/>
                    <w:jc w:val="center"/>
                    <w:rPr>
                      <w:rFonts w:hint="default" w:ascii="Times New Roman" w:hAnsi="Times New Roman" w:eastAsia="宋体" w:cs="Times New Roman"/>
                      <w:b/>
                      <w:sz w:val="21"/>
                      <w:szCs w:val="21"/>
                      <w:lang w:eastAsia="zh-CN"/>
                    </w:rPr>
                  </w:pPr>
                </w:p>
              </w:tc>
              <w:tc>
                <w:tcPr>
                  <w:tcW w:w="1670" w:type="pct"/>
                  <w:vAlign w:val="center"/>
                </w:tcPr>
                <w:p>
                  <w:pPr>
                    <w:adjustRightInd w:val="0"/>
                    <w:snapToGrid w:val="0"/>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
                      <w:sz w:val="21"/>
                      <w:szCs w:val="21"/>
                      <w:lang w:eastAsia="zh-CN"/>
                    </w:rPr>
                    <w:t>昼间</w:t>
                  </w:r>
                </w:p>
              </w:tc>
              <w:tc>
                <w:tcPr>
                  <w:tcW w:w="1664" w:type="pct"/>
                  <w:vAlign w:val="center"/>
                </w:tcPr>
                <w:p>
                  <w:pPr>
                    <w:adjustRightInd w:val="0"/>
                    <w:snapToGrid w:val="0"/>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
                      <w:sz w:val="21"/>
                      <w:szCs w:val="21"/>
                      <w:lang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34" w:hRule="atLeast"/>
                <w:jc w:val="center"/>
              </w:trPr>
              <w:tc>
                <w:tcPr>
                  <w:tcW w:w="1665" w:type="pct"/>
                  <w:vAlign w:val="center"/>
                </w:tcPr>
                <w:p>
                  <w:pPr>
                    <w:adjustRightInd w:val="0"/>
                    <w:snapToGrid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3类</w:t>
                  </w:r>
                </w:p>
              </w:tc>
              <w:tc>
                <w:tcPr>
                  <w:tcW w:w="1670" w:type="pct"/>
                  <w:vAlign w:val="center"/>
                </w:tcPr>
                <w:p>
                  <w:pPr>
                    <w:adjustRightInd w:val="0"/>
                    <w:snapToGrid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65</w:t>
                  </w:r>
                </w:p>
              </w:tc>
              <w:tc>
                <w:tcPr>
                  <w:tcW w:w="1664" w:type="pct"/>
                  <w:vAlign w:val="center"/>
                </w:tcPr>
                <w:p>
                  <w:pPr>
                    <w:adjustRightInd w:val="0"/>
                    <w:snapToGrid w:val="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55</w:t>
                  </w:r>
                </w:p>
              </w:tc>
            </w:tr>
          </w:tbl>
          <w:p>
            <w:pPr>
              <w:spacing w:line="460" w:lineRule="exact"/>
              <w:ind w:firstLine="482" w:firstLineChars="200"/>
              <w:jc w:val="both"/>
              <w:rPr>
                <w:rFonts w:hint="default" w:ascii="Times New Roman" w:hAnsi="Times New Roman" w:eastAsia="宋体" w:cs="Times New Roman"/>
                <w:sz w:val="24"/>
                <w:szCs w:val="24"/>
                <w:lang w:eastAsia="zh-CN"/>
              </w:rPr>
            </w:pPr>
            <w:r>
              <w:rPr>
                <w:rFonts w:hint="default" w:ascii="Times New Roman" w:hAnsi="Times New Roman" w:eastAsia="宋体" w:cs="Times New Roman"/>
                <w:b/>
                <w:bCs/>
                <w:sz w:val="24"/>
                <w:szCs w:val="24"/>
                <w:lang w:eastAsia="zh-CN"/>
              </w:rPr>
              <w:t>4、固体废物排放标准</w:t>
            </w:r>
          </w:p>
          <w:p>
            <w:pPr>
              <w:spacing w:line="460" w:lineRule="exact"/>
              <w:ind w:firstLine="480" w:firstLineChars="200"/>
              <w:jc w:val="both"/>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一般固体废物执行《一般工业固体废物贮存和填埋污染控制标准》（GB18599</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eastAsia="zh-CN"/>
              </w:rPr>
              <w:t>2020）中相关要求。</w:t>
            </w:r>
            <w:r>
              <w:rPr>
                <w:rFonts w:hint="default" w:ascii="Times New Roman" w:hAnsi="Times New Roman" w:eastAsia="宋体" w:cs="Times New Roman"/>
                <w:sz w:val="24"/>
                <w:szCs w:val="24"/>
                <w:lang w:val="en-US" w:eastAsia="zh-CN"/>
              </w:rPr>
              <w:t>本项目危险固废厂内暂存执行《危险废物贮存污染控制标准》（GB18597-2023）的有关规定要求。危险废物的转移须严格按照《危险废物转移联单管理办法》和《省生态环境厅关于做好江苏省危险废物全生命周期监控系统上线运行工作的通知》（苏环办</w:t>
            </w:r>
            <w:r>
              <w:rPr>
                <w:rFonts w:hint="default"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2020</w:t>
            </w:r>
            <w:r>
              <w:rPr>
                <w:rFonts w:hint="default"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401号）执行。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99" w:hRule="atLeast"/>
          <w:jc w:val="center"/>
        </w:trPr>
        <w:tc>
          <w:tcPr>
            <w:tcW w:w="305" w:type="pct"/>
            <w:vAlign w:val="center"/>
          </w:tcPr>
          <w:p>
            <w:pPr>
              <w:jc w:val="center"/>
              <w:rPr>
                <w:rFonts w:hint="default" w:ascii="Times New Roman" w:hAnsi="Times New Roman" w:eastAsia="宋体" w:cs="Times New Roman"/>
                <w:spacing w:val="-1"/>
                <w:sz w:val="24"/>
                <w:szCs w:val="24"/>
                <w:lang w:eastAsia="zh-CN"/>
              </w:rPr>
            </w:pPr>
            <w:r>
              <w:rPr>
                <w:rFonts w:hint="default" w:ascii="Times New Roman" w:hAnsi="Times New Roman" w:eastAsia="宋体" w:cs="Times New Roman"/>
                <w:spacing w:val="-1"/>
                <w:sz w:val="24"/>
                <w:szCs w:val="24"/>
                <w:lang w:eastAsia="zh-CN"/>
              </w:rPr>
              <w:t>总量控制指标</w:t>
            </w:r>
          </w:p>
        </w:tc>
        <w:tc>
          <w:tcPr>
            <w:tcW w:w="4694" w:type="pct"/>
          </w:tcPr>
          <w:p>
            <w:pPr>
              <w:spacing w:line="460" w:lineRule="exact"/>
              <w:ind w:firstLine="482" w:firstLineChars="200"/>
              <w:jc w:val="both"/>
              <w:rPr>
                <w:rFonts w:hint="default" w:ascii="Times New Roman" w:hAnsi="Times New Roman" w:cs="Times New Roman"/>
                <w:b/>
                <w:bCs/>
                <w:sz w:val="24"/>
                <w:szCs w:val="24"/>
                <w:lang w:eastAsia="zh-CN"/>
              </w:rPr>
            </w:pPr>
            <w:r>
              <w:rPr>
                <w:rFonts w:hint="default" w:ascii="Times New Roman" w:hAnsi="Times New Roman" w:cs="Times New Roman"/>
                <w:b/>
                <w:bCs/>
                <w:sz w:val="24"/>
                <w:szCs w:val="24"/>
                <w:lang w:val="en-US" w:eastAsia="zh-CN"/>
              </w:rPr>
              <w:t>1、技改前现有项目排放</w:t>
            </w:r>
            <w:r>
              <w:rPr>
                <w:rFonts w:hint="default" w:ascii="Times New Roman" w:hAnsi="Times New Roman" w:cs="Times New Roman"/>
                <w:b/>
                <w:bCs/>
                <w:sz w:val="24"/>
                <w:szCs w:val="24"/>
                <w:lang w:eastAsia="zh-CN"/>
              </w:rPr>
              <w:t>量：</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①大气污染物：</w:t>
            </w:r>
            <w:r>
              <w:rPr>
                <w:rFonts w:hint="default" w:ascii="Times New Roman" w:hAnsi="Times New Roman" w:cs="Times New Roman"/>
                <w:bCs/>
                <w:color w:val="auto"/>
                <w:sz w:val="24"/>
                <w:szCs w:val="24"/>
                <w:lang w:val="en-US" w:eastAsia="zh-CN"/>
              </w:rPr>
              <w:t>非甲烷总烃0.063t/a；</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②废水污染物：</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废水排放量：</w:t>
            </w:r>
            <w:r>
              <w:rPr>
                <w:rFonts w:hint="default" w:ascii="Times New Roman" w:hAnsi="Times New Roman" w:cs="Times New Roman"/>
                <w:color w:val="auto"/>
                <w:sz w:val="24"/>
                <w:szCs w:val="24"/>
                <w:lang w:val="en-US" w:eastAsia="zh-CN"/>
              </w:rPr>
              <w:t>360</w:t>
            </w:r>
            <w:r>
              <w:rPr>
                <w:rFonts w:hint="default" w:ascii="Times New Roman" w:hAnsi="Times New Roman" w:cs="Times New Roman"/>
                <w:sz w:val="24"/>
                <w:szCs w:val="24"/>
                <w:lang w:eastAsia="zh-CN"/>
              </w:rPr>
              <w:t>m</w:t>
            </w:r>
            <w:r>
              <w:rPr>
                <w:rFonts w:hint="default" w:ascii="Times New Roman" w:hAnsi="Times New Roman" w:cs="Times New Roman"/>
                <w:sz w:val="24"/>
                <w:szCs w:val="24"/>
                <w:vertAlign w:val="superscript"/>
                <w:lang w:eastAsia="zh-CN"/>
              </w:rPr>
              <w:t>3</w:t>
            </w:r>
            <w:r>
              <w:rPr>
                <w:rFonts w:hint="default" w:ascii="Times New Roman" w:hAnsi="Times New Roman" w:cs="Times New Roman"/>
                <w:sz w:val="24"/>
                <w:szCs w:val="24"/>
                <w:lang w:eastAsia="zh-CN"/>
              </w:rPr>
              <w:t>/a</w:t>
            </w:r>
            <w:r>
              <w:rPr>
                <w:rFonts w:hint="default" w:ascii="Times New Roman" w:hAnsi="Times New Roman" w:cs="Times New Roman"/>
                <w:sz w:val="24"/>
                <w:szCs w:val="24"/>
                <w:lang w:val="en-US" w:eastAsia="zh-CN"/>
              </w:rPr>
              <w:t>；</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接管量：</w:t>
            </w:r>
            <w:r>
              <w:rPr>
                <w:rFonts w:hint="default" w:ascii="Times New Roman" w:hAnsi="Times New Roman" w:eastAsia="宋体" w:cs="Times New Roman"/>
                <w:sz w:val="24"/>
                <w:szCs w:val="24"/>
                <w:lang w:val="en-US" w:eastAsia="zh-CN"/>
              </w:rPr>
              <w:t xml:space="preserve">COD </w:t>
            </w:r>
            <w:r>
              <w:rPr>
                <w:rFonts w:hint="eastAsia" w:ascii="Times New Roman" w:hAnsi="Times New Roman" w:cs="Times New Roman"/>
                <w:color w:val="auto"/>
                <w:sz w:val="24"/>
                <w:szCs w:val="24"/>
                <w:lang w:val="en-US" w:eastAsia="zh-CN"/>
              </w:rPr>
              <w:t>0.144</w:t>
            </w:r>
            <w:r>
              <w:rPr>
                <w:rFonts w:hint="default" w:ascii="Times New Roman" w:hAnsi="Times New Roman" w:eastAsia="宋体" w:cs="Times New Roman"/>
                <w:color w:val="auto"/>
                <w:sz w:val="24"/>
                <w:szCs w:val="24"/>
              </w:rPr>
              <w:t>t/a、</w:t>
            </w:r>
            <w:r>
              <w:rPr>
                <w:rFonts w:hint="default" w:ascii="Times New Roman" w:hAnsi="Times New Roman" w:eastAsia="宋体" w:cs="Times New Roman"/>
                <w:color w:val="auto"/>
                <w:sz w:val="24"/>
                <w:szCs w:val="24"/>
                <w:lang w:val="en-US" w:eastAsia="zh-CN"/>
              </w:rPr>
              <w:t>SS 0.</w:t>
            </w:r>
            <w:r>
              <w:rPr>
                <w:rFonts w:hint="eastAsia" w:ascii="Times New Roman" w:hAnsi="Times New Roman" w:cs="Times New Roman"/>
                <w:color w:val="auto"/>
                <w:sz w:val="24"/>
                <w:szCs w:val="24"/>
                <w:lang w:val="en-US" w:eastAsia="zh-CN"/>
              </w:rPr>
              <w:t>108</w:t>
            </w:r>
            <w:r>
              <w:rPr>
                <w:rFonts w:hint="default" w:ascii="Times New Roman" w:hAnsi="Times New Roman" w:eastAsia="宋体" w:cs="Times New Roman"/>
                <w:color w:val="auto"/>
                <w:sz w:val="24"/>
                <w:szCs w:val="24"/>
                <w:lang w:eastAsia="zh-CN"/>
              </w:rPr>
              <w:t>t/a、氨氮</w:t>
            </w:r>
            <w:r>
              <w:rPr>
                <w:rFonts w:hint="default" w:ascii="Times New Roman" w:hAnsi="Times New Roman" w:eastAsia="宋体" w:cs="Times New Roman"/>
                <w:color w:val="auto"/>
                <w:sz w:val="24"/>
                <w:szCs w:val="24"/>
                <w:lang w:val="en-US" w:eastAsia="zh-CN"/>
              </w:rPr>
              <w:t>0.</w:t>
            </w:r>
            <w:r>
              <w:rPr>
                <w:rFonts w:hint="eastAsia" w:ascii="Times New Roman" w:hAnsi="Times New Roman" w:cs="Times New Roman"/>
                <w:color w:val="auto"/>
                <w:sz w:val="24"/>
                <w:szCs w:val="24"/>
                <w:lang w:val="en-US" w:eastAsia="zh-CN"/>
              </w:rPr>
              <w:t>0108</w:t>
            </w:r>
            <w:r>
              <w:rPr>
                <w:rFonts w:hint="default" w:ascii="Times New Roman" w:hAnsi="Times New Roman" w:eastAsia="宋体" w:cs="Times New Roman"/>
                <w:color w:val="auto"/>
                <w:sz w:val="24"/>
                <w:szCs w:val="24"/>
                <w:lang w:eastAsia="zh-CN"/>
              </w:rPr>
              <w:t>t/a、</w:t>
            </w:r>
            <w:r>
              <w:rPr>
                <w:rFonts w:hint="eastAsia" w:ascii="Times New Roman" w:hAnsi="Times New Roman" w:cs="Times New Roman"/>
                <w:color w:val="auto"/>
                <w:sz w:val="24"/>
                <w:szCs w:val="24"/>
                <w:lang w:val="en-US" w:eastAsia="zh-CN"/>
              </w:rPr>
              <w:t>总磷</w:t>
            </w:r>
            <w:r>
              <w:rPr>
                <w:rFonts w:hint="default" w:ascii="Times New Roman" w:hAnsi="Times New Roman" w:eastAsia="宋体" w:cs="Times New Roman"/>
                <w:color w:val="auto"/>
                <w:sz w:val="24"/>
                <w:szCs w:val="24"/>
                <w:lang w:val="en-US" w:eastAsia="zh-CN"/>
              </w:rPr>
              <w:t>0.</w:t>
            </w:r>
            <w:r>
              <w:rPr>
                <w:rFonts w:hint="eastAsia" w:ascii="Times New Roman" w:hAnsi="Times New Roman" w:cs="Times New Roman"/>
                <w:color w:val="auto"/>
                <w:sz w:val="24"/>
                <w:szCs w:val="24"/>
                <w:lang w:val="en-US" w:eastAsia="zh-CN"/>
              </w:rPr>
              <w:t>0018</w:t>
            </w:r>
            <w:r>
              <w:rPr>
                <w:rFonts w:hint="default" w:ascii="Times New Roman" w:hAnsi="Times New Roman" w:eastAsia="宋体" w:cs="Times New Roman"/>
                <w:color w:val="auto"/>
                <w:sz w:val="24"/>
                <w:szCs w:val="24"/>
                <w:lang w:eastAsia="zh-CN"/>
              </w:rPr>
              <w:t>t/a、</w:t>
            </w:r>
            <w:r>
              <w:rPr>
                <w:rFonts w:hint="eastAsia" w:ascii="Times New Roman" w:hAnsi="Times New Roman" w:cs="Times New Roman"/>
                <w:color w:val="auto"/>
                <w:sz w:val="24"/>
                <w:szCs w:val="24"/>
                <w:lang w:val="en-US" w:eastAsia="zh-CN"/>
              </w:rPr>
              <w:t>总</w:t>
            </w:r>
            <w:r>
              <w:rPr>
                <w:rFonts w:hint="default" w:ascii="Times New Roman" w:hAnsi="Times New Roman" w:eastAsia="宋体" w:cs="Times New Roman"/>
                <w:color w:val="auto"/>
                <w:sz w:val="24"/>
                <w:szCs w:val="24"/>
                <w:lang w:eastAsia="zh-CN"/>
              </w:rPr>
              <w:t>氮</w:t>
            </w:r>
            <w:r>
              <w:rPr>
                <w:rFonts w:hint="default" w:ascii="Times New Roman" w:hAnsi="Times New Roman" w:eastAsia="宋体" w:cs="Times New Roman"/>
                <w:color w:val="auto"/>
                <w:sz w:val="24"/>
                <w:szCs w:val="24"/>
                <w:lang w:val="en-US" w:eastAsia="zh-CN"/>
              </w:rPr>
              <w:t>0.</w:t>
            </w:r>
            <w:r>
              <w:rPr>
                <w:rFonts w:hint="eastAsia" w:ascii="Times New Roman" w:hAnsi="Times New Roman" w:cs="Times New Roman"/>
                <w:color w:val="auto"/>
                <w:sz w:val="24"/>
                <w:szCs w:val="24"/>
                <w:lang w:val="en-US" w:eastAsia="zh-CN"/>
              </w:rPr>
              <w:t>0144</w:t>
            </w:r>
            <w:r>
              <w:rPr>
                <w:rFonts w:hint="default" w:ascii="Times New Roman" w:hAnsi="Times New Roman" w:eastAsia="宋体" w:cs="Times New Roman"/>
                <w:color w:val="auto"/>
                <w:sz w:val="24"/>
                <w:szCs w:val="24"/>
                <w:lang w:eastAsia="zh-CN"/>
              </w:rPr>
              <w:t>t/a</w:t>
            </w:r>
            <w:r>
              <w:rPr>
                <w:rFonts w:hint="default" w:ascii="Times New Roman" w:hAnsi="Times New Roman" w:cs="Times New Roman"/>
                <w:sz w:val="24"/>
                <w:szCs w:val="24"/>
                <w:lang w:val="en-US" w:eastAsia="zh-CN"/>
              </w:rPr>
              <w:t>；</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外排环境量：</w:t>
            </w:r>
            <w:r>
              <w:rPr>
                <w:rFonts w:hint="default" w:ascii="Times New Roman" w:hAnsi="Times New Roman" w:eastAsia="宋体" w:cs="Times New Roman"/>
                <w:sz w:val="24"/>
                <w:szCs w:val="24"/>
                <w:lang w:val="en-US" w:eastAsia="zh-CN"/>
              </w:rPr>
              <w:t xml:space="preserve">COD </w:t>
            </w:r>
            <w:r>
              <w:rPr>
                <w:rFonts w:hint="eastAsia" w:ascii="Times New Roman" w:hAnsi="Times New Roman" w:cs="Times New Roman"/>
                <w:color w:val="auto"/>
                <w:sz w:val="24"/>
                <w:szCs w:val="24"/>
                <w:lang w:val="en-US" w:eastAsia="zh-CN"/>
              </w:rPr>
              <w:t>0.018</w:t>
            </w:r>
            <w:r>
              <w:rPr>
                <w:rFonts w:hint="default" w:ascii="Times New Roman" w:hAnsi="Times New Roman" w:eastAsia="宋体" w:cs="Times New Roman"/>
                <w:color w:val="auto"/>
                <w:sz w:val="24"/>
                <w:szCs w:val="24"/>
              </w:rPr>
              <w:t>t/a、</w:t>
            </w:r>
            <w:r>
              <w:rPr>
                <w:rFonts w:hint="default" w:ascii="Times New Roman" w:hAnsi="Times New Roman" w:eastAsia="宋体" w:cs="Times New Roman"/>
                <w:color w:val="auto"/>
                <w:sz w:val="24"/>
                <w:szCs w:val="24"/>
                <w:lang w:val="en-US" w:eastAsia="zh-CN"/>
              </w:rPr>
              <w:t>SS 0.</w:t>
            </w:r>
            <w:r>
              <w:rPr>
                <w:rFonts w:hint="eastAsia" w:ascii="Times New Roman" w:hAnsi="Times New Roman" w:cs="Times New Roman"/>
                <w:color w:val="auto"/>
                <w:sz w:val="24"/>
                <w:szCs w:val="24"/>
                <w:lang w:val="en-US" w:eastAsia="zh-CN"/>
              </w:rPr>
              <w:t>0036</w:t>
            </w:r>
            <w:r>
              <w:rPr>
                <w:rFonts w:hint="default" w:ascii="Times New Roman" w:hAnsi="Times New Roman" w:eastAsia="宋体" w:cs="Times New Roman"/>
                <w:color w:val="auto"/>
                <w:sz w:val="24"/>
                <w:szCs w:val="24"/>
                <w:lang w:eastAsia="zh-CN"/>
              </w:rPr>
              <w:t>t/a、氨氮</w:t>
            </w:r>
            <w:r>
              <w:rPr>
                <w:rFonts w:hint="default" w:ascii="Times New Roman" w:hAnsi="Times New Roman" w:eastAsia="宋体" w:cs="Times New Roman"/>
                <w:color w:val="auto"/>
                <w:sz w:val="24"/>
                <w:szCs w:val="24"/>
                <w:lang w:val="en-US" w:eastAsia="zh-CN"/>
              </w:rPr>
              <w:t>0.</w:t>
            </w:r>
            <w:r>
              <w:rPr>
                <w:rFonts w:hint="eastAsia" w:ascii="Times New Roman" w:hAnsi="Times New Roman" w:cs="Times New Roman"/>
                <w:color w:val="auto"/>
                <w:sz w:val="24"/>
                <w:szCs w:val="24"/>
                <w:lang w:val="en-US" w:eastAsia="zh-CN"/>
              </w:rPr>
              <w:t>0018</w:t>
            </w:r>
            <w:r>
              <w:rPr>
                <w:rFonts w:hint="default" w:ascii="Times New Roman" w:hAnsi="Times New Roman" w:eastAsia="宋体" w:cs="Times New Roman"/>
                <w:color w:val="auto"/>
                <w:sz w:val="24"/>
                <w:szCs w:val="24"/>
                <w:lang w:eastAsia="zh-CN"/>
              </w:rPr>
              <w:t>t/a、</w:t>
            </w:r>
            <w:r>
              <w:rPr>
                <w:rFonts w:hint="eastAsia" w:ascii="Times New Roman" w:hAnsi="Times New Roman" w:cs="Times New Roman"/>
                <w:color w:val="auto"/>
                <w:sz w:val="24"/>
                <w:szCs w:val="24"/>
                <w:lang w:val="en-US" w:eastAsia="zh-CN"/>
              </w:rPr>
              <w:t>总磷</w:t>
            </w:r>
            <w:r>
              <w:rPr>
                <w:rFonts w:hint="default" w:ascii="Times New Roman" w:hAnsi="Times New Roman" w:eastAsia="宋体" w:cs="Times New Roman"/>
                <w:color w:val="auto"/>
                <w:sz w:val="24"/>
                <w:szCs w:val="24"/>
                <w:lang w:val="en-US" w:eastAsia="zh-CN"/>
              </w:rPr>
              <w:t>0.</w:t>
            </w:r>
            <w:r>
              <w:rPr>
                <w:rFonts w:hint="eastAsia" w:ascii="Times New Roman" w:hAnsi="Times New Roman" w:cs="Times New Roman"/>
                <w:color w:val="auto"/>
                <w:sz w:val="24"/>
                <w:szCs w:val="24"/>
                <w:lang w:val="en-US" w:eastAsia="zh-CN"/>
              </w:rPr>
              <w:t>0002</w:t>
            </w:r>
            <w:r>
              <w:rPr>
                <w:rFonts w:hint="default" w:ascii="Times New Roman" w:hAnsi="Times New Roman" w:eastAsia="宋体" w:cs="Times New Roman"/>
                <w:color w:val="auto"/>
                <w:sz w:val="24"/>
                <w:szCs w:val="24"/>
                <w:lang w:eastAsia="zh-CN"/>
              </w:rPr>
              <w:t>t/a、</w:t>
            </w:r>
            <w:r>
              <w:rPr>
                <w:rFonts w:hint="eastAsia" w:ascii="Times New Roman" w:hAnsi="Times New Roman" w:cs="Times New Roman"/>
                <w:color w:val="auto"/>
                <w:sz w:val="24"/>
                <w:szCs w:val="24"/>
                <w:lang w:val="en-US" w:eastAsia="zh-CN"/>
              </w:rPr>
              <w:t>总</w:t>
            </w:r>
            <w:r>
              <w:rPr>
                <w:rFonts w:hint="default" w:ascii="Times New Roman" w:hAnsi="Times New Roman" w:eastAsia="宋体" w:cs="Times New Roman"/>
                <w:color w:val="auto"/>
                <w:sz w:val="24"/>
                <w:szCs w:val="24"/>
                <w:lang w:eastAsia="zh-CN"/>
              </w:rPr>
              <w:t>氮</w:t>
            </w:r>
            <w:r>
              <w:rPr>
                <w:rFonts w:hint="default" w:ascii="Times New Roman" w:hAnsi="Times New Roman" w:eastAsia="宋体" w:cs="Times New Roman"/>
                <w:color w:val="auto"/>
                <w:sz w:val="24"/>
                <w:szCs w:val="24"/>
                <w:lang w:val="en-US" w:eastAsia="zh-CN"/>
              </w:rPr>
              <w:t>0.</w:t>
            </w:r>
            <w:r>
              <w:rPr>
                <w:rFonts w:hint="eastAsia" w:ascii="Times New Roman" w:hAnsi="Times New Roman" w:cs="Times New Roman"/>
                <w:color w:val="auto"/>
                <w:sz w:val="24"/>
                <w:szCs w:val="24"/>
                <w:lang w:val="en-US" w:eastAsia="zh-CN"/>
              </w:rPr>
              <w:t>0054</w:t>
            </w:r>
            <w:r>
              <w:rPr>
                <w:rFonts w:hint="default" w:ascii="Times New Roman" w:hAnsi="Times New Roman" w:eastAsia="宋体" w:cs="Times New Roman"/>
                <w:color w:val="auto"/>
                <w:sz w:val="24"/>
                <w:szCs w:val="24"/>
                <w:lang w:eastAsia="zh-CN"/>
              </w:rPr>
              <w:t>t/a</w:t>
            </w:r>
            <w:r>
              <w:rPr>
                <w:rFonts w:hint="default" w:ascii="Times New Roman" w:hAnsi="Times New Roman" w:cs="Times New Roman"/>
                <w:sz w:val="24"/>
                <w:szCs w:val="24"/>
                <w:lang w:val="en-US" w:eastAsia="zh-CN"/>
              </w:rPr>
              <w:t>；</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③固体废物：0。</w:t>
            </w:r>
          </w:p>
          <w:p>
            <w:pPr>
              <w:spacing w:line="460" w:lineRule="exact"/>
              <w:ind w:firstLine="482" w:firstLineChars="200"/>
              <w:jc w:val="both"/>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2、本次技改项目排放</w:t>
            </w:r>
            <w:r>
              <w:rPr>
                <w:rFonts w:hint="default" w:ascii="Times New Roman" w:hAnsi="Times New Roman" w:cs="Times New Roman"/>
                <w:b/>
                <w:bCs/>
                <w:sz w:val="24"/>
                <w:szCs w:val="24"/>
                <w:lang w:eastAsia="zh-CN"/>
              </w:rPr>
              <w:t>量：</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①大气污染物：</w:t>
            </w:r>
          </w:p>
          <w:p>
            <w:pPr>
              <w:spacing w:line="460" w:lineRule="exact"/>
              <w:ind w:firstLine="480" w:firstLineChars="200"/>
              <w:jc w:val="both"/>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有组织废气：</w:t>
            </w:r>
            <w:r>
              <w:rPr>
                <w:rFonts w:hint="default" w:ascii="Times New Roman" w:hAnsi="Times New Roman" w:cs="Times New Roman"/>
                <w:bCs/>
                <w:color w:val="auto"/>
                <w:sz w:val="24"/>
                <w:szCs w:val="24"/>
                <w:lang w:val="en-US" w:eastAsia="zh-CN"/>
              </w:rPr>
              <w:t>非甲烷总烃0.0</w:t>
            </w:r>
            <w:r>
              <w:rPr>
                <w:rFonts w:hint="eastAsia" w:ascii="Times New Roman" w:hAnsi="Times New Roman" w:cs="Times New Roman"/>
                <w:bCs/>
                <w:color w:val="auto"/>
                <w:sz w:val="24"/>
                <w:szCs w:val="24"/>
                <w:lang w:val="en-US" w:eastAsia="zh-CN"/>
              </w:rPr>
              <w:t>94</w:t>
            </w:r>
            <w:r>
              <w:rPr>
                <w:rFonts w:hint="default" w:ascii="Times New Roman" w:hAnsi="Times New Roman" w:cs="Times New Roman"/>
                <w:bCs/>
                <w:color w:val="auto"/>
                <w:sz w:val="24"/>
                <w:szCs w:val="24"/>
                <w:lang w:val="en-US" w:eastAsia="zh-CN"/>
              </w:rPr>
              <w:t>t/a；</w:t>
            </w:r>
          </w:p>
          <w:p>
            <w:pPr>
              <w:spacing w:line="460" w:lineRule="exact"/>
              <w:ind w:firstLine="480" w:firstLineChars="200"/>
              <w:jc w:val="both"/>
              <w:rPr>
                <w:rFonts w:hint="default" w:ascii="Times New Roman" w:hAnsi="Times New Roman" w:eastAsia="宋体" w:cs="Times New Roman"/>
                <w:bCs/>
                <w:color w:val="auto"/>
                <w:sz w:val="24"/>
                <w:szCs w:val="24"/>
                <w:lang w:eastAsia="zh-CN"/>
              </w:rPr>
            </w:pPr>
            <w:r>
              <w:rPr>
                <w:rFonts w:hint="default" w:ascii="Times New Roman" w:hAnsi="Times New Roman" w:eastAsia="宋体" w:cs="Times New Roman"/>
                <w:bCs/>
                <w:color w:val="auto"/>
                <w:sz w:val="24"/>
                <w:szCs w:val="24"/>
                <w:lang w:val="en-US" w:eastAsia="zh-CN"/>
              </w:rPr>
              <w:t>无组织废气：</w:t>
            </w:r>
            <w:r>
              <w:rPr>
                <w:rFonts w:hint="default" w:ascii="Times New Roman" w:hAnsi="Times New Roman" w:cs="Times New Roman"/>
                <w:bCs/>
                <w:color w:val="auto"/>
                <w:sz w:val="24"/>
                <w:szCs w:val="24"/>
                <w:lang w:val="en-US" w:eastAsia="zh-CN"/>
              </w:rPr>
              <w:t>非甲烷总烃0.0</w:t>
            </w:r>
            <w:r>
              <w:rPr>
                <w:rFonts w:hint="eastAsia" w:ascii="Times New Roman" w:hAnsi="Times New Roman" w:cs="Times New Roman"/>
                <w:bCs/>
                <w:color w:val="auto"/>
                <w:sz w:val="24"/>
                <w:szCs w:val="24"/>
                <w:lang w:val="en-US" w:eastAsia="zh-CN"/>
              </w:rPr>
              <w:t>11</w:t>
            </w:r>
            <w:r>
              <w:rPr>
                <w:rFonts w:hint="default" w:ascii="Times New Roman" w:hAnsi="Times New Roman" w:cs="Times New Roman"/>
                <w:bCs/>
                <w:color w:val="auto"/>
                <w:sz w:val="24"/>
                <w:szCs w:val="24"/>
                <w:lang w:val="en-US" w:eastAsia="zh-CN"/>
              </w:rPr>
              <w:t>t/a</w:t>
            </w:r>
            <w:r>
              <w:rPr>
                <w:rFonts w:hint="default" w:ascii="Times New Roman" w:hAnsi="Times New Roman" w:eastAsia="宋体" w:cs="Times New Roman"/>
                <w:bCs/>
                <w:color w:val="auto"/>
                <w:sz w:val="24"/>
                <w:szCs w:val="24"/>
                <w:lang w:eastAsia="zh-CN"/>
              </w:rPr>
              <w:t>；</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②废水污染物：</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废水量：无</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③固体废物：0。</w:t>
            </w:r>
          </w:p>
          <w:p>
            <w:pPr>
              <w:spacing w:line="460" w:lineRule="exact"/>
              <w:ind w:firstLine="482" w:firstLineChars="200"/>
              <w:jc w:val="both"/>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3、技改后全厂排放量：</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①大气污染物：</w:t>
            </w:r>
          </w:p>
          <w:p>
            <w:pPr>
              <w:spacing w:line="460" w:lineRule="exact"/>
              <w:ind w:firstLine="480" w:firstLineChars="200"/>
              <w:jc w:val="both"/>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有组织废气：</w:t>
            </w:r>
            <w:r>
              <w:rPr>
                <w:rFonts w:hint="default" w:ascii="Times New Roman" w:hAnsi="Times New Roman" w:cs="Times New Roman"/>
                <w:bCs/>
                <w:color w:val="auto"/>
                <w:sz w:val="24"/>
                <w:szCs w:val="24"/>
                <w:lang w:val="en-US" w:eastAsia="zh-CN"/>
              </w:rPr>
              <w:t>非甲烷总烃0.</w:t>
            </w:r>
            <w:r>
              <w:rPr>
                <w:rFonts w:hint="eastAsia" w:ascii="Times New Roman" w:hAnsi="Times New Roman" w:cs="Times New Roman"/>
                <w:bCs/>
                <w:color w:val="auto"/>
                <w:sz w:val="24"/>
                <w:szCs w:val="24"/>
                <w:lang w:val="en-US" w:eastAsia="zh-CN"/>
              </w:rPr>
              <w:t>157</w:t>
            </w:r>
            <w:r>
              <w:rPr>
                <w:rFonts w:hint="default" w:ascii="Times New Roman" w:hAnsi="Times New Roman" w:cs="Times New Roman"/>
                <w:bCs/>
                <w:color w:val="auto"/>
                <w:sz w:val="24"/>
                <w:szCs w:val="24"/>
                <w:lang w:val="en-US" w:eastAsia="zh-CN"/>
              </w:rPr>
              <w:t>t/a</w:t>
            </w:r>
            <w:r>
              <w:rPr>
                <w:rFonts w:hint="default" w:ascii="Times New Roman" w:hAnsi="Times New Roman" w:eastAsia="宋体" w:cs="Times New Roman"/>
                <w:bCs/>
                <w:color w:val="auto"/>
                <w:sz w:val="24"/>
                <w:szCs w:val="24"/>
                <w:lang w:val="en-US" w:eastAsia="zh-CN"/>
              </w:rPr>
              <w:t>；</w:t>
            </w:r>
          </w:p>
          <w:p>
            <w:pPr>
              <w:spacing w:line="460" w:lineRule="exact"/>
              <w:ind w:firstLine="480" w:firstLineChars="200"/>
              <w:jc w:val="both"/>
              <w:rPr>
                <w:rFonts w:hint="default" w:ascii="Times New Roman" w:hAnsi="Times New Roman" w:eastAsia="宋体" w:cs="Times New Roman"/>
                <w:bCs/>
                <w:color w:val="auto"/>
                <w:sz w:val="24"/>
                <w:szCs w:val="24"/>
                <w:lang w:eastAsia="zh-CN"/>
              </w:rPr>
            </w:pPr>
            <w:r>
              <w:rPr>
                <w:rFonts w:hint="default" w:ascii="Times New Roman" w:hAnsi="Times New Roman" w:eastAsia="宋体" w:cs="Times New Roman"/>
                <w:bCs/>
                <w:color w:val="auto"/>
                <w:sz w:val="24"/>
                <w:szCs w:val="24"/>
                <w:lang w:val="en-US" w:eastAsia="zh-CN"/>
              </w:rPr>
              <w:t>无组织废气：</w:t>
            </w:r>
            <w:r>
              <w:rPr>
                <w:rFonts w:hint="default" w:ascii="Times New Roman" w:hAnsi="Times New Roman" w:cs="Times New Roman"/>
                <w:bCs/>
                <w:color w:val="auto"/>
                <w:sz w:val="24"/>
                <w:szCs w:val="24"/>
                <w:lang w:val="en-US" w:eastAsia="zh-CN"/>
              </w:rPr>
              <w:t>非甲烷总烃0.0</w:t>
            </w:r>
            <w:r>
              <w:rPr>
                <w:rFonts w:hint="eastAsia" w:ascii="Times New Roman" w:hAnsi="Times New Roman" w:cs="Times New Roman"/>
                <w:bCs/>
                <w:color w:val="auto"/>
                <w:sz w:val="24"/>
                <w:szCs w:val="24"/>
                <w:lang w:val="en-US" w:eastAsia="zh-CN"/>
              </w:rPr>
              <w:t>11</w:t>
            </w:r>
            <w:r>
              <w:rPr>
                <w:rFonts w:hint="default" w:ascii="Times New Roman" w:hAnsi="Times New Roman" w:cs="Times New Roman"/>
                <w:bCs/>
                <w:color w:val="auto"/>
                <w:sz w:val="24"/>
                <w:szCs w:val="24"/>
                <w:lang w:val="en-US" w:eastAsia="zh-CN"/>
              </w:rPr>
              <w:t>t/a</w:t>
            </w:r>
            <w:r>
              <w:rPr>
                <w:rFonts w:hint="default" w:ascii="Times New Roman" w:hAnsi="Times New Roman" w:eastAsia="宋体" w:cs="Times New Roman"/>
                <w:bCs/>
                <w:color w:val="auto"/>
                <w:sz w:val="24"/>
                <w:szCs w:val="24"/>
                <w:lang w:eastAsia="zh-CN"/>
              </w:rPr>
              <w:t>；</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②废水污染物：</w:t>
            </w:r>
          </w:p>
          <w:p>
            <w:pPr>
              <w:spacing w:line="460" w:lineRule="exact"/>
              <w:ind w:firstLine="480" w:firstLineChars="200"/>
              <w:jc w:val="both"/>
              <w:rPr>
                <w:rFonts w:hint="default" w:ascii="Times New Roman" w:hAnsi="Times New Roman" w:eastAsia="宋体" w:cs="Times New Roman"/>
                <w:sz w:val="24"/>
                <w:szCs w:val="24"/>
                <w:lang w:eastAsia="zh-CN"/>
              </w:rPr>
            </w:pPr>
            <w:r>
              <w:rPr>
                <w:rFonts w:hint="default" w:ascii="Times New Roman" w:hAnsi="Times New Roman" w:cs="Times New Roman"/>
                <w:sz w:val="24"/>
                <w:szCs w:val="24"/>
                <w:lang w:val="en-US" w:eastAsia="zh-CN"/>
              </w:rPr>
              <w:t>废水量：</w:t>
            </w:r>
            <w:r>
              <w:rPr>
                <w:rFonts w:hint="eastAsia" w:ascii="Times New Roman" w:hAnsi="Times New Roman" w:cs="Times New Roman"/>
                <w:sz w:val="24"/>
                <w:szCs w:val="24"/>
                <w:lang w:val="en-US" w:eastAsia="zh-CN"/>
              </w:rPr>
              <w:t>360</w:t>
            </w:r>
            <w:r>
              <w:rPr>
                <w:rFonts w:hint="default" w:ascii="Times New Roman" w:hAnsi="Times New Roman" w:eastAsia="宋体" w:cs="Times New Roman"/>
                <w:sz w:val="24"/>
                <w:szCs w:val="24"/>
                <w:lang w:eastAsia="zh-CN"/>
              </w:rPr>
              <w:t>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/a；</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接管量：</w:t>
            </w:r>
            <w:r>
              <w:rPr>
                <w:rFonts w:hint="default" w:ascii="Times New Roman" w:hAnsi="Times New Roman" w:eastAsia="宋体" w:cs="Times New Roman"/>
                <w:sz w:val="24"/>
                <w:szCs w:val="24"/>
                <w:lang w:val="en-US" w:eastAsia="zh-CN"/>
              </w:rPr>
              <w:t xml:space="preserve">COD </w:t>
            </w:r>
            <w:r>
              <w:rPr>
                <w:rFonts w:hint="eastAsia" w:ascii="Times New Roman" w:hAnsi="Times New Roman" w:cs="Times New Roman"/>
                <w:color w:val="auto"/>
                <w:sz w:val="24"/>
                <w:szCs w:val="24"/>
                <w:lang w:val="en-US" w:eastAsia="zh-CN"/>
              </w:rPr>
              <w:t>0.144</w:t>
            </w:r>
            <w:r>
              <w:rPr>
                <w:rFonts w:hint="default" w:ascii="Times New Roman" w:hAnsi="Times New Roman" w:eastAsia="宋体" w:cs="Times New Roman"/>
                <w:color w:val="auto"/>
                <w:sz w:val="24"/>
                <w:szCs w:val="24"/>
              </w:rPr>
              <w:t>t/a、</w:t>
            </w:r>
            <w:r>
              <w:rPr>
                <w:rFonts w:hint="default" w:ascii="Times New Roman" w:hAnsi="Times New Roman" w:eastAsia="宋体" w:cs="Times New Roman"/>
                <w:color w:val="auto"/>
                <w:sz w:val="24"/>
                <w:szCs w:val="24"/>
                <w:lang w:val="en-US" w:eastAsia="zh-CN"/>
              </w:rPr>
              <w:t>SS 0.</w:t>
            </w:r>
            <w:r>
              <w:rPr>
                <w:rFonts w:hint="eastAsia" w:ascii="Times New Roman" w:hAnsi="Times New Roman" w:cs="Times New Roman"/>
                <w:color w:val="auto"/>
                <w:sz w:val="24"/>
                <w:szCs w:val="24"/>
                <w:lang w:val="en-US" w:eastAsia="zh-CN"/>
              </w:rPr>
              <w:t>108</w:t>
            </w:r>
            <w:r>
              <w:rPr>
                <w:rFonts w:hint="default" w:ascii="Times New Roman" w:hAnsi="Times New Roman" w:eastAsia="宋体" w:cs="Times New Roman"/>
                <w:color w:val="auto"/>
                <w:sz w:val="24"/>
                <w:szCs w:val="24"/>
                <w:lang w:eastAsia="zh-CN"/>
              </w:rPr>
              <w:t>t/a、氨氮</w:t>
            </w:r>
            <w:r>
              <w:rPr>
                <w:rFonts w:hint="default" w:ascii="Times New Roman" w:hAnsi="Times New Roman" w:eastAsia="宋体" w:cs="Times New Roman"/>
                <w:color w:val="auto"/>
                <w:sz w:val="24"/>
                <w:szCs w:val="24"/>
                <w:lang w:val="en-US" w:eastAsia="zh-CN"/>
              </w:rPr>
              <w:t>0.</w:t>
            </w:r>
            <w:r>
              <w:rPr>
                <w:rFonts w:hint="eastAsia" w:ascii="Times New Roman" w:hAnsi="Times New Roman" w:cs="Times New Roman"/>
                <w:color w:val="auto"/>
                <w:sz w:val="24"/>
                <w:szCs w:val="24"/>
                <w:lang w:val="en-US" w:eastAsia="zh-CN"/>
              </w:rPr>
              <w:t>0108</w:t>
            </w:r>
            <w:r>
              <w:rPr>
                <w:rFonts w:hint="default" w:ascii="Times New Roman" w:hAnsi="Times New Roman" w:eastAsia="宋体" w:cs="Times New Roman"/>
                <w:color w:val="auto"/>
                <w:sz w:val="24"/>
                <w:szCs w:val="24"/>
                <w:lang w:eastAsia="zh-CN"/>
              </w:rPr>
              <w:t>t/a、</w:t>
            </w:r>
            <w:r>
              <w:rPr>
                <w:rFonts w:hint="eastAsia" w:ascii="Times New Roman" w:hAnsi="Times New Roman" w:cs="Times New Roman"/>
                <w:color w:val="auto"/>
                <w:sz w:val="24"/>
                <w:szCs w:val="24"/>
                <w:lang w:val="en-US" w:eastAsia="zh-CN"/>
              </w:rPr>
              <w:t>总磷</w:t>
            </w:r>
            <w:r>
              <w:rPr>
                <w:rFonts w:hint="default" w:ascii="Times New Roman" w:hAnsi="Times New Roman" w:eastAsia="宋体" w:cs="Times New Roman"/>
                <w:color w:val="auto"/>
                <w:sz w:val="24"/>
                <w:szCs w:val="24"/>
                <w:lang w:val="en-US" w:eastAsia="zh-CN"/>
              </w:rPr>
              <w:t>0.</w:t>
            </w:r>
            <w:r>
              <w:rPr>
                <w:rFonts w:hint="eastAsia" w:ascii="Times New Roman" w:hAnsi="Times New Roman" w:cs="Times New Roman"/>
                <w:color w:val="auto"/>
                <w:sz w:val="24"/>
                <w:szCs w:val="24"/>
                <w:lang w:val="en-US" w:eastAsia="zh-CN"/>
              </w:rPr>
              <w:t>0018</w:t>
            </w:r>
            <w:r>
              <w:rPr>
                <w:rFonts w:hint="default" w:ascii="Times New Roman" w:hAnsi="Times New Roman" w:eastAsia="宋体" w:cs="Times New Roman"/>
                <w:color w:val="auto"/>
                <w:sz w:val="24"/>
                <w:szCs w:val="24"/>
                <w:lang w:eastAsia="zh-CN"/>
              </w:rPr>
              <w:t>t/a、</w:t>
            </w:r>
            <w:r>
              <w:rPr>
                <w:rFonts w:hint="eastAsia" w:ascii="Times New Roman" w:hAnsi="Times New Roman" w:cs="Times New Roman"/>
                <w:color w:val="auto"/>
                <w:sz w:val="24"/>
                <w:szCs w:val="24"/>
                <w:lang w:val="en-US" w:eastAsia="zh-CN"/>
              </w:rPr>
              <w:t>总</w:t>
            </w:r>
            <w:r>
              <w:rPr>
                <w:rFonts w:hint="default" w:ascii="Times New Roman" w:hAnsi="Times New Roman" w:eastAsia="宋体" w:cs="Times New Roman"/>
                <w:color w:val="auto"/>
                <w:sz w:val="24"/>
                <w:szCs w:val="24"/>
                <w:lang w:eastAsia="zh-CN"/>
              </w:rPr>
              <w:t>氮</w:t>
            </w:r>
            <w:r>
              <w:rPr>
                <w:rFonts w:hint="default" w:ascii="Times New Roman" w:hAnsi="Times New Roman" w:eastAsia="宋体" w:cs="Times New Roman"/>
                <w:color w:val="auto"/>
                <w:sz w:val="24"/>
                <w:szCs w:val="24"/>
                <w:lang w:val="en-US" w:eastAsia="zh-CN"/>
              </w:rPr>
              <w:t>0.</w:t>
            </w:r>
            <w:r>
              <w:rPr>
                <w:rFonts w:hint="eastAsia" w:ascii="Times New Roman" w:hAnsi="Times New Roman" w:cs="Times New Roman"/>
                <w:color w:val="auto"/>
                <w:sz w:val="24"/>
                <w:szCs w:val="24"/>
                <w:lang w:val="en-US" w:eastAsia="zh-CN"/>
              </w:rPr>
              <w:t>0144</w:t>
            </w:r>
            <w:r>
              <w:rPr>
                <w:rFonts w:hint="default" w:ascii="Times New Roman" w:hAnsi="Times New Roman" w:eastAsia="宋体" w:cs="Times New Roman"/>
                <w:color w:val="auto"/>
                <w:sz w:val="24"/>
                <w:szCs w:val="24"/>
                <w:lang w:eastAsia="zh-CN"/>
              </w:rPr>
              <w:t>t/a</w:t>
            </w:r>
            <w:r>
              <w:rPr>
                <w:rFonts w:hint="default" w:ascii="Times New Roman" w:hAnsi="Times New Roman" w:cs="Times New Roman"/>
                <w:sz w:val="24"/>
                <w:szCs w:val="24"/>
                <w:lang w:val="en-US" w:eastAsia="zh-CN"/>
              </w:rPr>
              <w:t>；</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外排环境量：</w:t>
            </w:r>
            <w:r>
              <w:rPr>
                <w:rFonts w:hint="default" w:ascii="Times New Roman" w:hAnsi="Times New Roman" w:eastAsia="宋体" w:cs="Times New Roman"/>
                <w:sz w:val="24"/>
                <w:szCs w:val="24"/>
                <w:lang w:val="en-US" w:eastAsia="zh-CN"/>
              </w:rPr>
              <w:t xml:space="preserve">COD </w:t>
            </w:r>
            <w:r>
              <w:rPr>
                <w:rFonts w:hint="eastAsia" w:ascii="Times New Roman" w:hAnsi="Times New Roman" w:cs="Times New Roman"/>
                <w:color w:val="auto"/>
                <w:sz w:val="24"/>
                <w:szCs w:val="24"/>
                <w:lang w:val="en-US" w:eastAsia="zh-CN"/>
              </w:rPr>
              <w:t>0.018</w:t>
            </w:r>
            <w:r>
              <w:rPr>
                <w:rFonts w:hint="default" w:ascii="Times New Roman" w:hAnsi="Times New Roman" w:eastAsia="宋体" w:cs="Times New Roman"/>
                <w:color w:val="auto"/>
                <w:sz w:val="24"/>
                <w:szCs w:val="24"/>
              </w:rPr>
              <w:t>t/a、</w:t>
            </w:r>
            <w:r>
              <w:rPr>
                <w:rFonts w:hint="default" w:ascii="Times New Roman" w:hAnsi="Times New Roman" w:eastAsia="宋体" w:cs="Times New Roman"/>
                <w:color w:val="auto"/>
                <w:sz w:val="24"/>
                <w:szCs w:val="24"/>
                <w:lang w:val="en-US" w:eastAsia="zh-CN"/>
              </w:rPr>
              <w:t>SS 0.</w:t>
            </w:r>
            <w:r>
              <w:rPr>
                <w:rFonts w:hint="eastAsia" w:ascii="Times New Roman" w:hAnsi="Times New Roman" w:cs="Times New Roman"/>
                <w:color w:val="auto"/>
                <w:sz w:val="24"/>
                <w:szCs w:val="24"/>
                <w:lang w:val="en-US" w:eastAsia="zh-CN"/>
              </w:rPr>
              <w:t>0036</w:t>
            </w:r>
            <w:r>
              <w:rPr>
                <w:rFonts w:hint="default" w:ascii="Times New Roman" w:hAnsi="Times New Roman" w:eastAsia="宋体" w:cs="Times New Roman"/>
                <w:color w:val="auto"/>
                <w:sz w:val="24"/>
                <w:szCs w:val="24"/>
                <w:lang w:eastAsia="zh-CN"/>
              </w:rPr>
              <w:t>t/a、氨氮</w:t>
            </w:r>
            <w:r>
              <w:rPr>
                <w:rFonts w:hint="default" w:ascii="Times New Roman" w:hAnsi="Times New Roman" w:eastAsia="宋体" w:cs="Times New Roman"/>
                <w:color w:val="auto"/>
                <w:sz w:val="24"/>
                <w:szCs w:val="24"/>
                <w:lang w:val="en-US" w:eastAsia="zh-CN"/>
              </w:rPr>
              <w:t>0.</w:t>
            </w:r>
            <w:r>
              <w:rPr>
                <w:rFonts w:hint="eastAsia" w:ascii="Times New Roman" w:hAnsi="Times New Roman" w:cs="Times New Roman"/>
                <w:color w:val="auto"/>
                <w:sz w:val="24"/>
                <w:szCs w:val="24"/>
                <w:lang w:val="en-US" w:eastAsia="zh-CN"/>
              </w:rPr>
              <w:t>0018</w:t>
            </w:r>
            <w:r>
              <w:rPr>
                <w:rFonts w:hint="default" w:ascii="Times New Roman" w:hAnsi="Times New Roman" w:eastAsia="宋体" w:cs="Times New Roman"/>
                <w:color w:val="auto"/>
                <w:sz w:val="24"/>
                <w:szCs w:val="24"/>
                <w:lang w:eastAsia="zh-CN"/>
              </w:rPr>
              <w:t>t/a、</w:t>
            </w:r>
            <w:r>
              <w:rPr>
                <w:rFonts w:hint="eastAsia" w:ascii="Times New Roman" w:hAnsi="Times New Roman" w:cs="Times New Roman"/>
                <w:color w:val="auto"/>
                <w:sz w:val="24"/>
                <w:szCs w:val="24"/>
                <w:lang w:val="en-US" w:eastAsia="zh-CN"/>
              </w:rPr>
              <w:t>总磷</w:t>
            </w:r>
            <w:r>
              <w:rPr>
                <w:rFonts w:hint="default" w:ascii="Times New Roman" w:hAnsi="Times New Roman" w:eastAsia="宋体" w:cs="Times New Roman"/>
                <w:color w:val="auto"/>
                <w:sz w:val="24"/>
                <w:szCs w:val="24"/>
                <w:lang w:val="en-US" w:eastAsia="zh-CN"/>
              </w:rPr>
              <w:t>0.</w:t>
            </w:r>
            <w:r>
              <w:rPr>
                <w:rFonts w:hint="eastAsia" w:ascii="Times New Roman" w:hAnsi="Times New Roman" w:cs="Times New Roman"/>
                <w:color w:val="auto"/>
                <w:sz w:val="24"/>
                <w:szCs w:val="24"/>
                <w:lang w:val="en-US" w:eastAsia="zh-CN"/>
              </w:rPr>
              <w:t>0002</w:t>
            </w:r>
            <w:r>
              <w:rPr>
                <w:rFonts w:hint="default" w:ascii="Times New Roman" w:hAnsi="Times New Roman" w:eastAsia="宋体" w:cs="Times New Roman"/>
                <w:color w:val="auto"/>
                <w:sz w:val="24"/>
                <w:szCs w:val="24"/>
                <w:lang w:eastAsia="zh-CN"/>
              </w:rPr>
              <w:t>t/a、</w:t>
            </w:r>
            <w:r>
              <w:rPr>
                <w:rFonts w:hint="eastAsia" w:ascii="Times New Roman" w:hAnsi="Times New Roman" w:cs="Times New Roman"/>
                <w:color w:val="auto"/>
                <w:sz w:val="24"/>
                <w:szCs w:val="24"/>
                <w:lang w:val="en-US" w:eastAsia="zh-CN"/>
              </w:rPr>
              <w:t>总</w:t>
            </w:r>
            <w:r>
              <w:rPr>
                <w:rFonts w:hint="default" w:ascii="Times New Roman" w:hAnsi="Times New Roman" w:eastAsia="宋体" w:cs="Times New Roman"/>
                <w:color w:val="auto"/>
                <w:sz w:val="24"/>
                <w:szCs w:val="24"/>
                <w:lang w:eastAsia="zh-CN"/>
              </w:rPr>
              <w:t>氮</w:t>
            </w:r>
            <w:r>
              <w:rPr>
                <w:rFonts w:hint="default" w:ascii="Times New Roman" w:hAnsi="Times New Roman" w:eastAsia="宋体" w:cs="Times New Roman"/>
                <w:color w:val="auto"/>
                <w:sz w:val="24"/>
                <w:szCs w:val="24"/>
                <w:lang w:val="en-US" w:eastAsia="zh-CN"/>
              </w:rPr>
              <w:t>0.</w:t>
            </w:r>
            <w:r>
              <w:rPr>
                <w:rFonts w:hint="eastAsia" w:ascii="Times New Roman" w:hAnsi="Times New Roman" w:cs="Times New Roman"/>
                <w:color w:val="auto"/>
                <w:sz w:val="24"/>
                <w:szCs w:val="24"/>
                <w:lang w:val="en-US" w:eastAsia="zh-CN"/>
              </w:rPr>
              <w:t>0054</w:t>
            </w:r>
            <w:r>
              <w:rPr>
                <w:rFonts w:hint="default" w:ascii="Times New Roman" w:hAnsi="Times New Roman" w:eastAsia="宋体" w:cs="Times New Roman"/>
                <w:color w:val="auto"/>
                <w:sz w:val="24"/>
                <w:szCs w:val="24"/>
                <w:lang w:eastAsia="zh-CN"/>
              </w:rPr>
              <w:t>t/a</w:t>
            </w:r>
            <w:r>
              <w:rPr>
                <w:rFonts w:hint="default" w:ascii="Times New Roman" w:hAnsi="Times New Roman" w:cs="Times New Roman"/>
                <w:sz w:val="24"/>
                <w:szCs w:val="24"/>
                <w:lang w:val="en-US" w:eastAsia="zh-CN"/>
              </w:rPr>
              <w:t>；</w:t>
            </w:r>
          </w:p>
          <w:p>
            <w:pPr>
              <w:spacing w:line="46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③固体废物：0。</w:t>
            </w:r>
          </w:p>
          <w:p>
            <w:pPr>
              <w:spacing w:line="460" w:lineRule="exact"/>
              <w:ind w:firstLine="482" w:firstLineChars="200"/>
              <w:jc w:val="both"/>
              <w:rPr>
                <w:rFonts w:hint="default" w:ascii="Times New Roman" w:hAnsi="Times New Roman" w:cs="Times New Roman"/>
                <w:sz w:val="24"/>
                <w:szCs w:val="24"/>
                <w:lang w:val="en-US" w:eastAsia="zh-CN"/>
              </w:rPr>
            </w:pPr>
            <w:r>
              <w:rPr>
                <w:rFonts w:hint="default" w:ascii="Times New Roman" w:hAnsi="Times New Roman" w:cs="Times New Roman"/>
                <w:b/>
                <w:bCs/>
                <w:sz w:val="24"/>
                <w:szCs w:val="24"/>
                <w:lang w:val="en-US" w:eastAsia="zh-CN"/>
              </w:rPr>
              <w:t>4、本次技改项目总量控制指标一览表：</w:t>
            </w:r>
          </w:p>
          <w:p>
            <w:pPr>
              <w:spacing w:line="460" w:lineRule="exact"/>
              <w:jc w:val="center"/>
              <w:rPr>
                <w:rFonts w:hint="default" w:ascii="Times New Roman" w:hAnsi="Times New Roman" w:eastAsia="宋体" w:cs="Times New Roman"/>
                <w:b/>
                <w:sz w:val="21"/>
                <w:szCs w:val="18"/>
                <w:highlight w:val="none"/>
                <w:lang w:val="en-US" w:eastAsia="zh-CN"/>
              </w:rPr>
            </w:pPr>
            <w:r>
              <w:rPr>
                <w:rFonts w:hint="default" w:ascii="Times New Roman" w:hAnsi="Times New Roman" w:eastAsia="宋体" w:cs="Times New Roman"/>
                <w:b/>
                <w:sz w:val="21"/>
                <w:szCs w:val="18"/>
                <w:highlight w:val="none"/>
                <w:lang w:val="en-US" w:eastAsia="zh-CN"/>
              </w:rPr>
              <w:t>表3-</w:t>
            </w:r>
            <w:r>
              <w:rPr>
                <w:rFonts w:hint="eastAsia" w:ascii="Times New Roman" w:hAnsi="Times New Roman" w:cs="Times New Roman"/>
                <w:b/>
                <w:sz w:val="21"/>
                <w:szCs w:val="18"/>
                <w:highlight w:val="none"/>
                <w:lang w:val="en-US" w:eastAsia="zh-CN"/>
              </w:rPr>
              <w:t>10</w:t>
            </w:r>
            <w:r>
              <w:rPr>
                <w:rFonts w:hint="default" w:ascii="Times New Roman" w:hAnsi="Times New Roman" w:eastAsia="宋体" w:cs="Times New Roman"/>
                <w:b/>
                <w:sz w:val="21"/>
                <w:szCs w:val="18"/>
                <w:highlight w:val="none"/>
                <w:lang w:val="en-US" w:eastAsia="zh-CN"/>
              </w:rPr>
              <w:t xml:space="preserve"> 技改项目总量控制指标表（t/a）</w:t>
            </w:r>
          </w:p>
          <w:tbl>
            <w:tblPr>
              <w:tblStyle w:val="24"/>
              <w:tblW w:w="85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5"/>
              <w:gridCol w:w="930"/>
              <w:gridCol w:w="1275"/>
              <w:gridCol w:w="965"/>
              <w:gridCol w:w="1440"/>
              <w:gridCol w:w="1450"/>
              <w:gridCol w:w="16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dxa"/>
                  <w:vMerge w:val="restart"/>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类别</w:t>
                  </w:r>
                </w:p>
              </w:tc>
              <w:tc>
                <w:tcPr>
                  <w:tcW w:w="2205" w:type="dxa"/>
                  <w:gridSpan w:val="2"/>
                  <w:vMerge w:val="restart"/>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污染物名称</w:t>
                  </w:r>
                </w:p>
              </w:tc>
              <w:tc>
                <w:tcPr>
                  <w:tcW w:w="965" w:type="dxa"/>
                  <w:vMerge w:val="restart"/>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产生量</w:t>
                  </w:r>
                </w:p>
              </w:tc>
              <w:tc>
                <w:tcPr>
                  <w:tcW w:w="1440" w:type="dxa"/>
                  <w:vMerge w:val="restart"/>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削减量</w:t>
                  </w:r>
                </w:p>
              </w:tc>
              <w:tc>
                <w:tcPr>
                  <w:tcW w:w="3127" w:type="dxa"/>
                  <w:gridSpan w:val="2"/>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dxa"/>
                  <w:vMerge w:val="continue"/>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p>
              </w:tc>
              <w:tc>
                <w:tcPr>
                  <w:tcW w:w="2205" w:type="dxa"/>
                  <w:gridSpan w:val="2"/>
                  <w:vMerge w:val="continue"/>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p>
              </w:tc>
              <w:tc>
                <w:tcPr>
                  <w:tcW w:w="965" w:type="dxa"/>
                  <w:vMerge w:val="continue"/>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p>
              </w:tc>
              <w:tc>
                <w:tcPr>
                  <w:tcW w:w="1440" w:type="dxa"/>
                  <w:vMerge w:val="continue"/>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p>
              </w:tc>
              <w:tc>
                <w:tcPr>
                  <w:tcW w:w="1450" w:type="dxa"/>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接管量</w:t>
                  </w:r>
                </w:p>
              </w:tc>
              <w:tc>
                <w:tcPr>
                  <w:tcW w:w="1677" w:type="dxa"/>
                  <w:vAlign w:val="center"/>
                </w:tcPr>
                <w:p>
                  <w:pPr>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进入环境量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dxa"/>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废水</w:t>
                  </w:r>
                </w:p>
              </w:tc>
              <w:tc>
                <w:tcPr>
                  <w:tcW w:w="2205" w:type="dxa"/>
                  <w:gridSpan w:val="2"/>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965" w:type="dxa"/>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440" w:type="dxa"/>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450" w:type="dxa"/>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677" w:type="dxa"/>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dxa"/>
                  <w:vMerge w:val="restart"/>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w:t>
                  </w:r>
                </w:p>
              </w:tc>
              <w:tc>
                <w:tcPr>
                  <w:tcW w:w="930" w:type="dxa"/>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有组织</w:t>
                  </w:r>
                </w:p>
              </w:tc>
              <w:tc>
                <w:tcPr>
                  <w:tcW w:w="1275" w:type="dxa"/>
                  <w:vAlign w:val="center"/>
                </w:tcPr>
                <w:p>
                  <w:pPr>
                    <w:pStyle w:val="39"/>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kern w:val="2"/>
                      <w:sz w:val="21"/>
                      <w:szCs w:val="21"/>
                      <w:lang w:val="en-US" w:eastAsia="zh-CN"/>
                    </w:rPr>
                    <w:t>非甲烷总烃</w:t>
                  </w:r>
                </w:p>
              </w:tc>
              <w:tc>
                <w:tcPr>
                  <w:tcW w:w="965" w:type="dxa"/>
                  <w:vAlign w:val="center"/>
                </w:tcPr>
                <w:p>
                  <w:pPr>
                    <w:pStyle w:val="9"/>
                    <w:snapToGrid w:val="0"/>
                    <w:spacing w:line="240" w:lineRule="auto"/>
                    <w:ind w:right="62" w:rightChars="28" w:firstLine="0" w:firstLineChars="0"/>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0.472</w:t>
                  </w:r>
                </w:p>
              </w:tc>
              <w:tc>
                <w:tcPr>
                  <w:tcW w:w="1440" w:type="dxa"/>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0.378</w:t>
                  </w:r>
                </w:p>
              </w:tc>
              <w:tc>
                <w:tcPr>
                  <w:tcW w:w="3127" w:type="dxa"/>
                  <w:gridSpan w:val="2"/>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b w:val="0"/>
                      <w:bCs/>
                      <w:color w:val="auto"/>
                      <w:sz w:val="21"/>
                      <w:szCs w:val="21"/>
                      <w:lang w:val="en-US" w:eastAsia="zh-CN"/>
                    </w:rPr>
                    <w:t>0.094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dxa"/>
                  <w:vMerge w:val="continue"/>
                  <w:vAlign w:val="center"/>
                </w:tcPr>
                <w:p>
                  <w:pPr>
                    <w:adjustRightInd w:val="0"/>
                    <w:snapToGrid w:val="0"/>
                    <w:jc w:val="center"/>
                    <w:rPr>
                      <w:rFonts w:hint="default" w:ascii="Times New Roman" w:hAnsi="Times New Roman" w:eastAsia="宋体" w:cs="Times New Roman"/>
                      <w:color w:val="auto"/>
                      <w:sz w:val="21"/>
                      <w:szCs w:val="21"/>
                      <w:lang w:val="en-US" w:eastAsia="zh-CN"/>
                    </w:rPr>
                  </w:pPr>
                </w:p>
              </w:tc>
              <w:tc>
                <w:tcPr>
                  <w:tcW w:w="930" w:type="dxa"/>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无组织</w:t>
                  </w:r>
                </w:p>
              </w:tc>
              <w:tc>
                <w:tcPr>
                  <w:tcW w:w="1275" w:type="dxa"/>
                  <w:vAlign w:val="center"/>
                </w:tcPr>
                <w:p>
                  <w:pPr>
                    <w:snapToGrid w:val="0"/>
                    <w:jc w:val="center"/>
                    <w:rPr>
                      <w:rFonts w:hint="default" w:ascii="Times New Roman" w:hAnsi="Times New Roman" w:eastAsia="宋体" w:cs="Times New Roman"/>
                      <w:color w:val="auto"/>
                      <w:sz w:val="21"/>
                      <w:szCs w:val="21"/>
                    </w:rPr>
                  </w:pPr>
                  <w:r>
                    <w:rPr>
                      <w:rFonts w:hint="eastAsia" w:ascii="Times New Roman" w:hAnsi="Times New Roman" w:cs="Times New Roman"/>
                      <w:color w:val="auto"/>
                      <w:kern w:val="2"/>
                      <w:sz w:val="21"/>
                      <w:szCs w:val="21"/>
                      <w:lang w:val="en-US" w:eastAsia="zh-CN"/>
                    </w:rPr>
                    <w:t>非甲烷总烃</w:t>
                  </w:r>
                </w:p>
              </w:tc>
              <w:tc>
                <w:tcPr>
                  <w:tcW w:w="965" w:type="dxa"/>
                  <w:vAlign w:val="center"/>
                </w:tcPr>
                <w:p>
                  <w:pPr>
                    <w:pStyle w:val="9"/>
                    <w:snapToGrid w:val="0"/>
                    <w:spacing w:line="240" w:lineRule="auto"/>
                    <w:ind w:right="62" w:rightChars="28" w:firstLine="0" w:firstLineChars="0"/>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0.011</w:t>
                  </w:r>
                </w:p>
              </w:tc>
              <w:tc>
                <w:tcPr>
                  <w:tcW w:w="1440" w:type="dxa"/>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3127" w:type="dxa"/>
                  <w:gridSpan w:val="2"/>
                  <w:vAlign w:val="center"/>
                </w:tcPr>
                <w:p>
                  <w:pPr>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dxa"/>
                  <w:vMerge w:val="restart"/>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固废</w:t>
                  </w:r>
                </w:p>
              </w:tc>
              <w:tc>
                <w:tcPr>
                  <w:tcW w:w="2205" w:type="dxa"/>
                  <w:gridSpan w:val="2"/>
                  <w:vAlign w:val="center"/>
                </w:tcPr>
                <w:p>
                  <w:pPr>
                    <w:snapToGrid w:val="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一般工业固废</w:t>
                  </w:r>
                </w:p>
              </w:tc>
              <w:tc>
                <w:tcPr>
                  <w:tcW w:w="965" w:type="dxa"/>
                  <w:vAlign w:val="center"/>
                </w:tcPr>
                <w:p>
                  <w:pPr>
                    <w:pStyle w:val="9"/>
                    <w:snapToGrid w:val="0"/>
                    <w:spacing w:line="240" w:lineRule="auto"/>
                    <w:ind w:right="62" w:rightChars="28" w:firstLine="0" w:firstLineChars="0"/>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0.08</w:t>
                  </w:r>
                </w:p>
              </w:tc>
              <w:tc>
                <w:tcPr>
                  <w:tcW w:w="1440" w:type="dxa"/>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0.08</w:t>
                  </w:r>
                </w:p>
              </w:tc>
              <w:tc>
                <w:tcPr>
                  <w:tcW w:w="3127" w:type="dxa"/>
                  <w:gridSpan w:val="2"/>
                  <w:vAlign w:val="center"/>
                </w:tcPr>
                <w:p>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 w:type="dxa"/>
                  <w:vMerge w:val="continue"/>
                  <w:vAlign w:val="center"/>
                </w:tcPr>
                <w:p>
                  <w:pPr>
                    <w:adjustRightInd w:val="0"/>
                    <w:snapToGrid w:val="0"/>
                    <w:jc w:val="center"/>
                    <w:rPr>
                      <w:rFonts w:hint="default" w:ascii="Times New Roman" w:hAnsi="Times New Roman" w:eastAsia="宋体" w:cs="Times New Roman"/>
                      <w:color w:val="auto"/>
                      <w:sz w:val="21"/>
                      <w:szCs w:val="21"/>
                      <w:lang w:val="en-US" w:eastAsia="zh-CN"/>
                    </w:rPr>
                  </w:pPr>
                </w:p>
              </w:tc>
              <w:tc>
                <w:tcPr>
                  <w:tcW w:w="2205" w:type="dxa"/>
                  <w:gridSpan w:val="2"/>
                  <w:vAlign w:val="center"/>
                </w:tcPr>
                <w:p>
                  <w:pPr>
                    <w:snapToGrid w:val="0"/>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cs="Times New Roman"/>
                      <w:color w:val="auto"/>
                      <w:kern w:val="2"/>
                      <w:sz w:val="21"/>
                      <w:szCs w:val="21"/>
                      <w:lang w:val="en-US" w:eastAsia="zh-CN"/>
                    </w:rPr>
                    <w:t>危险固体废物</w:t>
                  </w:r>
                </w:p>
              </w:tc>
              <w:tc>
                <w:tcPr>
                  <w:tcW w:w="965" w:type="dxa"/>
                  <w:vAlign w:val="center"/>
                </w:tcPr>
                <w:p>
                  <w:pPr>
                    <w:pStyle w:val="9"/>
                    <w:snapToGrid w:val="0"/>
                    <w:spacing w:line="240" w:lineRule="auto"/>
                    <w:ind w:right="62" w:rightChars="28" w:firstLine="0" w:firstLineChars="0"/>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2.968</w:t>
                  </w:r>
                </w:p>
              </w:tc>
              <w:tc>
                <w:tcPr>
                  <w:tcW w:w="1440" w:type="dxa"/>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ar-SA"/>
                    </w:rPr>
                    <w:t>2.968</w:t>
                  </w:r>
                </w:p>
              </w:tc>
              <w:tc>
                <w:tcPr>
                  <w:tcW w:w="3127" w:type="dxa"/>
                  <w:gridSpan w:val="2"/>
                  <w:vAlign w:val="center"/>
                </w:tcPr>
                <w:p>
                  <w:pPr>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r>
          </w:tbl>
          <w:p>
            <w:pPr>
              <w:spacing w:line="460" w:lineRule="exact"/>
              <w:ind w:firstLine="482" w:firstLineChars="200"/>
              <w:jc w:val="both"/>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5、技改后全厂污染物“三本帐”核算表</w:t>
            </w:r>
          </w:p>
          <w:p>
            <w:pPr>
              <w:spacing w:line="460" w:lineRule="exact"/>
              <w:jc w:val="center"/>
              <w:rPr>
                <w:rFonts w:hint="default" w:ascii="Times New Roman" w:hAnsi="Times New Roman" w:eastAsia="宋体" w:cs="Times New Roman"/>
                <w:b/>
                <w:sz w:val="21"/>
                <w:szCs w:val="18"/>
                <w:highlight w:val="none"/>
                <w:lang w:eastAsia="zh-CN"/>
              </w:rPr>
            </w:pPr>
            <w:r>
              <w:rPr>
                <w:rFonts w:hint="default" w:ascii="Times New Roman" w:hAnsi="Times New Roman" w:eastAsia="宋体" w:cs="Times New Roman"/>
                <w:b/>
                <w:sz w:val="21"/>
                <w:szCs w:val="18"/>
                <w:highlight w:val="none"/>
                <w:lang w:eastAsia="zh-CN"/>
              </w:rPr>
              <w:t>表</w:t>
            </w:r>
            <w:r>
              <w:rPr>
                <w:rFonts w:hint="default" w:ascii="Times New Roman" w:hAnsi="Times New Roman" w:eastAsia="宋体" w:cs="Times New Roman"/>
                <w:b/>
                <w:sz w:val="21"/>
                <w:szCs w:val="18"/>
                <w:highlight w:val="none"/>
                <w:lang w:val="en-US" w:eastAsia="zh-CN"/>
              </w:rPr>
              <w:t>3</w:t>
            </w:r>
            <w:r>
              <w:rPr>
                <w:rFonts w:hint="default" w:ascii="Times New Roman" w:hAnsi="Times New Roman" w:eastAsia="宋体" w:cs="Times New Roman"/>
                <w:b/>
                <w:sz w:val="21"/>
                <w:szCs w:val="18"/>
                <w:highlight w:val="none"/>
                <w:lang w:eastAsia="zh-CN"/>
              </w:rPr>
              <w:t>-</w:t>
            </w:r>
            <w:r>
              <w:rPr>
                <w:rFonts w:hint="eastAsia" w:ascii="Times New Roman" w:hAnsi="Times New Roman" w:cs="Times New Roman"/>
                <w:b/>
                <w:sz w:val="21"/>
                <w:szCs w:val="18"/>
                <w:highlight w:val="none"/>
                <w:lang w:val="en-US" w:eastAsia="zh-CN"/>
              </w:rPr>
              <w:t>11</w:t>
            </w:r>
            <w:r>
              <w:rPr>
                <w:rFonts w:hint="default" w:ascii="Times New Roman" w:hAnsi="Times New Roman" w:eastAsia="宋体" w:cs="Times New Roman"/>
                <w:b/>
                <w:sz w:val="21"/>
                <w:szCs w:val="18"/>
                <w:highlight w:val="none"/>
                <w:lang w:eastAsia="zh-CN"/>
              </w:rPr>
              <w:t xml:space="preserve">  技改后全厂污染物</w:t>
            </w:r>
            <w:r>
              <w:rPr>
                <w:rFonts w:hint="default" w:ascii="Times New Roman" w:hAnsi="Times New Roman" w:eastAsia="宋体" w:cs="Times New Roman"/>
                <w:b/>
                <w:sz w:val="21"/>
                <w:szCs w:val="18"/>
                <w:highlight w:val="none"/>
                <w:lang w:val="en-US" w:eastAsia="zh-CN"/>
              </w:rPr>
              <w:t>“三本帐”核算</w:t>
            </w:r>
            <w:r>
              <w:rPr>
                <w:rFonts w:hint="default" w:ascii="Times New Roman" w:hAnsi="Times New Roman" w:eastAsia="宋体" w:cs="Times New Roman"/>
                <w:b/>
                <w:sz w:val="21"/>
                <w:szCs w:val="18"/>
                <w:highlight w:val="none"/>
                <w:lang w:eastAsia="zh-CN"/>
              </w:rPr>
              <w:t>（单位：t/a）</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2"/>
              <w:gridCol w:w="332"/>
              <w:gridCol w:w="951"/>
              <w:gridCol w:w="943"/>
              <w:gridCol w:w="617"/>
              <w:gridCol w:w="216"/>
              <w:gridCol w:w="714"/>
              <w:gridCol w:w="545"/>
              <w:gridCol w:w="275"/>
              <w:gridCol w:w="860"/>
              <w:gridCol w:w="280"/>
              <w:gridCol w:w="580"/>
              <w:gridCol w:w="820"/>
              <w:gridCol w:w="145"/>
              <w:gridCol w:w="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4" w:type="dxa"/>
                  <w:gridSpan w:val="2"/>
                  <w:tcMar>
                    <w:left w:w="0" w:type="dxa"/>
                    <w:right w:w="0" w:type="dxa"/>
                  </w:tcMar>
                  <w:vAlign w:val="center"/>
                </w:tcPr>
                <w:p>
                  <w:pPr>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
                      <w:sz w:val="21"/>
                      <w:szCs w:val="21"/>
                      <w:lang w:eastAsia="zh-CN"/>
                    </w:rPr>
                    <w:t>项目</w:t>
                  </w:r>
                </w:p>
              </w:tc>
              <w:tc>
                <w:tcPr>
                  <w:tcW w:w="951" w:type="dxa"/>
                  <w:tcMar>
                    <w:left w:w="0" w:type="dxa"/>
                    <w:right w:w="0" w:type="dxa"/>
                  </w:tcMar>
                  <w:vAlign w:val="center"/>
                </w:tcPr>
                <w:p>
                  <w:pPr>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污染物名称</w:t>
                  </w:r>
                </w:p>
              </w:tc>
              <w:tc>
                <w:tcPr>
                  <w:tcW w:w="1560" w:type="dxa"/>
                  <w:gridSpan w:val="2"/>
                  <w:vAlign w:val="center"/>
                </w:tcPr>
                <w:p>
                  <w:pPr>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
                      <w:sz w:val="21"/>
                      <w:szCs w:val="21"/>
                      <w:lang w:val="en-US" w:eastAsia="zh-CN"/>
                    </w:rPr>
                    <w:t>技改前现有</w:t>
                  </w:r>
                  <w:r>
                    <w:rPr>
                      <w:rFonts w:hint="default" w:ascii="Times New Roman" w:hAnsi="Times New Roman" w:eastAsia="宋体" w:cs="Times New Roman"/>
                      <w:b/>
                      <w:sz w:val="21"/>
                      <w:szCs w:val="21"/>
                      <w:lang w:eastAsia="zh-CN"/>
                    </w:rPr>
                    <w:t>项目排放量</w:t>
                  </w:r>
                </w:p>
              </w:tc>
              <w:tc>
                <w:tcPr>
                  <w:tcW w:w="1475" w:type="dxa"/>
                  <w:gridSpan w:val="3"/>
                  <w:vAlign w:val="center"/>
                </w:tcPr>
                <w:p>
                  <w:pPr>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
                      <w:sz w:val="21"/>
                      <w:szCs w:val="21"/>
                      <w:lang w:val="en-US" w:eastAsia="zh-CN"/>
                    </w:rPr>
                    <w:t>技改</w:t>
                  </w:r>
                  <w:r>
                    <w:rPr>
                      <w:rFonts w:hint="default" w:ascii="Times New Roman" w:hAnsi="Times New Roman" w:eastAsia="宋体" w:cs="Times New Roman"/>
                      <w:b/>
                      <w:sz w:val="21"/>
                      <w:szCs w:val="21"/>
                      <w:lang w:eastAsia="zh-CN"/>
                    </w:rPr>
                    <w:t>项目</w:t>
                  </w:r>
                </w:p>
                <w:p>
                  <w:pPr>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
                      <w:sz w:val="21"/>
                      <w:szCs w:val="21"/>
                      <w:lang w:eastAsia="zh-CN"/>
                    </w:rPr>
                    <w:t>排放量</w:t>
                  </w:r>
                </w:p>
              </w:tc>
              <w:tc>
                <w:tcPr>
                  <w:tcW w:w="1415" w:type="dxa"/>
                  <w:gridSpan w:val="3"/>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
                      <w:sz w:val="21"/>
                      <w:szCs w:val="21"/>
                      <w:lang w:eastAsia="zh-CN"/>
                    </w:rPr>
                    <w:t>“以新带老”削减量</w:t>
                  </w:r>
                </w:p>
              </w:tc>
              <w:tc>
                <w:tcPr>
                  <w:tcW w:w="1400" w:type="dxa"/>
                  <w:gridSpan w:val="2"/>
                  <w:tcMar>
                    <w:left w:w="0" w:type="dxa"/>
                    <w:right w:w="0" w:type="dxa"/>
                  </w:tcMar>
                  <w:vAlign w:val="center"/>
                </w:tcPr>
                <w:p>
                  <w:pPr>
                    <w:overflowPunct w:val="0"/>
                    <w:autoSpaceDN w:val="0"/>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
                      <w:sz w:val="21"/>
                      <w:szCs w:val="21"/>
                      <w:lang w:val="en-US" w:eastAsia="zh-CN"/>
                    </w:rPr>
                    <w:t>技改后</w:t>
                  </w:r>
                  <w:r>
                    <w:rPr>
                      <w:rFonts w:hint="default" w:ascii="Times New Roman" w:hAnsi="Times New Roman" w:eastAsia="宋体" w:cs="Times New Roman"/>
                      <w:b/>
                      <w:sz w:val="21"/>
                      <w:szCs w:val="21"/>
                      <w:lang w:eastAsia="zh-CN"/>
                    </w:rPr>
                    <w:t>全厂排放量</w:t>
                  </w:r>
                </w:p>
              </w:tc>
              <w:tc>
                <w:tcPr>
                  <w:tcW w:w="1126" w:type="dxa"/>
                  <w:gridSpan w:val="2"/>
                  <w:tcMar>
                    <w:left w:w="0" w:type="dxa"/>
                    <w:right w:w="0" w:type="dxa"/>
                  </w:tcMar>
                  <w:vAlign w:val="center"/>
                </w:tcPr>
                <w:p>
                  <w:pPr>
                    <w:overflowPunct w:val="0"/>
                    <w:autoSpaceDN w:val="0"/>
                    <w:jc w:val="center"/>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eastAsia="zh-CN"/>
                    </w:rPr>
                    <w:t>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2" w:type="dxa"/>
                  <w:vMerge w:val="restart"/>
                  <w:tcMar>
                    <w:left w:w="0" w:type="dxa"/>
                    <w:right w:w="0" w:type="dxa"/>
                  </w:tcMar>
                  <w:vAlign w:val="center"/>
                </w:tcPr>
                <w:p>
                  <w:pPr>
                    <w:jc w:val="center"/>
                    <w:rPr>
                      <w:rFonts w:hint="default" w:ascii="Times New Roman" w:hAnsi="Times New Roman" w:eastAsia="宋体" w:cs="Times New Roman"/>
                      <w:b/>
                      <w:sz w:val="21"/>
                      <w:szCs w:val="21"/>
                      <w:lang w:eastAsia="zh-CN"/>
                    </w:rPr>
                  </w:pPr>
                  <w:r>
                    <w:rPr>
                      <w:rFonts w:hint="default" w:ascii="Times New Roman" w:hAnsi="Times New Roman" w:eastAsia="宋体" w:cs="Times New Roman"/>
                      <w:bCs/>
                      <w:sz w:val="21"/>
                      <w:szCs w:val="21"/>
                      <w:lang w:eastAsia="zh-CN"/>
                    </w:rPr>
                    <w:t>废气</w:t>
                  </w:r>
                </w:p>
              </w:tc>
              <w:tc>
                <w:tcPr>
                  <w:tcW w:w="332" w:type="dxa"/>
                  <w:tcMar>
                    <w:left w:w="0" w:type="dxa"/>
                    <w:right w:w="0" w:type="dxa"/>
                  </w:tcMar>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有组织</w:t>
                  </w:r>
                </w:p>
              </w:tc>
              <w:tc>
                <w:tcPr>
                  <w:tcW w:w="951" w:type="dxa"/>
                  <w:tcMar>
                    <w:left w:w="0" w:type="dxa"/>
                    <w:right w:w="0" w:type="dxa"/>
                  </w:tcMar>
                  <w:vAlign w:val="center"/>
                </w:tcPr>
                <w:p>
                  <w:pPr>
                    <w:pStyle w:val="39"/>
                    <w:jc w:val="center"/>
                    <w:rPr>
                      <w:rFonts w:hint="default" w:ascii="Times New Roman" w:hAnsi="Times New Roman" w:eastAsia="宋体" w:cs="Times New Roman"/>
                      <w:b/>
                      <w:sz w:val="21"/>
                      <w:szCs w:val="21"/>
                    </w:rPr>
                  </w:pPr>
                  <w:r>
                    <w:rPr>
                      <w:rFonts w:hint="eastAsia" w:ascii="Times New Roman" w:hAnsi="Times New Roman" w:cs="Times New Roman"/>
                      <w:color w:val="auto"/>
                      <w:kern w:val="2"/>
                      <w:sz w:val="21"/>
                      <w:szCs w:val="21"/>
                      <w:lang w:val="en-US" w:eastAsia="zh-CN"/>
                    </w:rPr>
                    <w:t>非甲烷总烃</w:t>
                  </w:r>
                </w:p>
              </w:tc>
              <w:tc>
                <w:tcPr>
                  <w:tcW w:w="1560" w:type="dxa"/>
                  <w:gridSpan w:val="2"/>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w:t>
                  </w:r>
                  <w:r>
                    <w:rPr>
                      <w:rFonts w:hint="eastAsia" w:ascii="Times New Roman" w:hAnsi="Times New Roman" w:cs="Times New Roman"/>
                      <w:bCs/>
                      <w:sz w:val="21"/>
                      <w:szCs w:val="21"/>
                      <w:lang w:val="en-US" w:eastAsia="zh-CN"/>
                    </w:rPr>
                    <w:t>063</w:t>
                  </w:r>
                </w:p>
              </w:tc>
              <w:tc>
                <w:tcPr>
                  <w:tcW w:w="1475" w:type="dxa"/>
                  <w:gridSpan w:val="3"/>
                  <w:vAlign w:val="center"/>
                </w:tcPr>
                <w:p>
                  <w:pPr>
                    <w:jc w:val="center"/>
                    <w:rPr>
                      <w:rFonts w:hint="default" w:ascii="Times New Roman" w:hAnsi="Times New Roman" w:eastAsia="宋体" w:cs="Times New Roman"/>
                      <w:b w:val="0"/>
                      <w:bCs/>
                      <w:sz w:val="21"/>
                      <w:szCs w:val="21"/>
                      <w:lang w:val="en-US" w:eastAsia="zh-CN"/>
                    </w:rPr>
                  </w:pPr>
                  <w:r>
                    <w:rPr>
                      <w:rFonts w:hint="eastAsia" w:ascii="Times New Roman" w:hAnsi="Times New Roman" w:cs="Times New Roman"/>
                      <w:b w:val="0"/>
                      <w:bCs/>
                      <w:sz w:val="21"/>
                      <w:szCs w:val="21"/>
                      <w:lang w:val="en-US" w:eastAsia="zh-CN"/>
                    </w:rPr>
                    <w:t>0.094</w:t>
                  </w:r>
                </w:p>
              </w:tc>
              <w:tc>
                <w:tcPr>
                  <w:tcW w:w="1415" w:type="dxa"/>
                  <w:gridSpan w:val="3"/>
                  <w:vAlign w:val="center"/>
                </w:tcPr>
                <w:p>
                  <w:pPr>
                    <w:jc w:val="center"/>
                    <w:rPr>
                      <w:rFonts w:hint="default" w:ascii="Times New Roman" w:hAnsi="Times New Roman" w:eastAsia="宋体" w:cs="Times New Roman"/>
                      <w:b w:val="0"/>
                      <w:bCs/>
                      <w:sz w:val="21"/>
                      <w:szCs w:val="21"/>
                      <w:lang w:val="en-US" w:eastAsia="zh-CN"/>
                    </w:rPr>
                  </w:pPr>
                  <w:r>
                    <w:rPr>
                      <w:rFonts w:hint="eastAsia" w:ascii="Times New Roman" w:hAnsi="Times New Roman" w:cs="Times New Roman"/>
                      <w:b w:val="0"/>
                      <w:bCs/>
                      <w:sz w:val="21"/>
                      <w:szCs w:val="21"/>
                      <w:lang w:val="en-US" w:eastAsia="zh-CN"/>
                    </w:rPr>
                    <w:t>0</w:t>
                  </w:r>
                </w:p>
              </w:tc>
              <w:tc>
                <w:tcPr>
                  <w:tcW w:w="1400" w:type="dxa"/>
                  <w:gridSpan w:val="2"/>
                  <w:tcMar>
                    <w:left w:w="0" w:type="dxa"/>
                    <w:right w:w="0" w:type="dxa"/>
                  </w:tcMar>
                  <w:vAlign w:val="center"/>
                </w:tcPr>
                <w:p>
                  <w:pPr>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b w:val="0"/>
                      <w:bCs/>
                      <w:sz w:val="21"/>
                      <w:szCs w:val="21"/>
                      <w:lang w:val="en-US" w:eastAsia="zh-CN"/>
                    </w:rPr>
                    <w:t>0.157</w:t>
                  </w:r>
                </w:p>
              </w:tc>
              <w:tc>
                <w:tcPr>
                  <w:tcW w:w="1126" w:type="dxa"/>
                  <w:gridSpan w:val="2"/>
                  <w:tcMar>
                    <w:left w:w="0" w:type="dxa"/>
                    <w:right w:w="0" w:type="dxa"/>
                  </w:tcMar>
                  <w:vAlign w:val="center"/>
                </w:tcPr>
                <w:p>
                  <w:pPr>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w:t>
                  </w:r>
                  <w:r>
                    <w:rPr>
                      <w:rFonts w:hint="eastAsia" w:ascii="Times New Roman" w:hAnsi="Times New Roman" w:cs="Times New Roman"/>
                      <w:kern w:val="2"/>
                      <w:sz w:val="21"/>
                      <w:szCs w:val="21"/>
                      <w:lang w:val="en-US" w:eastAsia="zh-CN"/>
                    </w:rPr>
                    <w:t>0.094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2" w:type="dxa"/>
                  <w:vMerge w:val="continue"/>
                  <w:tcMar>
                    <w:left w:w="0" w:type="dxa"/>
                    <w:right w:w="0" w:type="dxa"/>
                  </w:tcMar>
                  <w:vAlign w:val="center"/>
                </w:tcPr>
                <w:p>
                  <w:pPr>
                    <w:jc w:val="center"/>
                    <w:rPr>
                      <w:rFonts w:hint="default" w:ascii="Times New Roman" w:hAnsi="Times New Roman" w:eastAsia="宋体" w:cs="Times New Roman"/>
                      <w:bCs/>
                      <w:sz w:val="21"/>
                      <w:szCs w:val="21"/>
                      <w:lang w:eastAsia="zh-CN"/>
                    </w:rPr>
                  </w:pPr>
                </w:p>
              </w:tc>
              <w:tc>
                <w:tcPr>
                  <w:tcW w:w="332" w:type="dxa"/>
                  <w:tcMar>
                    <w:left w:w="0" w:type="dxa"/>
                    <w:right w:w="0" w:type="dxa"/>
                  </w:tcMar>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无组织</w:t>
                  </w:r>
                </w:p>
              </w:tc>
              <w:tc>
                <w:tcPr>
                  <w:tcW w:w="951" w:type="dxa"/>
                  <w:tcMar>
                    <w:left w:w="0" w:type="dxa"/>
                    <w:right w:w="0" w:type="dxa"/>
                  </w:tcMar>
                  <w:vAlign w:val="center"/>
                </w:tcPr>
                <w:p>
                  <w:pPr>
                    <w:pStyle w:val="39"/>
                    <w:jc w:val="center"/>
                    <w:rPr>
                      <w:rFonts w:hint="default" w:ascii="Times New Roman" w:hAnsi="Times New Roman" w:eastAsia="宋体" w:cs="Times New Roman"/>
                      <w:kern w:val="2"/>
                      <w:sz w:val="21"/>
                      <w:szCs w:val="21"/>
                      <w:lang w:eastAsia="zh-CN"/>
                    </w:rPr>
                  </w:pPr>
                  <w:r>
                    <w:rPr>
                      <w:rFonts w:hint="eastAsia" w:ascii="Times New Roman" w:hAnsi="Times New Roman" w:cs="Times New Roman"/>
                      <w:color w:val="auto"/>
                      <w:kern w:val="2"/>
                      <w:sz w:val="21"/>
                      <w:szCs w:val="21"/>
                      <w:lang w:val="en-US" w:eastAsia="zh-CN"/>
                    </w:rPr>
                    <w:t>非甲烷总烃</w:t>
                  </w:r>
                </w:p>
              </w:tc>
              <w:tc>
                <w:tcPr>
                  <w:tcW w:w="1560" w:type="dxa"/>
                  <w:gridSpan w:val="2"/>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1475" w:type="dxa"/>
                  <w:gridSpan w:val="3"/>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w:t>
                  </w:r>
                  <w:r>
                    <w:rPr>
                      <w:rFonts w:hint="eastAsia" w:ascii="Times New Roman" w:hAnsi="Times New Roman" w:cs="Times New Roman"/>
                      <w:bCs/>
                      <w:sz w:val="21"/>
                      <w:szCs w:val="21"/>
                      <w:lang w:val="en-US" w:eastAsia="zh-CN"/>
                    </w:rPr>
                    <w:t>011</w:t>
                  </w:r>
                </w:p>
              </w:tc>
              <w:tc>
                <w:tcPr>
                  <w:tcW w:w="1415" w:type="dxa"/>
                  <w:gridSpan w:val="3"/>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w:t>
                  </w:r>
                </w:p>
              </w:tc>
              <w:tc>
                <w:tcPr>
                  <w:tcW w:w="1400" w:type="dxa"/>
                  <w:gridSpan w:val="2"/>
                  <w:tcMar>
                    <w:left w:w="0" w:type="dxa"/>
                    <w:right w:w="0" w:type="dxa"/>
                  </w:tcMar>
                  <w:vAlign w:val="center"/>
                </w:tcPr>
                <w:p>
                  <w:pPr>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bCs/>
                      <w:sz w:val="21"/>
                      <w:szCs w:val="21"/>
                      <w:lang w:val="en-US" w:eastAsia="zh-CN"/>
                    </w:rPr>
                    <w:t>0.</w:t>
                  </w:r>
                  <w:r>
                    <w:rPr>
                      <w:rFonts w:hint="eastAsia" w:ascii="Times New Roman" w:hAnsi="Times New Roman" w:cs="Times New Roman"/>
                      <w:bCs/>
                      <w:sz w:val="21"/>
                      <w:szCs w:val="21"/>
                      <w:lang w:val="en-US" w:eastAsia="zh-CN"/>
                    </w:rPr>
                    <w:t>011</w:t>
                  </w:r>
                </w:p>
              </w:tc>
              <w:tc>
                <w:tcPr>
                  <w:tcW w:w="1126" w:type="dxa"/>
                  <w:gridSpan w:val="2"/>
                  <w:tcMar>
                    <w:left w:w="0" w:type="dxa"/>
                    <w:right w:w="0" w:type="dxa"/>
                  </w:tcMar>
                  <w:vAlign w:val="center"/>
                </w:tcPr>
                <w:p>
                  <w:pPr>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+0.</w:t>
                  </w:r>
                  <w:r>
                    <w:rPr>
                      <w:rFonts w:hint="eastAsia" w:ascii="Times New Roman" w:hAnsi="Times New Roman" w:cs="Times New Roman"/>
                      <w:kern w:val="2"/>
                      <w:sz w:val="21"/>
                      <w:szCs w:val="21"/>
                      <w:lang w:val="en-US" w:eastAsia="zh-CN"/>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4" w:type="dxa"/>
                  <w:gridSpan w:val="2"/>
                  <w:vMerge w:val="restart"/>
                  <w:tcMar>
                    <w:left w:w="0" w:type="dxa"/>
                    <w:right w:w="0" w:type="dxa"/>
                  </w:tcMar>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rPr>
                    <w:t>固废</w:t>
                  </w:r>
                </w:p>
              </w:tc>
              <w:tc>
                <w:tcPr>
                  <w:tcW w:w="951" w:type="dxa"/>
                  <w:tcMar>
                    <w:left w:w="0" w:type="dxa"/>
                    <w:right w:w="0" w:type="dxa"/>
                  </w:tcMar>
                  <w:vAlign w:val="center"/>
                </w:tcPr>
                <w:p>
                  <w:pPr>
                    <w:spacing w:line="320" w:lineRule="exact"/>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color w:val="000000"/>
                      <w:sz w:val="21"/>
                      <w:szCs w:val="21"/>
                      <w:lang w:val="en-US" w:eastAsia="zh-CN"/>
                    </w:rPr>
                    <w:t>一般工业固体废物</w:t>
                  </w:r>
                </w:p>
              </w:tc>
              <w:tc>
                <w:tcPr>
                  <w:tcW w:w="1560" w:type="dxa"/>
                  <w:gridSpan w:val="2"/>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lang w:eastAsia="zh-CN"/>
                    </w:rPr>
                    <w:t>0</w:t>
                  </w:r>
                </w:p>
              </w:tc>
              <w:tc>
                <w:tcPr>
                  <w:tcW w:w="1475" w:type="dxa"/>
                  <w:gridSpan w:val="3"/>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lang w:eastAsia="zh-CN"/>
                    </w:rPr>
                    <w:t>0</w:t>
                  </w:r>
                </w:p>
              </w:tc>
              <w:tc>
                <w:tcPr>
                  <w:tcW w:w="1415" w:type="dxa"/>
                  <w:gridSpan w:val="3"/>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lang w:eastAsia="zh-CN"/>
                    </w:rPr>
                    <w:t>0</w:t>
                  </w:r>
                </w:p>
              </w:tc>
              <w:tc>
                <w:tcPr>
                  <w:tcW w:w="1400" w:type="dxa"/>
                  <w:gridSpan w:val="2"/>
                  <w:tcMar>
                    <w:left w:w="0" w:type="dxa"/>
                    <w:right w:w="0" w:type="dxa"/>
                  </w:tcMar>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lang w:eastAsia="zh-CN"/>
                    </w:rPr>
                    <w:t>0</w:t>
                  </w:r>
                </w:p>
              </w:tc>
              <w:tc>
                <w:tcPr>
                  <w:tcW w:w="1126" w:type="dxa"/>
                  <w:gridSpan w:val="2"/>
                  <w:tcMar>
                    <w:left w:w="0" w:type="dxa"/>
                    <w:right w:w="0" w:type="dxa"/>
                  </w:tcMar>
                  <w:vAlign w:val="center"/>
                </w:tcPr>
                <w:p>
                  <w:pPr>
                    <w:adjustRightInd w:val="0"/>
                    <w:snapToGrid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sz w:val="21"/>
                      <w:szCs w:val="21"/>
                      <w:lang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4" w:type="dxa"/>
                  <w:gridSpan w:val="2"/>
                  <w:vMerge w:val="continue"/>
                  <w:tcMar>
                    <w:left w:w="0" w:type="dxa"/>
                    <w:right w:w="0" w:type="dxa"/>
                  </w:tcMar>
                  <w:vAlign w:val="center"/>
                </w:tcPr>
                <w:p>
                  <w:pPr>
                    <w:jc w:val="center"/>
                    <w:rPr>
                      <w:rFonts w:hint="default" w:ascii="Times New Roman" w:hAnsi="Times New Roman" w:eastAsia="宋体" w:cs="Times New Roman"/>
                      <w:sz w:val="21"/>
                      <w:szCs w:val="21"/>
                    </w:rPr>
                  </w:pPr>
                </w:p>
              </w:tc>
              <w:tc>
                <w:tcPr>
                  <w:tcW w:w="951" w:type="dxa"/>
                  <w:tcMar>
                    <w:left w:w="0" w:type="dxa"/>
                    <w:right w:w="0" w:type="dxa"/>
                  </w:tcMar>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危险固体废物</w:t>
                  </w:r>
                </w:p>
              </w:tc>
              <w:tc>
                <w:tcPr>
                  <w:tcW w:w="1560" w:type="dxa"/>
                  <w:gridSpan w:val="2"/>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w:t>
                  </w:r>
                </w:p>
              </w:tc>
              <w:tc>
                <w:tcPr>
                  <w:tcW w:w="1475" w:type="dxa"/>
                  <w:gridSpan w:val="3"/>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w:t>
                  </w:r>
                </w:p>
              </w:tc>
              <w:tc>
                <w:tcPr>
                  <w:tcW w:w="1415" w:type="dxa"/>
                  <w:gridSpan w:val="3"/>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w:t>
                  </w:r>
                </w:p>
              </w:tc>
              <w:tc>
                <w:tcPr>
                  <w:tcW w:w="1400" w:type="dxa"/>
                  <w:gridSpan w:val="2"/>
                  <w:tcMar>
                    <w:left w:w="0" w:type="dxa"/>
                    <w:right w:w="0" w:type="dxa"/>
                  </w:tcMar>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w:t>
                  </w:r>
                </w:p>
              </w:tc>
              <w:tc>
                <w:tcPr>
                  <w:tcW w:w="1126" w:type="dxa"/>
                  <w:gridSpan w:val="2"/>
                  <w:tcMar>
                    <w:left w:w="0" w:type="dxa"/>
                    <w:right w:w="0" w:type="dxa"/>
                  </w:tcMar>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644" w:type="dxa"/>
                  <w:gridSpan w:val="2"/>
                  <w:vMerge w:val="restart"/>
                  <w:tcMar>
                    <w:left w:w="0" w:type="dxa"/>
                    <w:right w:w="0" w:type="dxa"/>
                  </w:tcMar>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
                      <w:sz w:val="21"/>
                      <w:szCs w:val="21"/>
                      <w:lang w:eastAsia="zh-CN"/>
                    </w:rPr>
                    <w:t>项目</w:t>
                  </w:r>
                </w:p>
              </w:tc>
              <w:tc>
                <w:tcPr>
                  <w:tcW w:w="951" w:type="dxa"/>
                  <w:vMerge w:val="restart"/>
                  <w:tcMar>
                    <w:left w:w="0" w:type="dxa"/>
                    <w:right w:w="0" w:type="dxa"/>
                  </w:tcMar>
                  <w:vAlign w:val="center"/>
                </w:tcPr>
                <w:p>
                  <w:pPr>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b/>
                      <w:sz w:val="21"/>
                      <w:szCs w:val="21"/>
                    </w:rPr>
                    <w:t>污染物名称</w:t>
                  </w:r>
                </w:p>
              </w:tc>
              <w:tc>
                <w:tcPr>
                  <w:tcW w:w="1776" w:type="dxa"/>
                  <w:gridSpan w:val="3"/>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
                      <w:sz w:val="21"/>
                      <w:szCs w:val="21"/>
                      <w:lang w:val="en-US" w:eastAsia="zh-CN"/>
                    </w:rPr>
                    <w:t>技改前现有</w:t>
                  </w:r>
                  <w:r>
                    <w:rPr>
                      <w:rFonts w:hint="default" w:ascii="Times New Roman" w:hAnsi="Times New Roman" w:eastAsia="宋体" w:cs="Times New Roman"/>
                      <w:b/>
                      <w:sz w:val="21"/>
                      <w:szCs w:val="21"/>
                      <w:lang w:eastAsia="zh-CN"/>
                    </w:rPr>
                    <w:t>项目排放量</w:t>
                  </w:r>
                </w:p>
              </w:tc>
              <w:tc>
                <w:tcPr>
                  <w:tcW w:w="1534" w:type="dxa"/>
                  <w:gridSpan w:val="3"/>
                  <w:vAlign w:val="center"/>
                </w:tcPr>
                <w:p>
                  <w:pPr>
                    <w:overflowPunct w:val="0"/>
                    <w:autoSpaceDN w:val="0"/>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
                      <w:sz w:val="21"/>
                      <w:szCs w:val="21"/>
                      <w:lang w:val="en-US" w:eastAsia="zh-CN"/>
                    </w:rPr>
                    <w:t>技改</w:t>
                  </w:r>
                  <w:r>
                    <w:rPr>
                      <w:rFonts w:hint="default" w:ascii="Times New Roman" w:hAnsi="Times New Roman" w:eastAsia="宋体" w:cs="Times New Roman"/>
                      <w:b/>
                      <w:sz w:val="21"/>
                      <w:szCs w:val="21"/>
                      <w:lang w:eastAsia="zh-CN"/>
                    </w:rPr>
                    <w:t>项目排放量</w:t>
                  </w:r>
                </w:p>
              </w:tc>
              <w:tc>
                <w:tcPr>
                  <w:tcW w:w="860" w:type="dxa"/>
                  <w:vMerge w:val="restart"/>
                  <w:tcMar>
                    <w:left w:w="0" w:type="dxa"/>
                    <w:right w:w="0" w:type="dxa"/>
                  </w:tcMar>
                  <w:vAlign w:val="center"/>
                </w:tcPr>
                <w:p>
                  <w:pPr>
                    <w:overflowPunct w:val="0"/>
                    <w:autoSpaceDN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b/>
                      <w:sz w:val="21"/>
                      <w:szCs w:val="21"/>
                      <w:lang w:eastAsia="zh-CN"/>
                    </w:rPr>
                    <w:t>“以新带老”削减量</w:t>
                  </w:r>
                </w:p>
              </w:tc>
              <w:tc>
                <w:tcPr>
                  <w:tcW w:w="1825" w:type="dxa"/>
                  <w:gridSpan w:val="4"/>
                  <w:tcMar>
                    <w:left w:w="0" w:type="dxa"/>
                    <w:right w:w="0" w:type="dxa"/>
                  </w:tcMar>
                  <w:vAlign w:val="center"/>
                </w:tcPr>
                <w:p>
                  <w:pPr>
                    <w:overflowPunct w:val="0"/>
                    <w:autoSpaceDN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b/>
                      <w:sz w:val="21"/>
                      <w:szCs w:val="21"/>
                      <w:lang w:val="en-US" w:eastAsia="zh-CN"/>
                    </w:rPr>
                    <w:t>技改后</w:t>
                  </w:r>
                  <w:r>
                    <w:rPr>
                      <w:rFonts w:hint="default" w:ascii="Times New Roman" w:hAnsi="Times New Roman" w:eastAsia="宋体" w:cs="Times New Roman"/>
                      <w:b/>
                      <w:sz w:val="21"/>
                      <w:szCs w:val="21"/>
                      <w:lang w:eastAsia="zh-CN"/>
                    </w:rPr>
                    <w:t>全厂</w:t>
                  </w:r>
                  <w:r>
                    <w:rPr>
                      <w:rFonts w:hint="default" w:ascii="Times New Roman" w:hAnsi="Times New Roman" w:eastAsia="宋体" w:cs="Times New Roman"/>
                      <w:b/>
                      <w:sz w:val="21"/>
                      <w:szCs w:val="21"/>
                      <w:lang w:val="en-US" w:eastAsia="zh-CN"/>
                    </w:rPr>
                    <w:t>排放量</w:t>
                  </w:r>
                </w:p>
              </w:tc>
              <w:tc>
                <w:tcPr>
                  <w:tcW w:w="981" w:type="dxa"/>
                  <w:vMerge w:val="restart"/>
                  <w:tcMar>
                    <w:left w:w="0" w:type="dxa"/>
                    <w:right w:w="0" w:type="dxa"/>
                  </w:tcMar>
                  <w:vAlign w:val="center"/>
                </w:tcPr>
                <w:p>
                  <w:pPr>
                    <w:overflowPunct w:val="0"/>
                    <w:autoSpaceDN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b/>
                      <w:sz w:val="21"/>
                      <w:szCs w:val="21"/>
                      <w:lang w:val="en-US" w:eastAsia="zh-CN"/>
                    </w:rPr>
                    <w:t>外排环境增减量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644" w:type="dxa"/>
                  <w:gridSpan w:val="2"/>
                  <w:vMerge w:val="continue"/>
                  <w:tcMar>
                    <w:left w:w="0" w:type="dxa"/>
                    <w:right w:w="0" w:type="dxa"/>
                  </w:tcMar>
                  <w:vAlign w:val="center"/>
                </w:tcPr>
                <w:p>
                  <w:pPr>
                    <w:jc w:val="center"/>
                    <w:rPr>
                      <w:rFonts w:hint="default" w:ascii="Times New Roman" w:hAnsi="Times New Roman" w:cs="Times New Roman"/>
                    </w:rPr>
                  </w:pPr>
                </w:p>
              </w:tc>
              <w:tc>
                <w:tcPr>
                  <w:tcW w:w="951" w:type="dxa"/>
                  <w:vMerge w:val="continue"/>
                  <w:tcMar>
                    <w:left w:w="0" w:type="dxa"/>
                    <w:right w:w="0" w:type="dxa"/>
                  </w:tcMar>
                  <w:vAlign w:val="center"/>
                </w:tcPr>
                <w:p>
                  <w:pPr>
                    <w:jc w:val="center"/>
                    <w:rPr>
                      <w:rFonts w:hint="default" w:ascii="Times New Roman" w:hAnsi="Times New Roman" w:cs="Times New Roman"/>
                    </w:rPr>
                  </w:pPr>
                </w:p>
              </w:tc>
              <w:tc>
                <w:tcPr>
                  <w:tcW w:w="943" w:type="dxa"/>
                  <w:vAlign w:val="center"/>
                </w:tcPr>
                <w:p>
                  <w:pPr>
                    <w:jc w:val="center"/>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接管量</w:t>
                  </w:r>
                </w:p>
              </w:tc>
              <w:tc>
                <w:tcPr>
                  <w:tcW w:w="833" w:type="dxa"/>
                  <w:gridSpan w:val="2"/>
                  <w:vAlign w:val="center"/>
                </w:tcPr>
                <w:p>
                  <w:pPr>
                    <w:jc w:val="center"/>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外排环境量</w:t>
                  </w:r>
                </w:p>
              </w:tc>
              <w:tc>
                <w:tcPr>
                  <w:tcW w:w="714" w:type="dxa"/>
                  <w:vAlign w:val="center"/>
                </w:tcPr>
                <w:p>
                  <w:pPr>
                    <w:jc w:val="center"/>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接管量</w:t>
                  </w:r>
                </w:p>
              </w:tc>
              <w:tc>
                <w:tcPr>
                  <w:tcW w:w="820" w:type="dxa"/>
                  <w:gridSpan w:val="2"/>
                  <w:tcMar>
                    <w:left w:w="0" w:type="dxa"/>
                    <w:right w:w="0" w:type="dxa"/>
                  </w:tcMar>
                  <w:vAlign w:val="center"/>
                </w:tcPr>
                <w:p>
                  <w:pPr>
                    <w:jc w:val="center"/>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外排环境量</w:t>
                  </w:r>
                </w:p>
              </w:tc>
              <w:tc>
                <w:tcPr>
                  <w:tcW w:w="860" w:type="dxa"/>
                  <w:vMerge w:val="continue"/>
                  <w:tcMar>
                    <w:left w:w="0" w:type="dxa"/>
                    <w:right w:w="0" w:type="dxa"/>
                  </w:tcMar>
                  <w:vAlign w:val="center"/>
                </w:tcPr>
                <w:p>
                  <w:pPr>
                    <w:jc w:val="center"/>
                    <w:rPr>
                      <w:rFonts w:hint="default" w:ascii="Times New Roman" w:hAnsi="Times New Roman" w:eastAsia="宋体" w:cs="Times New Roman"/>
                      <w:b/>
                      <w:sz w:val="21"/>
                      <w:szCs w:val="21"/>
                      <w:lang w:val="en-US" w:eastAsia="zh-CN"/>
                    </w:rPr>
                  </w:pPr>
                </w:p>
              </w:tc>
              <w:tc>
                <w:tcPr>
                  <w:tcW w:w="860" w:type="dxa"/>
                  <w:gridSpan w:val="2"/>
                  <w:tcMar>
                    <w:left w:w="0" w:type="dxa"/>
                    <w:right w:w="0" w:type="dxa"/>
                  </w:tcMar>
                  <w:vAlign w:val="center"/>
                </w:tcPr>
                <w:p>
                  <w:pPr>
                    <w:jc w:val="center"/>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接管量</w:t>
                  </w:r>
                </w:p>
              </w:tc>
              <w:tc>
                <w:tcPr>
                  <w:tcW w:w="965" w:type="dxa"/>
                  <w:gridSpan w:val="2"/>
                  <w:tcMar>
                    <w:left w:w="0" w:type="dxa"/>
                    <w:right w:w="0" w:type="dxa"/>
                  </w:tcMar>
                  <w:vAlign w:val="center"/>
                </w:tcPr>
                <w:p>
                  <w:pPr>
                    <w:jc w:val="center"/>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外排环境量</w:t>
                  </w:r>
                </w:p>
              </w:tc>
              <w:tc>
                <w:tcPr>
                  <w:tcW w:w="981" w:type="dxa"/>
                  <w:vMerge w:val="continue"/>
                  <w:tcMar>
                    <w:left w:w="0" w:type="dxa"/>
                    <w:right w:w="0" w:type="dxa"/>
                  </w:tcMar>
                  <w:vAlign w:val="center"/>
                </w:tcPr>
                <w:p>
                  <w:pPr>
                    <w:jc w:val="center"/>
                    <w:rPr>
                      <w:rFonts w:hint="default" w:ascii="Times New Roman" w:hAnsi="Times New Roman" w:eastAsia="宋体" w:cs="Times New Roman"/>
                      <w:b/>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4" w:type="dxa"/>
                  <w:gridSpan w:val="2"/>
                  <w:vMerge w:val="restart"/>
                  <w:tcMar>
                    <w:left w:w="0" w:type="dxa"/>
                    <w:right w:w="0" w:type="dxa"/>
                  </w:tcMar>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w:t>
                  </w:r>
                </w:p>
              </w:tc>
              <w:tc>
                <w:tcPr>
                  <w:tcW w:w="951" w:type="dxa"/>
                  <w:tcMar>
                    <w:left w:w="0" w:type="dxa"/>
                    <w:right w:w="0" w:type="dxa"/>
                  </w:tcMar>
                  <w:vAlign w:val="center"/>
                </w:tcPr>
                <w:p>
                  <w:pPr>
                    <w:snapToGrid w:val="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sz w:val="21"/>
                      <w:szCs w:val="21"/>
                    </w:rPr>
                    <w:t>废水量</w:t>
                  </w:r>
                  <w:r>
                    <w:rPr>
                      <w:rFonts w:hint="default" w:ascii="Times New Roman" w:hAnsi="Times New Roman" w:eastAsia="宋体" w:cs="Times New Roman"/>
                      <w:sz w:val="21"/>
                      <w:szCs w:val="21"/>
                      <w:lang w:eastAsia="zh-CN"/>
                    </w:rPr>
                    <w:t>（m</w:t>
                  </w:r>
                  <w:r>
                    <w:rPr>
                      <w:rFonts w:hint="default" w:ascii="Times New Roman" w:hAnsi="Times New Roman" w:eastAsia="宋体" w:cs="Times New Roman"/>
                      <w:sz w:val="21"/>
                      <w:szCs w:val="21"/>
                      <w:vertAlign w:val="superscript"/>
                      <w:lang w:eastAsia="zh-CN"/>
                    </w:rPr>
                    <w:t>3</w:t>
                  </w:r>
                  <w:r>
                    <w:rPr>
                      <w:rFonts w:hint="default" w:ascii="Times New Roman" w:hAnsi="Times New Roman" w:eastAsia="宋体" w:cs="Times New Roman"/>
                      <w:sz w:val="21"/>
                      <w:szCs w:val="21"/>
                      <w:lang w:eastAsia="zh-CN"/>
                    </w:rPr>
                    <w:t>/a）</w:t>
                  </w:r>
                </w:p>
              </w:tc>
              <w:tc>
                <w:tcPr>
                  <w:tcW w:w="943" w:type="dxa"/>
                  <w:tcBorders>
                    <w:bottom w:val="single" w:color="auto" w:sz="4" w:space="0"/>
                  </w:tcBorders>
                  <w:vAlign w:val="center"/>
                </w:tcPr>
                <w:p>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360</w:t>
                  </w:r>
                </w:p>
              </w:tc>
              <w:tc>
                <w:tcPr>
                  <w:tcW w:w="833" w:type="dxa"/>
                  <w:gridSpan w:val="2"/>
                  <w:tcBorders>
                    <w:bottom w:val="single" w:color="auto" w:sz="4" w:space="0"/>
                  </w:tcBorders>
                  <w:vAlign w:val="center"/>
                </w:tcPr>
                <w:p>
                  <w:pPr>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360</w:t>
                  </w:r>
                </w:p>
              </w:tc>
              <w:tc>
                <w:tcPr>
                  <w:tcW w:w="714" w:type="dxa"/>
                  <w:tcBorders>
                    <w:top w:val="single" w:color="auto" w:sz="4" w:space="0"/>
                    <w:left w:val="nil"/>
                    <w:bottom w:val="single" w:color="auto" w:sz="4" w:space="0"/>
                    <w:right w:val="single" w:color="auto" w:sz="4" w:space="0"/>
                  </w:tcBorders>
                  <w:vAlign w:val="center"/>
                </w:tcPr>
                <w:p>
                  <w:pPr>
                    <w:snapToGrid w:val="0"/>
                    <w:jc w:val="center"/>
                    <w:rPr>
                      <w:rFonts w:hint="default" w:ascii="Times New Roman" w:hAnsi="Times New Roman" w:eastAsia="宋体" w:cs="Times New Roman"/>
                      <w:sz w:val="21"/>
                      <w:szCs w:val="21"/>
                    </w:rPr>
                  </w:pPr>
                  <w:r>
                    <w:rPr>
                      <w:rFonts w:hint="eastAsia" w:ascii="Times New Roman" w:hAnsi="Times New Roman" w:cs="Times New Roman" w:eastAsiaTheme="minorEastAsia"/>
                      <w:b w:val="0"/>
                      <w:bCs w:val="0"/>
                      <w:color w:val="auto"/>
                      <w:kern w:val="0"/>
                      <w:sz w:val="21"/>
                      <w:szCs w:val="21"/>
                      <w:lang w:val="en-US" w:eastAsia="zh-CN"/>
                    </w:rPr>
                    <w:t>0</w:t>
                  </w:r>
                </w:p>
              </w:tc>
              <w:tc>
                <w:tcPr>
                  <w:tcW w:w="820" w:type="dxa"/>
                  <w:gridSpan w:val="2"/>
                  <w:tcBorders>
                    <w:left w:val="single" w:color="auto" w:sz="4" w:space="0"/>
                    <w:bottom w:val="single" w:color="auto" w:sz="4" w:space="0"/>
                  </w:tcBorders>
                  <w:tcMar>
                    <w:left w:w="0" w:type="dxa"/>
                    <w:right w:w="0" w:type="dxa"/>
                  </w:tcMar>
                  <w:vAlign w:val="center"/>
                </w:tcPr>
                <w:p>
                  <w:pPr>
                    <w:snapToGrid w:val="0"/>
                    <w:jc w:val="center"/>
                    <w:rPr>
                      <w:rFonts w:hint="default" w:ascii="Times New Roman" w:hAnsi="Times New Roman" w:eastAsia="宋体" w:cs="Times New Roman"/>
                      <w:sz w:val="21"/>
                      <w:szCs w:val="21"/>
                      <w:lang w:val="en-US" w:eastAsia="zh-CN" w:bidi="ar-SA"/>
                    </w:rPr>
                  </w:pPr>
                  <w:r>
                    <w:rPr>
                      <w:rFonts w:hint="eastAsia" w:ascii="Times New Roman" w:hAnsi="Times New Roman" w:cs="Times New Roman" w:eastAsiaTheme="minorEastAsia"/>
                      <w:b w:val="0"/>
                      <w:bCs w:val="0"/>
                      <w:color w:val="auto"/>
                      <w:kern w:val="0"/>
                      <w:sz w:val="21"/>
                      <w:szCs w:val="21"/>
                      <w:lang w:val="en-US" w:eastAsia="zh-CN"/>
                    </w:rPr>
                    <w:t>0</w:t>
                  </w:r>
                </w:p>
              </w:tc>
              <w:tc>
                <w:tcPr>
                  <w:tcW w:w="860" w:type="dxa"/>
                  <w:tcBorders>
                    <w:left w:val="single" w:color="auto" w:sz="4" w:space="0"/>
                    <w:bottom w:val="single" w:color="auto" w:sz="4" w:space="0"/>
                  </w:tcBorders>
                  <w:tcMar>
                    <w:left w:w="0" w:type="dxa"/>
                    <w:right w:w="0" w:type="dxa"/>
                  </w:tcMar>
                  <w:vAlign w:val="center"/>
                </w:tcPr>
                <w:p>
                  <w:pPr>
                    <w:snapToGrid w:val="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60" w:type="dxa"/>
                  <w:gridSpan w:val="2"/>
                  <w:tcBorders>
                    <w:left w:val="single" w:color="auto" w:sz="4" w:space="0"/>
                    <w:bottom w:val="single" w:color="auto" w:sz="4" w:space="0"/>
                  </w:tcBorders>
                  <w:tcMar>
                    <w:left w:w="0" w:type="dxa"/>
                    <w:right w:w="0" w:type="dxa"/>
                  </w:tcMar>
                  <w:vAlign w:val="center"/>
                </w:tcPr>
                <w:p>
                  <w:pPr>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sz w:val="21"/>
                      <w:szCs w:val="21"/>
                      <w:lang w:val="en-US" w:eastAsia="zh-CN"/>
                    </w:rPr>
                    <w:t>360</w:t>
                  </w:r>
                </w:p>
              </w:tc>
              <w:tc>
                <w:tcPr>
                  <w:tcW w:w="965" w:type="dxa"/>
                  <w:gridSpan w:val="2"/>
                  <w:tcBorders>
                    <w:left w:val="single" w:color="auto" w:sz="4" w:space="0"/>
                    <w:bottom w:val="single" w:color="auto" w:sz="4" w:space="0"/>
                  </w:tcBorders>
                  <w:tcMar>
                    <w:left w:w="0" w:type="dxa"/>
                    <w:right w:w="0" w:type="dxa"/>
                  </w:tcMar>
                  <w:vAlign w:val="center"/>
                </w:tcPr>
                <w:p>
                  <w:pPr>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sz w:val="21"/>
                      <w:szCs w:val="21"/>
                      <w:lang w:val="en-US" w:eastAsia="zh-CN"/>
                    </w:rPr>
                    <w:t>360</w:t>
                  </w:r>
                </w:p>
              </w:tc>
              <w:tc>
                <w:tcPr>
                  <w:tcW w:w="981" w:type="dxa"/>
                  <w:tcBorders>
                    <w:left w:val="single" w:color="auto" w:sz="4" w:space="0"/>
                    <w:bottom w:val="single" w:color="auto" w:sz="4" w:space="0"/>
                  </w:tcBorders>
                  <w:tcMar>
                    <w:left w:w="0" w:type="dxa"/>
                    <w:right w:w="0" w:type="dxa"/>
                  </w:tcMar>
                  <w:vAlign w:val="center"/>
                </w:tcPr>
                <w:p>
                  <w:pPr>
                    <w:snapToGrid w:val="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4" w:type="dxa"/>
                  <w:gridSpan w:val="2"/>
                  <w:vMerge w:val="continue"/>
                  <w:tcMar>
                    <w:left w:w="0" w:type="dxa"/>
                    <w:right w:w="0" w:type="dxa"/>
                  </w:tcMar>
                  <w:vAlign w:val="center"/>
                </w:tcPr>
                <w:p>
                  <w:pPr>
                    <w:jc w:val="center"/>
                    <w:rPr>
                      <w:rFonts w:hint="default" w:ascii="Times New Roman" w:hAnsi="Times New Roman" w:eastAsia="宋体" w:cs="Times New Roman"/>
                      <w:sz w:val="21"/>
                      <w:szCs w:val="21"/>
                    </w:rPr>
                  </w:pPr>
                </w:p>
              </w:tc>
              <w:tc>
                <w:tcPr>
                  <w:tcW w:w="951" w:type="dxa"/>
                  <w:tcMar>
                    <w:left w:w="0" w:type="dxa"/>
                    <w:right w:w="0" w:type="dxa"/>
                  </w:tcMar>
                  <w:vAlign w:val="center"/>
                </w:tcPr>
                <w:p>
                  <w:pPr>
                    <w:adjustRightInd w:val="0"/>
                    <w:snapToGrid w:val="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sz w:val="21"/>
                      <w:szCs w:val="21"/>
                    </w:rPr>
                    <w:t>COD</w:t>
                  </w:r>
                </w:p>
              </w:tc>
              <w:tc>
                <w:tcPr>
                  <w:tcW w:w="943"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w:t>
                  </w:r>
                  <w:r>
                    <w:rPr>
                      <w:rFonts w:hint="eastAsia" w:ascii="Times New Roman" w:hAnsi="Times New Roman" w:cs="Times New Roman"/>
                      <w:sz w:val="21"/>
                      <w:szCs w:val="21"/>
                      <w:lang w:val="en-US" w:eastAsia="zh-CN"/>
                    </w:rPr>
                    <w:t>144</w:t>
                  </w:r>
                </w:p>
              </w:tc>
              <w:tc>
                <w:tcPr>
                  <w:tcW w:w="833" w:type="dxa"/>
                  <w:gridSpan w:val="2"/>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w:t>
                  </w:r>
                  <w:r>
                    <w:rPr>
                      <w:rFonts w:hint="eastAsia" w:ascii="Times New Roman" w:hAnsi="Times New Roman" w:cs="Times New Roman"/>
                      <w:sz w:val="21"/>
                      <w:szCs w:val="21"/>
                      <w:lang w:val="en-US" w:eastAsia="zh-CN"/>
                    </w:rPr>
                    <w:t>18</w:t>
                  </w:r>
                </w:p>
              </w:tc>
              <w:tc>
                <w:tcPr>
                  <w:tcW w:w="714" w:type="dxa"/>
                  <w:tcBorders>
                    <w:top w:val="single" w:color="auto" w:sz="4" w:space="0"/>
                    <w:left w:val="nil"/>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lang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20"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snapToGrid w:val="0"/>
                    <w:jc w:val="center"/>
                    <w:rPr>
                      <w:rFonts w:hint="default" w:ascii="Times New Roman" w:hAnsi="Times New Roman" w:eastAsia="宋体" w:cs="Times New Roman"/>
                      <w:sz w:val="21"/>
                      <w:szCs w:val="21"/>
                      <w:lang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60" w:type="dxa"/>
                  <w:tcBorders>
                    <w:top w:val="single" w:color="auto" w:sz="4" w:space="0"/>
                    <w:left w:val="single" w:color="auto" w:sz="4" w:space="0"/>
                    <w:bottom w:val="single" w:color="auto" w:sz="4" w:space="0"/>
                    <w:right w:val="single" w:color="auto" w:sz="4" w:space="0"/>
                  </w:tcBorders>
                  <w:tcMar>
                    <w:left w:w="0" w:type="dxa"/>
                    <w:right w:w="0" w:type="dxa"/>
                  </w:tcMar>
                  <w:vAlign w:val="center"/>
                </w:tcPr>
                <w:p>
                  <w:pPr>
                    <w:snapToGrid w:val="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60"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jc w:val="center"/>
                    <w:rPr>
                      <w:rFonts w:hint="default" w:ascii="Times New Roman" w:hAnsi="Times New Roman" w:eastAsia="宋体" w:cs="Times New Roman"/>
                      <w:kern w:val="2"/>
                      <w:sz w:val="21"/>
                      <w:szCs w:val="21"/>
                      <w:lang w:val="en-US" w:eastAsia="zh-CN"/>
                    </w:rPr>
                  </w:pPr>
                  <w:r>
                    <w:rPr>
                      <w:rFonts w:hint="default" w:ascii="Times New Roman" w:hAnsi="Times New Roman" w:cs="Times New Roman"/>
                      <w:sz w:val="21"/>
                      <w:szCs w:val="21"/>
                      <w:lang w:val="en-US" w:eastAsia="zh-CN"/>
                    </w:rPr>
                    <w:t>0.</w:t>
                  </w:r>
                  <w:r>
                    <w:rPr>
                      <w:rFonts w:hint="eastAsia" w:ascii="Times New Roman" w:hAnsi="Times New Roman" w:cs="Times New Roman"/>
                      <w:sz w:val="21"/>
                      <w:szCs w:val="21"/>
                      <w:lang w:val="en-US" w:eastAsia="zh-CN"/>
                    </w:rPr>
                    <w:t>144</w:t>
                  </w:r>
                </w:p>
              </w:tc>
              <w:tc>
                <w:tcPr>
                  <w:tcW w:w="965"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jc w:val="center"/>
                    <w:rPr>
                      <w:rFonts w:hint="default" w:ascii="Times New Roman" w:hAnsi="Times New Roman" w:eastAsia="宋体" w:cs="Times New Roman"/>
                      <w:kern w:val="2"/>
                      <w:sz w:val="21"/>
                      <w:szCs w:val="21"/>
                      <w:lang w:val="en-US" w:eastAsia="zh-CN"/>
                    </w:rPr>
                  </w:pPr>
                  <w:r>
                    <w:rPr>
                      <w:rFonts w:hint="default" w:ascii="Times New Roman" w:hAnsi="Times New Roman" w:cs="Times New Roman"/>
                      <w:sz w:val="21"/>
                      <w:szCs w:val="21"/>
                      <w:lang w:val="en-US" w:eastAsia="zh-CN"/>
                    </w:rPr>
                    <w:t>0.0</w:t>
                  </w:r>
                  <w:r>
                    <w:rPr>
                      <w:rFonts w:hint="eastAsia" w:ascii="Times New Roman" w:hAnsi="Times New Roman" w:cs="Times New Roman"/>
                      <w:sz w:val="21"/>
                      <w:szCs w:val="21"/>
                      <w:lang w:val="en-US" w:eastAsia="zh-CN"/>
                    </w:rPr>
                    <w:t>18</w:t>
                  </w:r>
                </w:p>
              </w:tc>
              <w:tc>
                <w:tcPr>
                  <w:tcW w:w="981" w:type="dxa"/>
                  <w:tcBorders>
                    <w:top w:val="single" w:color="auto" w:sz="4" w:space="0"/>
                    <w:left w:val="single" w:color="auto" w:sz="4" w:space="0"/>
                    <w:bottom w:val="single" w:color="auto" w:sz="4" w:space="0"/>
                    <w:right w:val="single" w:color="auto" w:sz="4" w:space="0"/>
                  </w:tcBorders>
                  <w:tcMar>
                    <w:left w:w="0" w:type="dxa"/>
                    <w:right w:w="0" w:type="dxa"/>
                  </w:tcMar>
                  <w:vAlign w:val="center"/>
                </w:tcPr>
                <w:p>
                  <w:pPr>
                    <w:snapToGrid w:val="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4" w:type="dxa"/>
                  <w:gridSpan w:val="2"/>
                  <w:vMerge w:val="continue"/>
                  <w:tcMar>
                    <w:left w:w="0" w:type="dxa"/>
                    <w:right w:w="0" w:type="dxa"/>
                  </w:tcMar>
                  <w:vAlign w:val="center"/>
                </w:tcPr>
                <w:p>
                  <w:pPr>
                    <w:jc w:val="center"/>
                    <w:rPr>
                      <w:rFonts w:hint="default" w:ascii="Times New Roman" w:hAnsi="Times New Roman" w:eastAsia="宋体" w:cs="Times New Roman"/>
                      <w:sz w:val="21"/>
                      <w:szCs w:val="21"/>
                    </w:rPr>
                  </w:pPr>
                </w:p>
              </w:tc>
              <w:tc>
                <w:tcPr>
                  <w:tcW w:w="951" w:type="dxa"/>
                  <w:tcMar>
                    <w:left w:w="0" w:type="dxa"/>
                    <w:right w:w="0" w:type="dxa"/>
                  </w:tcMar>
                  <w:vAlign w:val="center"/>
                </w:tcPr>
                <w:p>
                  <w:pPr>
                    <w:adjustRightInd w:val="0"/>
                    <w:snapToGrid w:val="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sz w:val="21"/>
                      <w:szCs w:val="21"/>
                    </w:rPr>
                    <w:t>SS</w:t>
                  </w:r>
                </w:p>
              </w:tc>
              <w:tc>
                <w:tcPr>
                  <w:tcW w:w="943"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w:t>
                  </w:r>
                  <w:r>
                    <w:rPr>
                      <w:rFonts w:hint="eastAsia" w:ascii="Times New Roman" w:hAnsi="Times New Roman" w:cs="Times New Roman"/>
                      <w:sz w:val="21"/>
                      <w:szCs w:val="21"/>
                      <w:lang w:val="en-US" w:eastAsia="zh-CN"/>
                    </w:rPr>
                    <w:t>108</w:t>
                  </w:r>
                </w:p>
              </w:tc>
              <w:tc>
                <w:tcPr>
                  <w:tcW w:w="833" w:type="dxa"/>
                  <w:gridSpan w:val="2"/>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0.00</w:t>
                  </w:r>
                  <w:r>
                    <w:rPr>
                      <w:rFonts w:hint="eastAsia" w:ascii="Times New Roman" w:hAnsi="Times New Roman" w:cs="Times New Roman"/>
                      <w:sz w:val="21"/>
                      <w:szCs w:val="21"/>
                      <w:lang w:val="en-US" w:eastAsia="zh-CN"/>
                    </w:rPr>
                    <w:t>36</w:t>
                  </w:r>
                </w:p>
              </w:tc>
              <w:tc>
                <w:tcPr>
                  <w:tcW w:w="714" w:type="dxa"/>
                  <w:tcBorders>
                    <w:top w:val="single" w:color="auto" w:sz="4" w:space="0"/>
                    <w:left w:val="nil"/>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rPr>
                  </w:pPr>
                  <w:r>
                    <w:rPr>
                      <w:rFonts w:hint="eastAsia" w:ascii="Times New Roman" w:hAnsi="Times New Roman" w:cs="Times New Roman" w:eastAsiaTheme="minorEastAsia"/>
                      <w:b w:val="0"/>
                      <w:bCs w:val="0"/>
                      <w:color w:val="auto"/>
                      <w:kern w:val="0"/>
                      <w:sz w:val="21"/>
                      <w:szCs w:val="21"/>
                      <w:lang w:val="en-US" w:eastAsia="zh-CN"/>
                    </w:rPr>
                    <w:t>0</w:t>
                  </w:r>
                </w:p>
              </w:tc>
              <w:tc>
                <w:tcPr>
                  <w:tcW w:w="820"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widowControl/>
                    <w:jc w:val="center"/>
                    <w:textAlignment w:val="center"/>
                    <w:rPr>
                      <w:rFonts w:hint="default" w:ascii="Times New Roman" w:hAnsi="Times New Roman" w:eastAsia="宋体" w:cs="Times New Roman"/>
                      <w:sz w:val="21"/>
                      <w:szCs w:val="21"/>
                      <w:lang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60" w:type="dxa"/>
                  <w:tcBorders>
                    <w:top w:val="single" w:color="auto" w:sz="4" w:space="0"/>
                    <w:left w:val="single" w:color="auto" w:sz="4" w:space="0"/>
                    <w:bottom w:val="single" w:color="auto" w:sz="4" w:space="0"/>
                    <w:right w:val="single" w:color="auto" w:sz="4" w:space="0"/>
                  </w:tcBorders>
                  <w:tcMar>
                    <w:left w:w="0" w:type="dxa"/>
                    <w:right w:w="0" w:type="dxa"/>
                  </w:tcMar>
                  <w:vAlign w:val="center"/>
                </w:tcPr>
                <w:p>
                  <w:pPr>
                    <w:widowControl/>
                    <w:jc w:val="center"/>
                    <w:textAlignment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60"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0.</w:t>
                  </w:r>
                  <w:r>
                    <w:rPr>
                      <w:rFonts w:hint="eastAsia" w:ascii="Times New Roman" w:hAnsi="Times New Roman" w:cs="Times New Roman"/>
                      <w:sz w:val="21"/>
                      <w:szCs w:val="21"/>
                      <w:lang w:val="en-US" w:eastAsia="zh-CN"/>
                    </w:rPr>
                    <w:t>108</w:t>
                  </w:r>
                </w:p>
              </w:tc>
              <w:tc>
                <w:tcPr>
                  <w:tcW w:w="965"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jc w:val="center"/>
                    <w:rPr>
                      <w:rFonts w:hint="default" w:ascii="Times New Roman" w:hAnsi="Times New Roman" w:eastAsia="宋体" w:cs="Times New Roman"/>
                      <w:kern w:val="2"/>
                      <w:sz w:val="21"/>
                      <w:szCs w:val="21"/>
                      <w:lang w:val="en-US" w:eastAsia="zh-CN"/>
                    </w:rPr>
                  </w:pPr>
                  <w:r>
                    <w:rPr>
                      <w:rFonts w:hint="default" w:ascii="Times New Roman" w:hAnsi="Times New Roman" w:cs="Times New Roman"/>
                      <w:sz w:val="21"/>
                      <w:szCs w:val="21"/>
                      <w:lang w:val="en-US" w:eastAsia="zh-CN"/>
                    </w:rPr>
                    <w:t>0.00</w:t>
                  </w:r>
                  <w:r>
                    <w:rPr>
                      <w:rFonts w:hint="eastAsia" w:ascii="Times New Roman" w:hAnsi="Times New Roman" w:cs="Times New Roman"/>
                      <w:sz w:val="21"/>
                      <w:szCs w:val="21"/>
                      <w:lang w:val="en-US" w:eastAsia="zh-CN"/>
                    </w:rPr>
                    <w:t>36</w:t>
                  </w:r>
                </w:p>
              </w:tc>
              <w:tc>
                <w:tcPr>
                  <w:tcW w:w="981" w:type="dxa"/>
                  <w:tcBorders>
                    <w:top w:val="single" w:color="auto" w:sz="4" w:space="0"/>
                    <w:left w:val="single" w:color="auto" w:sz="4" w:space="0"/>
                    <w:bottom w:val="single" w:color="auto" w:sz="4" w:space="0"/>
                    <w:right w:val="single" w:color="auto" w:sz="4" w:space="0"/>
                  </w:tcBorders>
                  <w:tcMar>
                    <w:left w:w="0" w:type="dxa"/>
                    <w:right w:w="0" w:type="dxa"/>
                  </w:tcMar>
                  <w:vAlign w:val="center"/>
                </w:tcPr>
                <w:p>
                  <w:pPr>
                    <w:widowControl/>
                    <w:jc w:val="center"/>
                    <w:textAlignment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4" w:type="dxa"/>
                  <w:gridSpan w:val="2"/>
                  <w:vMerge w:val="continue"/>
                  <w:tcMar>
                    <w:left w:w="0" w:type="dxa"/>
                    <w:right w:w="0" w:type="dxa"/>
                  </w:tcMar>
                  <w:vAlign w:val="center"/>
                </w:tcPr>
                <w:p>
                  <w:pPr>
                    <w:jc w:val="center"/>
                    <w:rPr>
                      <w:rFonts w:hint="default" w:ascii="Times New Roman" w:hAnsi="Times New Roman" w:eastAsia="宋体" w:cs="Times New Roman"/>
                      <w:sz w:val="21"/>
                      <w:szCs w:val="21"/>
                    </w:rPr>
                  </w:pPr>
                </w:p>
              </w:tc>
              <w:tc>
                <w:tcPr>
                  <w:tcW w:w="951" w:type="dxa"/>
                  <w:tcMar>
                    <w:left w:w="0" w:type="dxa"/>
                    <w:right w:w="0" w:type="dxa"/>
                  </w:tcMar>
                  <w:vAlign w:val="center"/>
                </w:tcPr>
                <w:p>
                  <w:pPr>
                    <w:snapToGrid w:val="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sz w:val="21"/>
                      <w:szCs w:val="21"/>
                    </w:rPr>
                    <w:t>氨氮</w:t>
                  </w:r>
                </w:p>
              </w:tc>
              <w:tc>
                <w:tcPr>
                  <w:tcW w:w="943"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w:t>
                  </w:r>
                  <w:r>
                    <w:rPr>
                      <w:rFonts w:hint="eastAsia" w:ascii="Times New Roman" w:hAnsi="Times New Roman" w:cs="Times New Roman"/>
                      <w:sz w:val="21"/>
                      <w:szCs w:val="21"/>
                      <w:lang w:val="en-US" w:eastAsia="zh-CN"/>
                    </w:rPr>
                    <w:t>108</w:t>
                  </w:r>
                </w:p>
              </w:tc>
              <w:tc>
                <w:tcPr>
                  <w:tcW w:w="833" w:type="dxa"/>
                  <w:gridSpan w:val="2"/>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0.00</w:t>
                  </w:r>
                  <w:r>
                    <w:rPr>
                      <w:rFonts w:hint="eastAsia" w:ascii="Times New Roman" w:hAnsi="Times New Roman" w:cs="Times New Roman"/>
                      <w:sz w:val="21"/>
                      <w:szCs w:val="21"/>
                      <w:lang w:val="en-US" w:eastAsia="zh-CN"/>
                    </w:rPr>
                    <w:t>18</w:t>
                  </w:r>
                </w:p>
              </w:tc>
              <w:tc>
                <w:tcPr>
                  <w:tcW w:w="71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rPr>
                  </w:pPr>
                  <w:r>
                    <w:rPr>
                      <w:rFonts w:hint="eastAsia" w:ascii="Times New Roman" w:hAnsi="Times New Roman" w:cs="Times New Roman" w:eastAsiaTheme="minorEastAsia"/>
                      <w:b w:val="0"/>
                      <w:bCs w:val="0"/>
                      <w:color w:val="auto"/>
                      <w:kern w:val="0"/>
                      <w:sz w:val="21"/>
                      <w:szCs w:val="21"/>
                      <w:lang w:val="en-US" w:eastAsia="zh-CN"/>
                    </w:rPr>
                    <w:t>0</w:t>
                  </w:r>
                </w:p>
              </w:tc>
              <w:tc>
                <w:tcPr>
                  <w:tcW w:w="820"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snapToGrid w:val="0"/>
                    <w:jc w:val="center"/>
                    <w:rPr>
                      <w:rFonts w:hint="default" w:ascii="Times New Roman" w:hAnsi="Times New Roman" w:eastAsia="宋体" w:cs="Times New Roman"/>
                      <w:sz w:val="21"/>
                      <w:szCs w:val="21"/>
                      <w:lang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60" w:type="dxa"/>
                  <w:tcBorders>
                    <w:top w:val="single" w:color="auto" w:sz="4" w:space="0"/>
                    <w:left w:val="single" w:color="auto" w:sz="4" w:space="0"/>
                    <w:bottom w:val="single" w:color="auto" w:sz="4" w:space="0"/>
                    <w:right w:val="single" w:color="auto" w:sz="4" w:space="0"/>
                  </w:tcBorders>
                  <w:tcMar>
                    <w:left w:w="0" w:type="dxa"/>
                    <w:right w:w="0" w:type="dxa"/>
                  </w:tcMar>
                  <w:vAlign w:val="center"/>
                </w:tcPr>
                <w:p>
                  <w:pPr>
                    <w:snapToGrid w:val="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60"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jc w:val="center"/>
                    <w:rPr>
                      <w:rFonts w:hint="default" w:ascii="Times New Roman" w:hAnsi="Times New Roman" w:eastAsia="宋体" w:cs="Times New Roman"/>
                      <w:kern w:val="2"/>
                      <w:sz w:val="21"/>
                      <w:szCs w:val="21"/>
                      <w:lang w:val="en-US" w:eastAsia="zh-CN"/>
                    </w:rPr>
                  </w:pPr>
                  <w:r>
                    <w:rPr>
                      <w:rFonts w:hint="default" w:ascii="Times New Roman" w:hAnsi="Times New Roman" w:cs="Times New Roman"/>
                      <w:sz w:val="21"/>
                      <w:szCs w:val="21"/>
                      <w:lang w:val="en-US" w:eastAsia="zh-CN"/>
                    </w:rPr>
                    <w:t>0.0</w:t>
                  </w:r>
                  <w:r>
                    <w:rPr>
                      <w:rFonts w:hint="eastAsia" w:ascii="Times New Roman" w:hAnsi="Times New Roman" w:cs="Times New Roman"/>
                      <w:sz w:val="21"/>
                      <w:szCs w:val="21"/>
                      <w:lang w:val="en-US" w:eastAsia="zh-CN"/>
                    </w:rPr>
                    <w:t>108</w:t>
                  </w:r>
                </w:p>
              </w:tc>
              <w:tc>
                <w:tcPr>
                  <w:tcW w:w="965"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jc w:val="center"/>
                    <w:rPr>
                      <w:rFonts w:hint="default" w:ascii="Times New Roman" w:hAnsi="Times New Roman" w:eastAsia="宋体" w:cs="Times New Roman"/>
                      <w:kern w:val="2"/>
                      <w:sz w:val="21"/>
                      <w:szCs w:val="21"/>
                      <w:lang w:val="en-US" w:eastAsia="zh-CN"/>
                    </w:rPr>
                  </w:pPr>
                  <w:r>
                    <w:rPr>
                      <w:rFonts w:hint="default" w:ascii="Times New Roman" w:hAnsi="Times New Roman" w:cs="Times New Roman"/>
                      <w:sz w:val="21"/>
                      <w:szCs w:val="21"/>
                      <w:lang w:val="en-US" w:eastAsia="zh-CN"/>
                    </w:rPr>
                    <w:t>0.00</w:t>
                  </w:r>
                  <w:r>
                    <w:rPr>
                      <w:rFonts w:hint="eastAsia" w:ascii="Times New Roman" w:hAnsi="Times New Roman" w:cs="Times New Roman"/>
                      <w:sz w:val="21"/>
                      <w:szCs w:val="21"/>
                      <w:lang w:val="en-US" w:eastAsia="zh-CN"/>
                    </w:rPr>
                    <w:t>18</w:t>
                  </w:r>
                </w:p>
              </w:tc>
              <w:tc>
                <w:tcPr>
                  <w:tcW w:w="981" w:type="dxa"/>
                  <w:tcBorders>
                    <w:top w:val="single" w:color="auto" w:sz="4" w:space="0"/>
                    <w:left w:val="single" w:color="auto" w:sz="4" w:space="0"/>
                    <w:bottom w:val="single" w:color="auto" w:sz="4" w:space="0"/>
                    <w:right w:val="single" w:color="auto" w:sz="4" w:space="0"/>
                  </w:tcBorders>
                  <w:tcMar>
                    <w:left w:w="0" w:type="dxa"/>
                    <w:right w:w="0" w:type="dxa"/>
                  </w:tcMar>
                  <w:vAlign w:val="center"/>
                </w:tcPr>
                <w:p>
                  <w:pPr>
                    <w:snapToGrid w:val="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4" w:type="dxa"/>
                  <w:gridSpan w:val="2"/>
                  <w:vMerge w:val="continue"/>
                  <w:tcMar>
                    <w:left w:w="0" w:type="dxa"/>
                    <w:right w:w="0" w:type="dxa"/>
                  </w:tcMar>
                  <w:vAlign w:val="center"/>
                </w:tcPr>
                <w:p>
                  <w:pPr>
                    <w:jc w:val="center"/>
                    <w:rPr>
                      <w:rFonts w:hint="default" w:ascii="Times New Roman" w:hAnsi="Times New Roman" w:eastAsia="宋体" w:cs="Times New Roman"/>
                      <w:sz w:val="21"/>
                      <w:szCs w:val="21"/>
                    </w:rPr>
                  </w:pPr>
                </w:p>
              </w:tc>
              <w:tc>
                <w:tcPr>
                  <w:tcW w:w="951" w:type="dxa"/>
                  <w:tcMar>
                    <w:left w:w="0" w:type="dxa"/>
                    <w:right w:w="0" w:type="dxa"/>
                  </w:tcMar>
                  <w:vAlign w:val="center"/>
                </w:tcPr>
                <w:p>
                  <w:pPr>
                    <w:adjustRightInd w:val="0"/>
                    <w:snapToGrid w:val="0"/>
                    <w:jc w:val="center"/>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sz w:val="21"/>
                      <w:szCs w:val="21"/>
                    </w:rPr>
                    <w:t>总</w:t>
                  </w:r>
                  <w:r>
                    <w:rPr>
                      <w:rFonts w:hint="eastAsia" w:ascii="Times New Roman" w:hAnsi="Times New Roman" w:cs="Times New Roman"/>
                      <w:sz w:val="21"/>
                      <w:szCs w:val="21"/>
                      <w:lang w:val="en-US" w:eastAsia="zh-CN"/>
                    </w:rPr>
                    <w:t>磷</w:t>
                  </w:r>
                </w:p>
              </w:tc>
              <w:tc>
                <w:tcPr>
                  <w:tcW w:w="943"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0.00</w:t>
                  </w:r>
                  <w:r>
                    <w:rPr>
                      <w:rFonts w:hint="eastAsia" w:ascii="Times New Roman" w:hAnsi="Times New Roman" w:cs="Times New Roman"/>
                      <w:sz w:val="21"/>
                      <w:szCs w:val="21"/>
                      <w:lang w:val="en-US" w:eastAsia="zh-CN"/>
                    </w:rPr>
                    <w:t>18</w:t>
                  </w:r>
                </w:p>
              </w:tc>
              <w:tc>
                <w:tcPr>
                  <w:tcW w:w="833" w:type="dxa"/>
                  <w:gridSpan w:val="2"/>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0.000</w:t>
                  </w:r>
                  <w:r>
                    <w:rPr>
                      <w:rFonts w:hint="eastAsia" w:ascii="Times New Roman" w:hAnsi="Times New Roman" w:cs="Times New Roman"/>
                      <w:sz w:val="21"/>
                      <w:szCs w:val="21"/>
                      <w:lang w:val="en-US" w:eastAsia="zh-CN"/>
                    </w:rPr>
                    <w:t>2</w:t>
                  </w:r>
                </w:p>
              </w:tc>
              <w:tc>
                <w:tcPr>
                  <w:tcW w:w="71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20"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60" w:type="dxa"/>
                  <w:tcBorders>
                    <w:top w:val="single" w:color="auto" w:sz="4" w:space="0"/>
                    <w:left w:val="single" w:color="auto" w:sz="4" w:space="0"/>
                    <w:bottom w:val="single" w:color="auto" w:sz="4" w:space="0"/>
                    <w:right w:val="single" w:color="auto" w:sz="4" w:space="0"/>
                  </w:tcBorders>
                  <w:tcMar>
                    <w:left w:w="0" w:type="dxa"/>
                    <w:right w:w="0" w:type="dxa"/>
                  </w:tcMar>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60"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0.00</w:t>
                  </w:r>
                  <w:r>
                    <w:rPr>
                      <w:rFonts w:hint="eastAsia" w:ascii="Times New Roman" w:hAnsi="Times New Roman" w:cs="Times New Roman"/>
                      <w:sz w:val="21"/>
                      <w:szCs w:val="21"/>
                      <w:lang w:val="en-US" w:eastAsia="zh-CN"/>
                    </w:rPr>
                    <w:t>18</w:t>
                  </w:r>
                </w:p>
              </w:tc>
              <w:tc>
                <w:tcPr>
                  <w:tcW w:w="965"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0.000</w:t>
                  </w:r>
                  <w:r>
                    <w:rPr>
                      <w:rFonts w:hint="eastAsia" w:ascii="Times New Roman" w:hAnsi="Times New Roman" w:cs="Times New Roman"/>
                      <w:sz w:val="21"/>
                      <w:szCs w:val="21"/>
                      <w:lang w:val="en-US" w:eastAsia="zh-CN"/>
                    </w:rPr>
                    <w:t>2</w:t>
                  </w:r>
                </w:p>
              </w:tc>
              <w:tc>
                <w:tcPr>
                  <w:tcW w:w="981" w:type="dxa"/>
                  <w:tcBorders>
                    <w:top w:val="single" w:color="auto" w:sz="4" w:space="0"/>
                    <w:left w:val="single" w:color="auto" w:sz="4" w:space="0"/>
                    <w:bottom w:val="single" w:color="auto" w:sz="4" w:space="0"/>
                    <w:right w:val="single" w:color="auto" w:sz="4" w:space="0"/>
                  </w:tcBorders>
                  <w:tcMar>
                    <w:left w:w="0" w:type="dxa"/>
                    <w:right w:w="0" w:type="dxa"/>
                  </w:tcMar>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lang w:val="en-US" w:eastAsia="zh-CN"/>
                    </w:rPr>
                  </w:pPr>
                  <w:r>
                    <w:rPr>
                      <w:rFonts w:hint="eastAsia" w:ascii="Times New Roman" w:hAnsi="Times New Roman" w:cs="Times New Roman" w:eastAsiaTheme="minorEastAsia"/>
                      <w:b w:val="0"/>
                      <w:bCs w:val="0"/>
                      <w:color w:val="auto"/>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44" w:type="dxa"/>
                  <w:gridSpan w:val="2"/>
                  <w:vMerge w:val="continue"/>
                  <w:tcMar>
                    <w:left w:w="0" w:type="dxa"/>
                    <w:right w:w="0" w:type="dxa"/>
                  </w:tcMar>
                  <w:vAlign w:val="center"/>
                </w:tcPr>
                <w:p>
                  <w:pPr>
                    <w:jc w:val="center"/>
                    <w:rPr>
                      <w:rFonts w:hint="default" w:ascii="Times New Roman" w:hAnsi="Times New Roman" w:eastAsia="宋体" w:cs="Times New Roman"/>
                      <w:sz w:val="21"/>
                      <w:szCs w:val="21"/>
                    </w:rPr>
                  </w:pPr>
                </w:p>
              </w:tc>
              <w:tc>
                <w:tcPr>
                  <w:tcW w:w="951" w:type="dxa"/>
                  <w:tcMar>
                    <w:left w:w="0" w:type="dxa"/>
                    <w:right w:w="0" w:type="dxa"/>
                  </w:tcMar>
                  <w:vAlign w:val="center"/>
                </w:tcPr>
                <w:p>
                  <w:pPr>
                    <w:adjustRightInd w:val="0"/>
                    <w:snapToGrid w:val="0"/>
                    <w:jc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sz w:val="21"/>
                      <w:szCs w:val="21"/>
                      <w:lang w:eastAsia="zh-CN"/>
                    </w:rPr>
                    <w:t>总</w:t>
                  </w:r>
                  <w:r>
                    <w:rPr>
                      <w:rFonts w:hint="eastAsia" w:ascii="Times New Roman" w:hAnsi="Times New Roman" w:cs="Times New Roman"/>
                      <w:sz w:val="21"/>
                      <w:szCs w:val="21"/>
                      <w:lang w:val="en-US" w:eastAsia="zh-CN"/>
                    </w:rPr>
                    <w:t>氮</w:t>
                  </w:r>
                </w:p>
              </w:tc>
              <w:tc>
                <w:tcPr>
                  <w:tcW w:w="943" w:type="dxa"/>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w:t>
                  </w:r>
                  <w:r>
                    <w:rPr>
                      <w:rFonts w:hint="eastAsia" w:ascii="Times New Roman" w:hAnsi="Times New Roman" w:cs="Times New Roman"/>
                      <w:sz w:val="21"/>
                      <w:szCs w:val="21"/>
                      <w:lang w:val="en-US" w:eastAsia="zh-CN"/>
                    </w:rPr>
                    <w:t>144</w:t>
                  </w:r>
                </w:p>
              </w:tc>
              <w:tc>
                <w:tcPr>
                  <w:tcW w:w="833" w:type="dxa"/>
                  <w:gridSpan w:val="2"/>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0.0</w:t>
                  </w:r>
                  <w:r>
                    <w:rPr>
                      <w:rFonts w:hint="eastAsia" w:ascii="Times New Roman" w:hAnsi="Times New Roman" w:cs="Times New Roman"/>
                      <w:sz w:val="21"/>
                      <w:szCs w:val="21"/>
                      <w:lang w:val="en-US" w:eastAsia="zh-CN"/>
                    </w:rPr>
                    <w:t>054</w:t>
                  </w:r>
                </w:p>
              </w:tc>
              <w:tc>
                <w:tcPr>
                  <w:tcW w:w="71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20"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lang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60" w:type="dxa"/>
                  <w:tcBorders>
                    <w:top w:val="single" w:color="auto" w:sz="4" w:space="0"/>
                    <w:left w:val="single" w:color="auto" w:sz="4" w:space="0"/>
                    <w:bottom w:val="single" w:color="auto" w:sz="4" w:space="0"/>
                    <w:right w:val="single" w:color="auto" w:sz="4" w:space="0"/>
                  </w:tcBorders>
                  <w:tcMar>
                    <w:left w:w="0" w:type="dxa"/>
                    <w:right w:w="0" w:type="dxa"/>
                  </w:tcMar>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eastAsiaTheme="minorEastAsia"/>
                      <w:b w:val="0"/>
                      <w:bCs w:val="0"/>
                      <w:color w:val="auto"/>
                      <w:kern w:val="0"/>
                      <w:sz w:val="21"/>
                      <w:szCs w:val="21"/>
                      <w:lang w:val="en-US" w:eastAsia="zh-CN"/>
                    </w:rPr>
                    <w:t>0</w:t>
                  </w:r>
                </w:p>
              </w:tc>
              <w:tc>
                <w:tcPr>
                  <w:tcW w:w="860"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jc w:val="center"/>
                    <w:rPr>
                      <w:rFonts w:hint="default" w:ascii="Times New Roman" w:hAnsi="Times New Roman" w:eastAsia="宋体" w:cs="Times New Roman"/>
                      <w:kern w:val="2"/>
                      <w:sz w:val="21"/>
                      <w:szCs w:val="21"/>
                      <w:lang w:val="en-US" w:eastAsia="zh-CN"/>
                    </w:rPr>
                  </w:pPr>
                  <w:r>
                    <w:rPr>
                      <w:rFonts w:hint="default" w:ascii="Times New Roman" w:hAnsi="Times New Roman" w:cs="Times New Roman"/>
                      <w:sz w:val="21"/>
                      <w:szCs w:val="21"/>
                      <w:lang w:val="en-US" w:eastAsia="zh-CN"/>
                    </w:rPr>
                    <w:t>0.0</w:t>
                  </w:r>
                  <w:r>
                    <w:rPr>
                      <w:rFonts w:hint="eastAsia" w:ascii="Times New Roman" w:hAnsi="Times New Roman" w:cs="Times New Roman"/>
                      <w:sz w:val="21"/>
                      <w:szCs w:val="21"/>
                      <w:lang w:val="en-US" w:eastAsia="zh-CN"/>
                    </w:rPr>
                    <w:t>144</w:t>
                  </w:r>
                </w:p>
              </w:tc>
              <w:tc>
                <w:tcPr>
                  <w:tcW w:w="965" w:type="dxa"/>
                  <w:gridSpan w:val="2"/>
                  <w:tcBorders>
                    <w:top w:val="single" w:color="auto" w:sz="4" w:space="0"/>
                    <w:left w:val="single" w:color="auto" w:sz="4" w:space="0"/>
                    <w:bottom w:val="single" w:color="auto" w:sz="4" w:space="0"/>
                    <w:right w:val="single" w:color="auto" w:sz="4" w:space="0"/>
                  </w:tcBorders>
                  <w:tcMar>
                    <w:left w:w="0" w:type="dxa"/>
                    <w:right w:w="0" w:type="dxa"/>
                  </w:tcMar>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0.0</w:t>
                  </w:r>
                  <w:r>
                    <w:rPr>
                      <w:rFonts w:hint="eastAsia" w:ascii="Times New Roman" w:hAnsi="Times New Roman" w:cs="Times New Roman"/>
                      <w:sz w:val="21"/>
                      <w:szCs w:val="21"/>
                      <w:lang w:val="en-US" w:eastAsia="zh-CN"/>
                    </w:rPr>
                    <w:t>054</w:t>
                  </w:r>
                </w:p>
              </w:tc>
              <w:tc>
                <w:tcPr>
                  <w:tcW w:w="981" w:type="dxa"/>
                  <w:tcBorders>
                    <w:top w:val="single" w:color="auto" w:sz="4" w:space="0"/>
                    <w:left w:val="single" w:color="auto" w:sz="4" w:space="0"/>
                    <w:bottom w:val="single" w:color="auto" w:sz="4" w:space="0"/>
                    <w:right w:val="single" w:color="auto" w:sz="4" w:space="0"/>
                  </w:tcBorders>
                  <w:tcMar>
                    <w:left w:w="0" w:type="dxa"/>
                    <w:right w:w="0" w:type="dxa"/>
                  </w:tcMar>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lang w:val="en-US" w:eastAsia="zh-CN"/>
                    </w:rPr>
                  </w:pPr>
                  <w:r>
                    <w:rPr>
                      <w:rFonts w:hint="eastAsia" w:ascii="Times New Roman" w:hAnsi="Times New Roman" w:cs="Times New Roman" w:eastAsiaTheme="minorEastAsia"/>
                      <w:b w:val="0"/>
                      <w:bCs w:val="0"/>
                      <w:color w:val="auto"/>
                      <w:kern w:val="0"/>
                      <w:sz w:val="21"/>
                      <w:szCs w:val="21"/>
                      <w:lang w:val="en-US" w:eastAsia="zh-CN"/>
                    </w:rPr>
                    <w:t>0</w:t>
                  </w:r>
                </w:p>
              </w:tc>
            </w:tr>
          </w:tbl>
          <w:p>
            <w:pPr>
              <w:spacing w:line="460" w:lineRule="exact"/>
              <w:ind w:firstLine="482" w:firstLineChars="200"/>
              <w:jc w:val="both"/>
              <w:rPr>
                <w:rFonts w:hint="default" w:ascii="Times New Roman" w:hAnsi="Times New Roman" w:eastAsia="宋体" w:cs="Times New Roman"/>
                <w:b/>
                <w:bCs/>
                <w:sz w:val="24"/>
                <w:szCs w:val="24"/>
                <w:lang w:eastAsia="zh-CN"/>
              </w:rPr>
            </w:pPr>
          </w:p>
          <w:p>
            <w:pPr>
              <w:spacing w:line="460" w:lineRule="exact"/>
              <w:jc w:val="both"/>
              <w:rPr>
                <w:rFonts w:hint="default" w:ascii="Times New Roman" w:hAnsi="Times New Roman" w:eastAsia="宋体" w:cs="Times New Roman"/>
                <w:sz w:val="24"/>
                <w:szCs w:val="24"/>
                <w:lang w:eastAsia="zh-CN"/>
              </w:rPr>
            </w:pPr>
          </w:p>
        </w:tc>
      </w:tr>
    </w:tbl>
    <w:p>
      <w:pPr>
        <w:rPr>
          <w:rFonts w:hint="default" w:ascii="Times New Roman" w:hAnsi="Times New Roman" w:cs="Times New Roman"/>
          <w:lang w:eastAsia="zh-CN"/>
        </w:rPr>
        <w:sectPr>
          <w:footerReference r:id="rId6" w:type="default"/>
          <w:pgSz w:w="11910" w:h="16850"/>
          <w:pgMar w:top="1600" w:right="1320" w:bottom="1000" w:left="1320" w:header="0" w:footer="813" w:gutter="0"/>
          <w:pgBorders>
            <w:top w:val="none" w:sz="0" w:space="0"/>
            <w:left w:val="none" w:sz="0" w:space="0"/>
            <w:bottom w:val="none" w:sz="0" w:space="0"/>
            <w:right w:val="none" w:sz="0" w:space="0"/>
          </w:pgBorders>
          <w:pgNumType w:fmt="decimal"/>
          <w:cols w:space="720" w:num="1"/>
        </w:sectPr>
      </w:pPr>
    </w:p>
    <w:p>
      <w:pPr>
        <w:pStyle w:val="3"/>
        <w:spacing w:before="0" w:line="360" w:lineRule="auto"/>
        <w:jc w:val="center"/>
        <w:rPr>
          <w:rFonts w:hint="default" w:ascii="Times New Roman" w:hAnsi="Times New Roman" w:eastAsia="宋体" w:cs="Times New Roman"/>
          <w:b/>
          <w:bCs/>
          <w:lang w:eastAsia="zh-CN"/>
        </w:rPr>
      </w:pPr>
      <w:bookmarkStart w:id="3" w:name="_Toc21485"/>
      <w:r>
        <w:rPr>
          <w:rFonts w:hint="default" w:ascii="Times New Roman" w:hAnsi="Times New Roman" w:eastAsia="宋体" w:cs="Times New Roman"/>
          <w:b/>
          <w:bCs/>
          <w:lang w:eastAsia="zh-CN"/>
        </w:rPr>
        <w:t>四、主要环境影响和保护措施</w:t>
      </w:r>
      <w:bookmarkEnd w:id="3"/>
    </w:p>
    <w:tbl>
      <w:tblPr>
        <w:tblStyle w:val="24"/>
        <w:tblW w:w="49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8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0" w:hRule="atLeast"/>
          <w:jc w:val="center"/>
        </w:trPr>
        <w:tc>
          <w:tcPr>
            <w:tcW w:w="398" w:type="pct"/>
            <w:vAlign w:val="center"/>
          </w:tcPr>
          <w:p>
            <w:pPr>
              <w:jc w:val="center"/>
              <w:rPr>
                <w:rFonts w:hint="default" w:ascii="Times New Roman" w:hAnsi="Times New Roman" w:eastAsia="宋体" w:cs="Times New Roman"/>
                <w:spacing w:val="-1"/>
                <w:sz w:val="24"/>
                <w:szCs w:val="24"/>
                <w:lang w:eastAsia="zh-CN"/>
              </w:rPr>
            </w:pPr>
            <w:r>
              <w:rPr>
                <w:rFonts w:hint="default" w:ascii="Times New Roman" w:hAnsi="Times New Roman" w:eastAsia="宋体" w:cs="Times New Roman"/>
                <w:spacing w:val="-1"/>
                <w:sz w:val="24"/>
                <w:szCs w:val="24"/>
                <w:lang w:eastAsia="zh-CN"/>
              </w:rPr>
              <w:t>运营期环境影响和保护措施</w:t>
            </w:r>
          </w:p>
        </w:tc>
        <w:tc>
          <w:tcPr>
            <w:tcW w:w="4601" w:type="pct"/>
          </w:tcPr>
          <w:p>
            <w:pPr>
              <w:spacing w:line="460" w:lineRule="exact"/>
              <w:ind w:firstLine="480" w:firstLineChars="200"/>
              <w:jc w:val="both"/>
              <w:rPr>
                <w:rFonts w:hint="default" w:ascii="Times New Roman" w:hAnsi="Times New Roman" w:eastAsia="宋体" w:cs="Times New Roman"/>
                <w:kern w:val="2"/>
                <w:sz w:val="24"/>
                <w:szCs w:val="24"/>
                <w:lang w:eastAsia="zh-CN"/>
              </w:rPr>
            </w:pPr>
            <w:r>
              <w:rPr>
                <w:rFonts w:hint="default" w:ascii="Times New Roman" w:hAnsi="Times New Roman" w:cs="Times New Roman" w:eastAsiaTheme="minorEastAsia"/>
                <w:color w:val="000000" w:themeColor="text1"/>
                <w:sz w:val="24"/>
                <w14:textFill>
                  <w14:solidFill>
                    <w14:schemeClr w14:val="tx1"/>
                  </w14:solidFill>
                </w14:textFill>
              </w:rPr>
              <w:t>项目在现有已建厂房内进行建设，不新增用地。施工期主要为简单的适应性改造，设备安装调试，施工期短，对周围环境影响较小，因此不做施工期环境影响评述。</w:t>
            </w:r>
          </w:p>
          <w:p>
            <w:pPr>
              <w:tabs>
                <w:tab w:val="left" w:pos="3060"/>
              </w:tabs>
              <w:spacing w:line="460" w:lineRule="exact"/>
              <w:ind w:firstLine="482" w:firstLineChars="200"/>
              <w:jc w:val="both"/>
              <w:rPr>
                <w:rFonts w:hint="default" w:ascii="Times New Roman" w:hAnsi="Times New Roman" w:cs="Times New Roman"/>
                <w:b/>
                <w:bCs/>
                <w:sz w:val="24"/>
                <w:lang w:eastAsia="zh-CN"/>
              </w:rPr>
            </w:pPr>
            <w:r>
              <w:rPr>
                <w:rFonts w:hint="default" w:ascii="Times New Roman" w:hAnsi="Times New Roman" w:cs="Times New Roman" w:eastAsiaTheme="majorEastAsia"/>
                <w:b/>
                <w:bCs/>
                <w:sz w:val="24"/>
                <w:szCs w:val="24"/>
                <w:lang w:eastAsia="zh-CN"/>
              </w:rPr>
              <w:t>1、</w:t>
            </w:r>
            <w:r>
              <w:rPr>
                <w:rFonts w:hint="default" w:ascii="Times New Roman" w:hAnsi="Times New Roman" w:cs="Times New Roman" w:eastAsiaTheme="majorEastAsia"/>
                <w:b/>
                <w:bCs/>
                <w:sz w:val="24"/>
                <w:lang w:eastAsia="zh-CN"/>
              </w:rPr>
              <w:t>废气</w:t>
            </w:r>
          </w:p>
          <w:p>
            <w:pPr>
              <w:tabs>
                <w:tab w:val="left" w:pos="3060"/>
              </w:tabs>
              <w:spacing w:line="460" w:lineRule="exact"/>
              <w:ind w:firstLine="480" w:firstLineChars="200"/>
              <w:jc w:val="both"/>
              <w:rPr>
                <w:rFonts w:hint="default" w:ascii="Times New Roman" w:hAnsi="Times New Roman" w:eastAsia="宋体" w:cs="Times New Roman"/>
                <w:sz w:val="24"/>
                <w:lang w:eastAsia="zh-CN"/>
              </w:rPr>
            </w:pPr>
            <w:r>
              <w:rPr>
                <w:rFonts w:hint="default" w:ascii="Times New Roman" w:hAnsi="Times New Roman" w:eastAsia="宋体" w:cs="Times New Roman"/>
                <w:sz w:val="24"/>
                <w:lang w:eastAsia="zh-CN"/>
              </w:rPr>
              <w:t>本项目生产过程中产生</w:t>
            </w:r>
            <w:r>
              <w:rPr>
                <w:rFonts w:hint="default" w:ascii="Times New Roman" w:hAnsi="Times New Roman" w:eastAsia="宋体" w:cs="Times New Roman"/>
                <w:sz w:val="24"/>
                <w:lang w:val="en-US" w:eastAsia="zh-CN"/>
              </w:rPr>
              <w:t>的有组织</w:t>
            </w:r>
            <w:r>
              <w:rPr>
                <w:rFonts w:hint="default" w:ascii="Times New Roman" w:hAnsi="Times New Roman" w:eastAsia="宋体" w:cs="Times New Roman"/>
                <w:sz w:val="24"/>
                <w:lang w:eastAsia="zh-CN"/>
              </w:rPr>
              <w:t>废气主要为</w:t>
            </w:r>
            <w:r>
              <w:rPr>
                <w:rFonts w:hint="default" w:ascii="Times New Roman" w:hAnsi="Times New Roman" w:cs="Times New Roman"/>
                <w:sz w:val="24"/>
                <w:lang w:val="en-US" w:eastAsia="zh-CN"/>
              </w:rPr>
              <w:t>涂膜</w:t>
            </w:r>
            <w:r>
              <w:rPr>
                <w:rFonts w:hint="eastAsia" w:ascii="Times New Roman" w:hAnsi="Times New Roman" w:cs="Times New Roman"/>
                <w:sz w:val="24"/>
                <w:lang w:val="en-US" w:eastAsia="zh-CN"/>
              </w:rPr>
              <w:t>和</w:t>
            </w:r>
            <w:r>
              <w:rPr>
                <w:rFonts w:hint="default" w:ascii="Times New Roman" w:hAnsi="Times New Roman" w:cs="Times New Roman"/>
                <w:sz w:val="24"/>
                <w:lang w:val="en-US" w:eastAsia="zh-CN"/>
              </w:rPr>
              <w:t>印刷工序产生的有机废气（以非甲烷总烃表征）</w:t>
            </w:r>
            <w:r>
              <w:rPr>
                <w:rFonts w:hint="default" w:ascii="Times New Roman" w:hAnsi="Times New Roman" w:eastAsia="宋体" w:cs="Times New Roman"/>
                <w:sz w:val="24"/>
                <w:lang w:eastAsia="zh-CN"/>
              </w:rPr>
              <w:t>。</w:t>
            </w:r>
          </w:p>
          <w:p>
            <w:pPr>
              <w:tabs>
                <w:tab w:val="left" w:pos="3060"/>
              </w:tabs>
              <w:spacing w:line="460" w:lineRule="exact"/>
              <w:ind w:firstLine="482" w:firstLineChars="200"/>
              <w:jc w:val="both"/>
              <w:rPr>
                <w:rFonts w:hint="default" w:ascii="Times New Roman" w:hAnsi="Times New Roman" w:eastAsia="宋体" w:cs="Times New Roman"/>
                <w:b/>
                <w:bCs/>
                <w:sz w:val="24"/>
                <w:lang w:eastAsia="zh-CN"/>
              </w:rPr>
            </w:pPr>
            <w:r>
              <w:rPr>
                <w:rFonts w:hint="default" w:ascii="Times New Roman" w:hAnsi="Times New Roman" w:eastAsia="宋体" w:cs="Times New Roman"/>
                <w:b/>
                <w:bCs/>
                <w:sz w:val="24"/>
                <w:lang w:eastAsia="zh-CN"/>
              </w:rPr>
              <w:t>1.1废气源强核算</w:t>
            </w:r>
          </w:p>
          <w:p>
            <w:pPr>
              <w:tabs>
                <w:tab w:val="left" w:pos="3060"/>
              </w:tabs>
              <w:spacing w:line="460" w:lineRule="exact"/>
              <w:ind w:firstLine="480" w:firstLineChars="200"/>
              <w:jc w:val="both"/>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lang w:eastAsia="zh-CN"/>
              </w:rPr>
              <w:t>（1）有组织废气</w:t>
            </w:r>
          </w:p>
          <w:p>
            <w:pPr>
              <w:snapToGrid w:val="0"/>
              <w:spacing w:line="460" w:lineRule="exact"/>
              <w:ind w:firstLine="480" w:firstLineChars="200"/>
              <w:jc w:val="both"/>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4"/>
                <w:szCs w:val="28"/>
                <w:lang w:val="en-US" w:eastAsia="zh-CN"/>
              </w:rPr>
              <w:t>①</w:t>
            </w:r>
            <w:r>
              <w:rPr>
                <w:rFonts w:hint="default" w:ascii="Times New Roman" w:hAnsi="Times New Roman" w:eastAsia="宋体" w:cs="Times New Roman"/>
                <w:color w:val="000000"/>
                <w:kern w:val="0"/>
                <w:sz w:val="24"/>
                <w:szCs w:val="24"/>
                <w:lang w:val="en-US" w:eastAsia="zh-CN" w:bidi="ar"/>
              </w:rPr>
              <w:t>涂膜工段（非甲烷总烃）</w:t>
            </w:r>
          </w:p>
          <w:p>
            <w:pPr>
              <w:snapToGrid w:val="0"/>
              <w:spacing w:line="460" w:lineRule="exact"/>
              <w:ind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cs="Times New Roman"/>
                <w:sz w:val="24"/>
                <w:lang w:val="en-US" w:eastAsia="zh-CN"/>
              </w:rPr>
              <w:t>本项目涂膜工段中原料涂膜料加热融化会产生少量有机废气，以非甲烷总烃计，产生量根据《排放源统计调查产排污核算方法和系数手册</w:t>
            </w:r>
            <w:r>
              <w:rPr>
                <w:rFonts w:hint="eastAsia" w:ascii="Times New Roman" w:hAnsi="Times New Roman" w:cs="Times New Roman"/>
                <w:sz w:val="24"/>
                <w:lang w:val="en-US" w:eastAsia="zh-CN"/>
              </w:rPr>
              <w:t>（</w:t>
            </w:r>
            <w:r>
              <w:rPr>
                <w:rFonts w:hint="default" w:ascii="Times New Roman" w:hAnsi="Times New Roman" w:cs="Times New Roman"/>
                <w:sz w:val="24"/>
                <w:lang w:val="en-US" w:eastAsia="zh-CN"/>
              </w:rPr>
              <w:t>2019</w:t>
            </w:r>
            <w:r>
              <w:rPr>
                <w:rFonts w:hint="eastAsia" w:ascii="Times New Roman" w:hAnsi="Times New Roman" w:cs="Times New Roman"/>
                <w:sz w:val="24"/>
                <w:lang w:val="en-US" w:eastAsia="zh-CN"/>
              </w:rPr>
              <w:t>）</w:t>
            </w:r>
            <w:r>
              <w:rPr>
                <w:rFonts w:hint="default" w:ascii="Times New Roman" w:hAnsi="Times New Roman" w:cs="Times New Roman"/>
                <w:sz w:val="24"/>
                <w:lang w:val="en-US" w:eastAsia="zh-CN"/>
              </w:rPr>
              <w:t>》中的塑料薄膜行业制造系数，挥发性有机废气（非甲烷总烃）的排放系数为 2.5kg/t 原料，则本项目涂膜工段使用涂膜料70t/a，非甲烷总烃产生量为 0.175t/a。本项目于涂膜工段处设置软帘+集气罩收集有机废气，并由管道引至废气处理设施二级活性炭吸附后由1根15m高排气筒（DA002）排放。本项目采用“</w:t>
            </w:r>
            <w:r>
              <w:rPr>
                <w:rFonts w:hint="default" w:ascii="Times New Roman" w:hAnsi="Times New Roman" w:cs="Times New Roman"/>
                <w:color w:val="auto"/>
                <w:sz w:val="24"/>
                <w:lang w:val="en-US" w:eastAsia="zh-CN"/>
              </w:rPr>
              <w:t>软帘+</w:t>
            </w:r>
            <w:r>
              <w:rPr>
                <w:rFonts w:hint="default" w:ascii="Times New Roman" w:hAnsi="Times New Roman" w:eastAsia="宋体" w:cs="Times New Roman"/>
                <w:color w:val="auto"/>
                <w:sz w:val="24"/>
                <w:lang w:val="en-US" w:eastAsia="zh-CN"/>
              </w:rPr>
              <w:t>集气罩</w:t>
            </w:r>
            <w:r>
              <w:rPr>
                <w:rFonts w:hint="default" w:ascii="Times New Roman" w:hAnsi="Times New Roman" w:cs="Times New Roman"/>
                <w:sz w:val="24"/>
                <w:lang w:val="en-US" w:eastAsia="zh-CN"/>
              </w:rPr>
              <w:t>”</w:t>
            </w:r>
            <w:r>
              <w:rPr>
                <w:rFonts w:hint="default" w:ascii="Times New Roman" w:hAnsi="Times New Roman" w:eastAsia="宋体" w:cs="Times New Roman"/>
                <w:color w:val="auto"/>
                <w:sz w:val="24"/>
                <w:lang w:val="en-US" w:eastAsia="zh-CN"/>
              </w:rPr>
              <w:t>对有机废气</w:t>
            </w:r>
            <w:r>
              <w:rPr>
                <w:rFonts w:hint="default" w:ascii="Times New Roman" w:hAnsi="Times New Roman" w:cs="Times New Roman"/>
                <w:sz w:val="24"/>
                <w:lang w:val="en-US" w:eastAsia="zh-CN"/>
              </w:rPr>
              <w:t>收集，集气效率可达为90%。项目采用二级活性炭装置进行处理，去处效率取 80%，项目配套风机风量为 5000m</w:t>
            </w:r>
            <w:r>
              <w:rPr>
                <w:rFonts w:hint="default" w:ascii="Times New Roman" w:hAnsi="Times New Roman" w:cs="Times New Roman"/>
                <w:sz w:val="24"/>
                <w:vertAlign w:val="superscript"/>
                <w:lang w:val="en-US" w:eastAsia="zh-CN"/>
              </w:rPr>
              <w:t>3</w:t>
            </w:r>
            <w:r>
              <w:rPr>
                <w:rFonts w:hint="default" w:ascii="Times New Roman" w:hAnsi="Times New Roman" w:cs="Times New Roman"/>
                <w:sz w:val="24"/>
                <w:lang w:val="en-US" w:eastAsia="zh-CN"/>
              </w:rPr>
              <w:t>/h，年工作时间约为4800h，则</w:t>
            </w:r>
            <w:r>
              <w:rPr>
                <w:rFonts w:hint="default" w:ascii="Times New Roman" w:hAnsi="Times New Roman" w:eastAsia="宋体" w:cs="Times New Roman"/>
                <w:color w:val="000000"/>
                <w:kern w:val="0"/>
                <w:sz w:val="24"/>
                <w:szCs w:val="24"/>
                <w:lang w:val="en-US" w:eastAsia="zh-CN" w:bidi="ar"/>
              </w:rPr>
              <w:t>涂膜工段</w:t>
            </w:r>
            <w:r>
              <w:rPr>
                <w:rFonts w:hint="default" w:ascii="Times New Roman" w:hAnsi="Times New Roman" w:cs="Times New Roman"/>
                <w:sz w:val="24"/>
                <w:lang w:val="en-US" w:eastAsia="zh-CN"/>
              </w:rPr>
              <w:t>无组织非甲烷总烃产生量为 0.018t/a，有组织非甲烷总烃产生量为0.157t/a，排放量为 0.031t/a。</w:t>
            </w:r>
            <w:r>
              <w:rPr>
                <w:rFonts w:hint="default" w:ascii="Times New Roman" w:hAnsi="Times New Roman" w:eastAsia="宋体" w:cs="Times New Roman"/>
                <w:color w:val="auto"/>
                <w:sz w:val="24"/>
                <w:lang w:val="en-US" w:eastAsia="zh-CN"/>
              </w:rPr>
              <w:t>未收集的非甲烷总烃废气在车间无组织排放。车间通过加强排风，员工作业佩戴口罩等防护工具，降低对周围大气环境和人体的影响</w:t>
            </w:r>
            <w:r>
              <w:rPr>
                <w:rFonts w:hint="default" w:ascii="Times New Roman" w:hAnsi="Times New Roman" w:cs="Times New Roman"/>
                <w:color w:val="auto"/>
                <w:sz w:val="24"/>
                <w:lang w:val="en-US" w:eastAsia="zh-CN"/>
              </w:rPr>
              <w:t>。</w:t>
            </w:r>
          </w:p>
          <w:p>
            <w:pPr>
              <w:snapToGrid w:val="0"/>
              <w:spacing w:line="460" w:lineRule="exact"/>
              <w:ind w:firstLine="480" w:firstLineChars="200"/>
              <w:jc w:val="both"/>
              <w:rPr>
                <w:rFonts w:hint="default" w:ascii="Times New Roman" w:hAnsi="Times New Roman" w:cs="Times New Roman"/>
                <w:sz w:val="24"/>
                <w:lang w:val="en-US" w:eastAsia="zh-CN"/>
              </w:rPr>
            </w:pPr>
            <w:r>
              <w:rPr>
                <w:rFonts w:hint="default" w:ascii="Times New Roman" w:hAnsi="Times New Roman" w:cs="Times New Roman"/>
                <w:sz w:val="24"/>
                <w:lang w:val="en-US" w:eastAsia="zh-CN"/>
              </w:rPr>
              <w:t>②印刷工段（非甲烷总烃）</w:t>
            </w:r>
          </w:p>
          <w:p>
            <w:pPr>
              <w:snapToGrid w:val="0"/>
              <w:spacing w:line="460" w:lineRule="exact"/>
              <w:ind w:firstLine="480" w:firstLineChars="200"/>
              <w:jc w:val="both"/>
              <w:rPr>
                <w:rFonts w:hint="default" w:ascii="Times New Roman" w:hAnsi="Times New Roman" w:cs="Times New Roman"/>
                <w:sz w:val="24"/>
                <w:lang w:val="en-US" w:eastAsia="zh-CN"/>
              </w:rPr>
            </w:pPr>
            <w:r>
              <w:rPr>
                <w:rFonts w:hint="default" w:ascii="Times New Roman" w:hAnsi="Times New Roman" w:cs="Times New Roman"/>
                <w:sz w:val="24"/>
                <w:lang w:val="en-US" w:eastAsia="zh-CN"/>
              </w:rPr>
              <w:t>印刷时产生的废气主要来自水性油墨废气，项目采用的油墨为水性油墨。</w:t>
            </w:r>
            <w:r>
              <w:rPr>
                <w:rFonts w:hint="eastAsia" w:ascii="Times New Roman" w:hAnsi="Times New Roman" w:cs="Times New Roman"/>
                <w:sz w:val="24"/>
                <w:lang w:val="en-US" w:eastAsia="zh-CN"/>
              </w:rPr>
              <w:t>根据</w:t>
            </w:r>
            <w:r>
              <w:rPr>
                <w:rFonts w:hint="default" w:ascii="Times New Roman" w:hAnsi="Times New Roman" w:cs="Times New Roman"/>
                <w:sz w:val="24"/>
                <w:lang w:val="en-US" w:eastAsia="zh-CN"/>
              </w:rPr>
              <w:t>企业</w:t>
            </w:r>
            <w:r>
              <w:rPr>
                <w:rFonts w:hint="eastAsia" w:ascii="Times New Roman" w:hAnsi="Times New Roman" w:cs="Times New Roman"/>
                <w:sz w:val="24"/>
                <w:lang w:val="en-US" w:eastAsia="zh-CN"/>
              </w:rPr>
              <w:t>提供的</w:t>
            </w:r>
            <w:r>
              <w:rPr>
                <w:rFonts w:hint="default" w:ascii="Times New Roman" w:hAnsi="Times New Roman" w:cs="Times New Roman"/>
                <w:sz w:val="24"/>
                <w:lang w:val="en-US" w:eastAsia="zh-CN"/>
              </w:rPr>
              <w:t>水性油墨的</w:t>
            </w:r>
            <w:r>
              <w:rPr>
                <w:rFonts w:hint="eastAsia" w:ascii="Times New Roman" w:hAnsi="Times New Roman" w:cs="Times New Roman"/>
                <w:sz w:val="24"/>
                <w:lang w:val="en-US" w:eastAsia="zh-CN"/>
              </w:rPr>
              <w:t>检测报告，企业所采用的水性油墨需满足《油墨中可挥发性有机化合物（VOCs）含量的限值》（GB 38507-2020）中水性油墨</w:t>
            </w:r>
            <w:r>
              <w:rPr>
                <w:rFonts w:hint="default" w:ascii="Times New Roman" w:hAnsi="Times New Roman" w:cs="Times New Roman"/>
                <w:sz w:val="24"/>
                <w:lang w:val="en-US" w:eastAsia="zh-CN"/>
              </w:rPr>
              <w:t>-</w:t>
            </w:r>
            <w:r>
              <w:rPr>
                <w:rFonts w:hint="eastAsia" w:ascii="Times New Roman" w:hAnsi="Times New Roman" w:cs="Times New Roman"/>
                <w:sz w:val="24"/>
                <w:lang w:val="en-US" w:eastAsia="zh-CN"/>
              </w:rPr>
              <w:t>柔印油墨</w:t>
            </w:r>
            <w:r>
              <w:rPr>
                <w:rFonts w:hint="default" w:ascii="Times New Roman" w:hAnsi="Times New Roman" w:cs="Times New Roman"/>
                <w:sz w:val="24"/>
                <w:lang w:val="en-US" w:eastAsia="zh-CN"/>
              </w:rPr>
              <w:t>-</w:t>
            </w:r>
            <w:r>
              <w:rPr>
                <w:rFonts w:hint="eastAsia" w:ascii="Times New Roman" w:hAnsi="Times New Roman" w:cs="Times New Roman"/>
                <w:sz w:val="24"/>
                <w:lang w:val="en-US" w:eastAsia="zh-CN"/>
              </w:rPr>
              <w:t>吸收性承印物产品标准的规定要求，即水性油墨中可挥发性有机物的含量≤5%</w:t>
            </w:r>
            <w:r>
              <w:rPr>
                <w:rFonts w:hint="default" w:ascii="Times New Roman" w:hAnsi="Times New Roman" w:cs="Times New Roman"/>
                <w:sz w:val="24"/>
                <w:lang w:val="en-US" w:eastAsia="zh-CN"/>
              </w:rPr>
              <w:t>，</w:t>
            </w:r>
            <w:r>
              <w:rPr>
                <w:rFonts w:hint="eastAsia" w:ascii="Times New Roman" w:hAnsi="Times New Roman" w:cs="Times New Roman"/>
                <w:sz w:val="24"/>
                <w:lang w:val="en-US" w:eastAsia="zh-CN"/>
              </w:rPr>
              <w:t>本项目</w:t>
            </w:r>
            <w:r>
              <w:rPr>
                <w:rFonts w:hint="default" w:ascii="Times New Roman" w:hAnsi="Times New Roman" w:cs="Times New Roman"/>
                <w:sz w:val="24"/>
                <w:lang w:val="en-US" w:eastAsia="zh-CN"/>
              </w:rPr>
              <w:t>按最不利条件的情况</w:t>
            </w:r>
            <w:r>
              <w:rPr>
                <w:rFonts w:hint="eastAsia" w:ascii="Times New Roman" w:hAnsi="Times New Roman" w:cs="Times New Roman"/>
                <w:sz w:val="24"/>
                <w:lang w:val="en-US" w:eastAsia="zh-CN"/>
              </w:rPr>
              <w:t>考虑</w:t>
            </w:r>
            <w:r>
              <w:rPr>
                <w:rFonts w:hint="default" w:ascii="Times New Roman" w:hAnsi="Times New Roman" w:cs="Times New Roman"/>
                <w:sz w:val="24"/>
                <w:lang w:val="en-US" w:eastAsia="zh-CN"/>
              </w:rPr>
              <w:t>，非甲烷总烃产生量按油墨用量的</w:t>
            </w:r>
            <w:r>
              <w:rPr>
                <w:rFonts w:hint="eastAsia" w:ascii="Times New Roman" w:hAnsi="Times New Roman" w:cs="Times New Roman"/>
                <w:sz w:val="24"/>
                <w:lang w:val="en-US" w:eastAsia="zh-CN"/>
              </w:rPr>
              <w:t>5</w:t>
            </w:r>
            <w:r>
              <w:rPr>
                <w:rFonts w:hint="default" w:ascii="Times New Roman" w:hAnsi="Times New Roman" w:cs="Times New Roman"/>
                <w:sz w:val="24"/>
                <w:lang w:val="en-US" w:eastAsia="zh-CN"/>
              </w:rPr>
              <w:t>%计算。项目生产所需的油墨量为7t/a，则油墨废气非甲烷总烃产生量为0.</w:t>
            </w:r>
            <w:r>
              <w:rPr>
                <w:rFonts w:hint="eastAsia" w:ascii="Times New Roman" w:hAnsi="Times New Roman" w:cs="Times New Roman"/>
                <w:sz w:val="24"/>
                <w:lang w:val="en-US" w:eastAsia="zh-CN"/>
              </w:rPr>
              <w:t>35</w:t>
            </w:r>
            <w:r>
              <w:rPr>
                <w:rFonts w:hint="default" w:ascii="Times New Roman" w:hAnsi="Times New Roman" w:cs="Times New Roman"/>
                <w:sz w:val="24"/>
                <w:lang w:val="en-US" w:eastAsia="zh-CN"/>
              </w:rPr>
              <w:t xml:space="preserve">t/a。 </w:t>
            </w:r>
          </w:p>
          <w:p>
            <w:pPr>
              <w:tabs>
                <w:tab w:val="left" w:pos="1567"/>
              </w:tabs>
              <w:spacing w:line="460" w:lineRule="exact"/>
              <w:ind w:firstLine="480" w:firstLineChars="200"/>
              <w:contextualSpacing/>
              <w:jc w:val="both"/>
              <w:rPr>
                <w:rFonts w:hint="default" w:ascii="Times New Roman" w:hAnsi="Times New Roman" w:eastAsia="宋体" w:cs="Times New Roman"/>
                <w:color w:val="auto"/>
                <w:sz w:val="24"/>
                <w:lang w:val="en-US" w:eastAsia="zh-CN"/>
              </w:rPr>
            </w:pPr>
            <w:r>
              <w:rPr>
                <w:rFonts w:hint="default" w:ascii="Times New Roman" w:hAnsi="Times New Roman" w:cs="Times New Roman"/>
                <w:sz w:val="24"/>
                <w:lang w:val="en-US" w:eastAsia="zh-CN"/>
              </w:rPr>
              <w:t>本项目于印刷工段处设置集气罩收集有机废气，并由管道引至涂膜工段废气处理设施二级活性炭吸附后由同1根15m高排气筒排放（DA002）。有机废气的收集效率约90%，废气处理装置处理效率为 80%，经计算，</w:t>
            </w:r>
            <w:r>
              <w:rPr>
                <w:rFonts w:hint="default" w:ascii="Times New Roman" w:hAnsi="Times New Roman" w:cs="Times New Roman"/>
                <w:color w:val="000000"/>
                <w:kern w:val="0"/>
                <w:sz w:val="24"/>
                <w:szCs w:val="24"/>
                <w:lang w:val="en-US" w:eastAsia="zh-CN" w:bidi="ar"/>
              </w:rPr>
              <w:t>印刷</w:t>
            </w:r>
            <w:r>
              <w:rPr>
                <w:rFonts w:hint="default" w:ascii="Times New Roman" w:hAnsi="Times New Roman" w:eastAsia="宋体" w:cs="Times New Roman"/>
                <w:color w:val="000000"/>
                <w:kern w:val="0"/>
                <w:sz w:val="24"/>
                <w:szCs w:val="24"/>
                <w:lang w:val="en-US" w:eastAsia="zh-CN" w:bidi="ar"/>
              </w:rPr>
              <w:t>工段</w:t>
            </w:r>
            <w:r>
              <w:rPr>
                <w:rFonts w:hint="default" w:ascii="Times New Roman" w:hAnsi="Times New Roman" w:cs="Times New Roman"/>
                <w:sz w:val="24"/>
                <w:lang w:val="en-US" w:eastAsia="zh-CN"/>
              </w:rPr>
              <w:t>无组织非甲烷总烃产生量为 0.0</w:t>
            </w:r>
            <w:r>
              <w:rPr>
                <w:rFonts w:hint="eastAsia" w:ascii="Times New Roman" w:hAnsi="Times New Roman" w:cs="Times New Roman"/>
                <w:sz w:val="24"/>
                <w:lang w:val="en-US" w:eastAsia="zh-CN"/>
              </w:rPr>
              <w:t>35</w:t>
            </w:r>
            <w:r>
              <w:rPr>
                <w:rFonts w:hint="default" w:ascii="Times New Roman" w:hAnsi="Times New Roman" w:cs="Times New Roman"/>
                <w:sz w:val="24"/>
                <w:lang w:val="en-US" w:eastAsia="zh-CN"/>
              </w:rPr>
              <w:t>t/a，有组织非甲烷总烃产生量为0.</w:t>
            </w:r>
            <w:r>
              <w:rPr>
                <w:rFonts w:hint="eastAsia" w:ascii="Times New Roman" w:hAnsi="Times New Roman" w:cs="Times New Roman"/>
                <w:sz w:val="24"/>
                <w:lang w:val="en-US" w:eastAsia="zh-CN"/>
              </w:rPr>
              <w:t>315</w:t>
            </w:r>
            <w:r>
              <w:rPr>
                <w:rFonts w:hint="default" w:ascii="Times New Roman" w:hAnsi="Times New Roman" w:cs="Times New Roman"/>
                <w:sz w:val="24"/>
                <w:lang w:val="en-US" w:eastAsia="zh-CN"/>
              </w:rPr>
              <w:t>t/a，排放量</w:t>
            </w:r>
            <w:r>
              <w:rPr>
                <w:rFonts w:hint="default" w:ascii="Times New Roman" w:hAnsi="Times New Roman" w:eastAsia="宋体" w:cs="Times New Roman"/>
                <w:color w:val="auto"/>
                <w:sz w:val="24"/>
                <w:lang w:val="en-US" w:eastAsia="zh-CN"/>
              </w:rPr>
              <w:t>为0.</w:t>
            </w:r>
            <w:r>
              <w:rPr>
                <w:rFonts w:hint="eastAsia" w:ascii="Times New Roman" w:hAnsi="Times New Roman" w:cs="Times New Roman"/>
                <w:color w:val="auto"/>
                <w:sz w:val="24"/>
                <w:lang w:val="en-US" w:eastAsia="zh-CN"/>
              </w:rPr>
              <w:t>063</w:t>
            </w:r>
            <w:r>
              <w:rPr>
                <w:rFonts w:hint="default" w:ascii="Times New Roman" w:hAnsi="Times New Roman" w:eastAsia="宋体" w:cs="Times New Roman"/>
                <w:color w:val="auto"/>
                <w:sz w:val="24"/>
                <w:lang w:val="en-US" w:eastAsia="zh-CN"/>
              </w:rPr>
              <w:t>t/a。未收集的非甲烷总烃废气在车间无组织排放。</w:t>
            </w:r>
          </w:p>
          <w:p>
            <w:pPr>
              <w:tabs>
                <w:tab w:val="left" w:pos="1567"/>
              </w:tabs>
              <w:spacing w:line="460" w:lineRule="exact"/>
              <w:ind w:firstLine="480" w:firstLineChars="200"/>
              <w:contextualSpacing/>
              <w:jc w:val="both"/>
              <w:rPr>
                <w:rFonts w:hint="default" w:ascii="Times New Roman" w:hAnsi="Times New Roman" w:eastAsia="宋体" w:cs="Times New Roman"/>
                <w:sz w:val="24"/>
                <w:szCs w:val="28"/>
                <w:lang w:eastAsia="zh-CN"/>
              </w:rPr>
            </w:pPr>
            <w:r>
              <w:rPr>
                <w:rFonts w:hint="default" w:ascii="Times New Roman" w:hAnsi="Times New Roman" w:eastAsia="宋体" w:cs="Times New Roman"/>
                <w:sz w:val="24"/>
                <w:szCs w:val="28"/>
                <w:lang w:eastAsia="zh-CN"/>
              </w:rPr>
              <w:t>有组织废气源强核算结果及相关参数见表4-</w:t>
            </w:r>
            <w:r>
              <w:rPr>
                <w:rFonts w:hint="default" w:ascii="Times New Roman" w:hAnsi="Times New Roman" w:cs="Times New Roman"/>
                <w:sz w:val="24"/>
                <w:szCs w:val="28"/>
                <w:lang w:val="en-US" w:eastAsia="zh-CN"/>
              </w:rPr>
              <w:t>1</w:t>
            </w:r>
            <w:r>
              <w:rPr>
                <w:rFonts w:hint="default" w:ascii="Times New Roman" w:hAnsi="Times New Roman" w:eastAsia="宋体" w:cs="Times New Roman"/>
                <w:sz w:val="24"/>
                <w:szCs w:val="28"/>
                <w:lang w:eastAsia="zh-CN"/>
              </w:rPr>
              <w:t>。</w:t>
            </w:r>
          </w:p>
          <w:p>
            <w:pPr>
              <w:keepNext w:val="0"/>
              <w:keepLines w:val="0"/>
              <w:pageBreakBefore w:val="0"/>
              <w:widowControl w:val="0"/>
              <w:tabs>
                <w:tab w:val="left" w:pos="2512"/>
              </w:tabs>
              <w:kinsoku/>
              <w:wordWrap/>
              <w:overflowPunct/>
              <w:topLinePunct w:val="0"/>
              <w:autoSpaceDE/>
              <w:autoSpaceDN/>
              <w:bidi w:val="0"/>
              <w:adjustRightInd/>
              <w:snapToGrid/>
              <w:spacing w:line="460" w:lineRule="exact"/>
              <w:jc w:val="center"/>
              <w:textAlignment w:val="auto"/>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rPr>
              <w:t>表4-</w:t>
            </w:r>
            <w:r>
              <w:rPr>
                <w:rFonts w:hint="default" w:ascii="Times New Roman" w:hAnsi="Times New Roman" w:cs="Times New Roman"/>
                <w:b/>
                <w:color w:val="auto"/>
                <w:sz w:val="21"/>
                <w:szCs w:val="21"/>
                <w:lang w:val="en-US" w:eastAsia="zh-CN"/>
              </w:rPr>
              <w:t>1</w:t>
            </w:r>
            <w:r>
              <w:rPr>
                <w:rFonts w:hint="default" w:ascii="Times New Roman" w:hAnsi="Times New Roman" w:eastAsia="宋体" w:cs="Times New Roman"/>
                <w:b/>
                <w:color w:val="auto"/>
                <w:sz w:val="21"/>
                <w:szCs w:val="21"/>
              </w:rPr>
              <w:t xml:space="preserve"> 项目有组织废气产生及排放情况一览表</w:t>
            </w:r>
          </w:p>
          <w:tbl>
            <w:tblPr>
              <w:tblStyle w:val="23"/>
              <w:tblW w:w="509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9"/>
              <w:gridCol w:w="877"/>
              <w:gridCol w:w="677"/>
              <w:gridCol w:w="800"/>
              <w:gridCol w:w="711"/>
              <w:gridCol w:w="767"/>
              <w:gridCol w:w="670"/>
              <w:gridCol w:w="474"/>
              <w:gridCol w:w="889"/>
              <w:gridCol w:w="800"/>
              <w:gridCol w:w="734"/>
              <w:gridCol w:w="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00" w:type="pct"/>
                  <w:vMerge w:val="restart"/>
                  <w:vAlign w:val="center"/>
                </w:tcPr>
                <w:p>
                  <w:pPr>
                    <w:adjustRightInd w:val="0"/>
                    <w:snapToGrid w:val="0"/>
                    <w:spacing w:line="240" w:lineRule="auto"/>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污染工序</w:t>
                  </w:r>
                </w:p>
              </w:tc>
              <w:tc>
                <w:tcPr>
                  <w:tcW w:w="507" w:type="pct"/>
                  <w:vMerge w:val="restart"/>
                  <w:vAlign w:val="center"/>
                </w:tcPr>
                <w:p>
                  <w:pPr>
                    <w:adjustRightInd w:val="0"/>
                    <w:snapToGrid w:val="0"/>
                    <w:spacing w:line="240" w:lineRule="auto"/>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污染物</w:t>
                  </w:r>
                </w:p>
                <w:p>
                  <w:pPr>
                    <w:adjustRightInd w:val="0"/>
                    <w:snapToGrid w:val="0"/>
                    <w:spacing w:line="240" w:lineRule="auto"/>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名称</w:t>
                  </w:r>
                </w:p>
              </w:tc>
              <w:tc>
                <w:tcPr>
                  <w:tcW w:w="391" w:type="pct"/>
                  <w:vMerge w:val="restart"/>
                  <w:vAlign w:val="center"/>
                </w:tcPr>
                <w:p>
                  <w:pPr>
                    <w:adjustRightInd w:val="0"/>
                    <w:snapToGrid w:val="0"/>
                    <w:spacing w:line="240" w:lineRule="auto"/>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排气量</w:t>
                  </w:r>
                  <w:r>
                    <w:rPr>
                      <w:rFonts w:hint="default" w:ascii="Times New Roman" w:hAnsi="Times New Roman" w:cs="Times New Roman"/>
                      <w:b/>
                      <w:bCs/>
                      <w:color w:val="auto"/>
                      <w:sz w:val="21"/>
                      <w:szCs w:val="21"/>
                    </w:rPr>
                    <w:t>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/h</w:t>
                  </w:r>
                </w:p>
              </w:tc>
              <w:tc>
                <w:tcPr>
                  <w:tcW w:w="1318" w:type="pct"/>
                  <w:gridSpan w:val="3"/>
                  <w:vAlign w:val="center"/>
                </w:tcPr>
                <w:p>
                  <w:pPr>
                    <w:adjustRightInd w:val="0"/>
                    <w:snapToGrid w:val="0"/>
                    <w:spacing w:line="240" w:lineRule="auto"/>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sz w:val="21"/>
                      <w:szCs w:val="21"/>
                    </w:rPr>
                    <w:t>产生情况</w:t>
                  </w:r>
                </w:p>
              </w:tc>
              <w:tc>
                <w:tcPr>
                  <w:tcW w:w="387" w:type="pct"/>
                  <w:vMerge w:val="restart"/>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治理</w:t>
                  </w:r>
                </w:p>
                <w:p>
                  <w:pPr>
                    <w:adjustRightInd w:val="0"/>
                    <w:snapToGrid w:val="0"/>
                    <w:spacing w:line="240" w:lineRule="auto"/>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sz w:val="21"/>
                      <w:szCs w:val="21"/>
                    </w:rPr>
                    <w:t>措施</w:t>
                  </w:r>
                </w:p>
              </w:tc>
              <w:tc>
                <w:tcPr>
                  <w:tcW w:w="274" w:type="pct"/>
                  <w:vMerge w:val="restart"/>
                  <w:vAlign w:val="center"/>
                </w:tcPr>
                <w:p>
                  <w:pPr>
                    <w:adjustRightInd w:val="0"/>
                    <w:snapToGrid w:val="0"/>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去除效率</w:t>
                  </w:r>
                </w:p>
              </w:tc>
              <w:tc>
                <w:tcPr>
                  <w:tcW w:w="1402" w:type="pct"/>
                  <w:gridSpan w:val="3"/>
                  <w:vAlign w:val="center"/>
                </w:tcPr>
                <w:p>
                  <w:pPr>
                    <w:adjustRightInd w:val="0"/>
                    <w:snapToGrid w:val="0"/>
                    <w:spacing w:line="240" w:lineRule="auto"/>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sz w:val="21"/>
                      <w:szCs w:val="21"/>
                    </w:rPr>
                    <w:t>排放情况</w:t>
                  </w:r>
                </w:p>
              </w:tc>
              <w:tc>
                <w:tcPr>
                  <w:tcW w:w="417" w:type="pct"/>
                  <w:vMerge w:val="restart"/>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排气筒</w:t>
                  </w:r>
                </w:p>
                <w:p>
                  <w:pPr>
                    <w:adjustRightInd w:val="0"/>
                    <w:snapToGrid w:val="0"/>
                    <w:spacing w:line="240" w:lineRule="auto"/>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sz w:val="21"/>
                      <w:szCs w:val="21"/>
                    </w:rPr>
                    <w:t>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00" w:type="pct"/>
                  <w:vMerge w:val="continue"/>
                  <w:vAlign w:val="center"/>
                </w:tcPr>
                <w:p>
                  <w:pPr>
                    <w:adjustRightInd w:val="0"/>
                    <w:snapToGrid w:val="0"/>
                    <w:spacing w:line="240" w:lineRule="auto"/>
                    <w:jc w:val="center"/>
                    <w:rPr>
                      <w:rFonts w:hint="default" w:ascii="Times New Roman" w:hAnsi="Times New Roman" w:cs="Times New Roman"/>
                      <w:bCs/>
                      <w:color w:val="auto"/>
                      <w:kern w:val="0"/>
                      <w:sz w:val="21"/>
                      <w:szCs w:val="21"/>
                    </w:rPr>
                  </w:pPr>
                </w:p>
              </w:tc>
              <w:tc>
                <w:tcPr>
                  <w:tcW w:w="507" w:type="pct"/>
                  <w:vMerge w:val="continue"/>
                  <w:vAlign w:val="center"/>
                </w:tcPr>
                <w:p>
                  <w:pPr>
                    <w:adjustRightInd w:val="0"/>
                    <w:snapToGrid w:val="0"/>
                    <w:spacing w:line="240" w:lineRule="auto"/>
                    <w:jc w:val="center"/>
                    <w:rPr>
                      <w:rFonts w:hint="default" w:ascii="Times New Roman" w:hAnsi="Times New Roman" w:cs="Times New Roman"/>
                      <w:bCs/>
                      <w:color w:val="auto"/>
                      <w:kern w:val="0"/>
                      <w:sz w:val="21"/>
                      <w:szCs w:val="21"/>
                    </w:rPr>
                  </w:pPr>
                </w:p>
              </w:tc>
              <w:tc>
                <w:tcPr>
                  <w:tcW w:w="391" w:type="pct"/>
                  <w:vMerge w:val="continue"/>
                  <w:vAlign w:val="center"/>
                </w:tcPr>
                <w:p>
                  <w:pPr>
                    <w:adjustRightInd w:val="0"/>
                    <w:snapToGrid w:val="0"/>
                    <w:spacing w:line="240" w:lineRule="auto"/>
                    <w:jc w:val="center"/>
                    <w:rPr>
                      <w:rFonts w:hint="default" w:ascii="Times New Roman" w:hAnsi="Times New Roman" w:cs="Times New Roman"/>
                      <w:bCs/>
                      <w:color w:val="auto"/>
                      <w:kern w:val="0"/>
                      <w:sz w:val="21"/>
                      <w:szCs w:val="21"/>
                    </w:rPr>
                  </w:pPr>
                </w:p>
              </w:tc>
              <w:tc>
                <w:tcPr>
                  <w:tcW w:w="462" w:type="pct"/>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浓度</w:t>
                  </w:r>
                </w:p>
                <w:p>
                  <w:pPr>
                    <w:adjustRightInd w:val="0"/>
                    <w:snapToGrid w:val="0"/>
                    <w:spacing w:line="240" w:lineRule="auto"/>
                    <w:jc w:val="center"/>
                    <w:rPr>
                      <w:rFonts w:hint="default" w:ascii="Times New Roman" w:hAnsi="Times New Roman" w:cs="Times New Roman"/>
                      <w:bCs/>
                      <w:color w:val="auto"/>
                      <w:kern w:val="0"/>
                      <w:sz w:val="21"/>
                      <w:szCs w:val="21"/>
                    </w:rPr>
                  </w:pPr>
                  <w:r>
                    <w:rPr>
                      <w:rFonts w:hint="default" w:ascii="Times New Roman" w:hAnsi="Times New Roman" w:cs="Times New Roman"/>
                      <w:b/>
                      <w:bCs/>
                      <w:color w:val="auto"/>
                      <w:sz w:val="21"/>
                      <w:szCs w:val="21"/>
                    </w:rPr>
                    <w:t>mg/m</w:t>
                  </w:r>
                  <w:r>
                    <w:rPr>
                      <w:rFonts w:hint="default" w:ascii="Times New Roman" w:hAnsi="Times New Roman" w:cs="Times New Roman"/>
                      <w:b/>
                      <w:bCs/>
                      <w:color w:val="auto"/>
                      <w:sz w:val="21"/>
                      <w:szCs w:val="21"/>
                      <w:vertAlign w:val="superscript"/>
                    </w:rPr>
                    <w:t>3</w:t>
                  </w:r>
                </w:p>
              </w:tc>
              <w:tc>
                <w:tcPr>
                  <w:tcW w:w="411" w:type="pct"/>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速率</w:t>
                  </w:r>
                </w:p>
                <w:p>
                  <w:pPr>
                    <w:adjustRightInd w:val="0"/>
                    <w:snapToGrid w:val="0"/>
                    <w:spacing w:line="240" w:lineRule="auto"/>
                    <w:jc w:val="center"/>
                    <w:rPr>
                      <w:rFonts w:hint="default" w:ascii="Times New Roman" w:hAnsi="Times New Roman" w:cs="Times New Roman"/>
                      <w:bCs/>
                      <w:color w:val="auto"/>
                      <w:kern w:val="0"/>
                      <w:sz w:val="21"/>
                      <w:szCs w:val="21"/>
                    </w:rPr>
                  </w:pPr>
                  <w:r>
                    <w:rPr>
                      <w:rFonts w:hint="default" w:ascii="Times New Roman" w:hAnsi="Times New Roman" w:cs="Times New Roman"/>
                      <w:b/>
                      <w:bCs/>
                      <w:color w:val="auto"/>
                      <w:sz w:val="21"/>
                      <w:szCs w:val="21"/>
                    </w:rPr>
                    <w:t>kg/h</w:t>
                  </w:r>
                </w:p>
              </w:tc>
              <w:tc>
                <w:tcPr>
                  <w:tcW w:w="443" w:type="pct"/>
                  <w:vAlign w:val="center"/>
                </w:tcPr>
                <w:p>
                  <w:pPr>
                    <w:adjustRightInd w:val="0"/>
                    <w:snapToGrid w:val="0"/>
                    <w:spacing w:line="240" w:lineRule="auto"/>
                    <w:jc w:val="center"/>
                    <w:rPr>
                      <w:rFonts w:hint="default" w:ascii="Times New Roman" w:hAnsi="Times New Roman" w:cs="Times New Roman"/>
                      <w:bCs/>
                      <w:color w:val="auto"/>
                      <w:kern w:val="0"/>
                      <w:sz w:val="21"/>
                      <w:szCs w:val="21"/>
                    </w:rPr>
                  </w:pPr>
                  <w:r>
                    <w:rPr>
                      <w:rFonts w:hint="default" w:ascii="Times New Roman" w:hAnsi="Times New Roman" w:cs="Times New Roman"/>
                      <w:b/>
                      <w:bCs/>
                      <w:color w:val="auto"/>
                      <w:sz w:val="21"/>
                      <w:szCs w:val="21"/>
                    </w:rPr>
                    <w:t>产生量t/a</w:t>
                  </w:r>
                </w:p>
              </w:tc>
              <w:tc>
                <w:tcPr>
                  <w:tcW w:w="387" w:type="pct"/>
                  <w:vMerge w:val="continue"/>
                  <w:vAlign w:val="center"/>
                </w:tcPr>
                <w:p>
                  <w:pPr>
                    <w:adjustRightInd w:val="0"/>
                    <w:snapToGrid w:val="0"/>
                    <w:spacing w:line="240" w:lineRule="auto"/>
                    <w:jc w:val="center"/>
                    <w:rPr>
                      <w:rFonts w:hint="default" w:ascii="Times New Roman" w:hAnsi="Times New Roman" w:cs="Times New Roman"/>
                      <w:bCs/>
                      <w:color w:val="auto"/>
                      <w:kern w:val="0"/>
                      <w:sz w:val="21"/>
                      <w:szCs w:val="21"/>
                    </w:rPr>
                  </w:pPr>
                </w:p>
              </w:tc>
              <w:tc>
                <w:tcPr>
                  <w:tcW w:w="274" w:type="pct"/>
                  <w:vMerge w:val="continue"/>
                  <w:vAlign w:val="center"/>
                </w:tcPr>
                <w:p>
                  <w:pPr>
                    <w:adjustRightInd w:val="0"/>
                    <w:snapToGrid w:val="0"/>
                    <w:spacing w:line="240" w:lineRule="auto"/>
                    <w:jc w:val="center"/>
                    <w:rPr>
                      <w:rFonts w:hint="default" w:ascii="Times New Roman" w:hAnsi="Times New Roman" w:cs="Times New Roman"/>
                      <w:bCs/>
                      <w:color w:val="auto"/>
                      <w:kern w:val="0"/>
                      <w:sz w:val="21"/>
                      <w:szCs w:val="21"/>
                    </w:rPr>
                  </w:pPr>
                </w:p>
              </w:tc>
              <w:tc>
                <w:tcPr>
                  <w:tcW w:w="514" w:type="pct"/>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浓度</w:t>
                  </w:r>
                </w:p>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mg/m</w:t>
                  </w:r>
                  <w:r>
                    <w:rPr>
                      <w:rFonts w:hint="default" w:ascii="Times New Roman" w:hAnsi="Times New Roman" w:cs="Times New Roman"/>
                      <w:b/>
                      <w:bCs/>
                      <w:color w:val="auto"/>
                      <w:sz w:val="21"/>
                      <w:szCs w:val="21"/>
                      <w:vertAlign w:val="superscript"/>
                    </w:rPr>
                    <w:t>3</w:t>
                  </w:r>
                </w:p>
              </w:tc>
              <w:tc>
                <w:tcPr>
                  <w:tcW w:w="462" w:type="pct"/>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速率</w:t>
                  </w:r>
                </w:p>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kg/h</w:t>
                  </w:r>
                </w:p>
              </w:tc>
              <w:tc>
                <w:tcPr>
                  <w:tcW w:w="424" w:type="pct"/>
                  <w:vAlign w:val="center"/>
                </w:tcPr>
                <w:p>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排放量t/a</w:t>
                  </w:r>
                </w:p>
              </w:tc>
              <w:tc>
                <w:tcPr>
                  <w:tcW w:w="417" w:type="pct"/>
                  <w:vMerge w:val="continue"/>
                  <w:vAlign w:val="center"/>
                </w:tcPr>
                <w:p>
                  <w:pPr>
                    <w:adjustRightInd w:val="0"/>
                    <w:snapToGrid w:val="0"/>
                    <w:spacing w:line="240" w:lineRule="auto"/>
                    <w:jc w:val="center"/>
                    <w:rPr>
                      <w:rFonts w:hint="default" w:ascii="Times New Roman" w:hAnsi="Times New Roman" w:cs="Times New Roman"/>
                      <w:bCs/>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00" w:type="pct"/>
                  <w:vAlign w:val="center"/>
                </w:tcPr>
                <w:p>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涂膜</w:t>
                  </w:r>
                </w:p>
              </w:tc>
              <w:tc>
                <w:tcPr>
                  <w:tcW w:w="507" w:type="pct"/>
                  <w:vAlign w:val="center"/>
                </w:tcPr>
                <w:p>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非甲烷总烃</w:t>
                  </w:r>
                </w:p>
              </w:tc>
              <w:tc>
                <w:tcPr>
                  <w:tcW w:w="391" w:type="pct"/>
                  <w:vMerge w:val="restart"/>
                  <w:vAlign w:val="center"/>
                </w:tcPr>
                <w:p>
                  <w:pPr>
                    <w:adjustRightInd w:val="0"/>
                    <w:snapToGrid w:val="0"/>
                    <w:spacing w:line="240" w:lineRule="auto"/>
                    <w:jc w:val="center"/>
                    <w:rPr>
                      <w:rFonts w:hint="default" w:ascii="Times New Roman" w:hAnsi="Times New Roman" w:cs="Times New Roman"/>
                      <w:bCs/>
                      <w:color w:val="auto"/>
                      <w:kern w:val="0"/>
                      <w:sz w:val="21"/>
                      <w:szCs w:val="21"/>
                    </w:rPr>
                  </w:pPr>
                  <w:r>
                    <w:rPr>
                      <w:rFonts w:hint="default" w:ascii="Times New Roman" w:hAnsi="Times New Roman" w:eastAsia="宋体" w:cs="Times New Roman"/>
                      <w:bCs/>
                      <w:color w:val="auto"/>
                      <w:kern w:val="0"/>
                      <w:sz w:val="21"/>
                      <w:szCs w:val="21"/>
                      <w:lang w:val="en-US" w:eastAsia="zh-CN"/>
                    </w:rPr>
                    <w:t>5</w:t>
                  </w:r>
                  <w:r>
                    <w:rPr>
                      <w:rFonts w:hint="default" w:ascii="Times New Roman" w:hAnsi="Times New Roman" w:cs="Times New Roman"/>
                      <w:bCs/>
                      <w:color w:val="auto"/>
                      <w:kern w:val="0"/>
                      <w:sz w:val="21"/>
                      <w:szCs w:val="21"/>
                    </w:rPr>
                    <w:t>000</w:t>
                  </w:r>
                </w:p>
              </w:tc>
              <w:tc>
                <w:tcPr>
                  <w:tcW w:w="462" w:type="pct"/>
                  <w:vAlign w:val="center"/>
                </w:tcPr>
                <w:p>
                  <w:pPr>
                    <w:adjustRightInd w:val="0"/>
                    <w:snapToGrid w:val="0"/>
                    <w:spacing w:line="240" w:lineRule="auto"/>
                    <w:jc w:val="center"/>
                    <w:rPr>
                      <w:rFonts w:hint="default" w:ascii="Times New Roman" w:hAnsi="Times New Roman" w:eastAsia="宋体" w:cs="Times New Roman"/>
                      <w:bCs/>
                      <w:color w:val="auto"/>
                      <w:kern w:val="0"/>
                      <w:sz w:val="21"/>
                      <w:szCs w:val="21"/>
                      <w:lang w:val="en-US" w:eastAsia="zh-CN"/>
                    </w:rPr>
                  </w:pPr>
                  <w:r>
                    <w:rPr>
                      <w:rFonts w:hint="default" w:ascii="Times New Roman" w:hAnsi="Times New Roman" w:cs="Times New Roman"/>
                      <w:bCs/>
                      <w:color w:val="auto"/>
                      <w:kern w:val="0"/>
                      <w:sz w:val="21"/>
                      <w:szCs w:val="21"/>
                      <w:lang w:val="en-US" w:eastAsia="zh-CN"/>
                    </w:rPr>
                    <w:t>6.54</w:t>
                  </w:r>
                </w:p>
              </w:tc>
              <w:tc>
                <w:tcPr>
                  <w:tcW w:w="411" w:type="pct"/>
                  <w:vAlign w:val="center"/>
                </w:tcPr>
                <w:p>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default" w:ascii="Times New Roman" w:hAnsi="Times New Roman" w:cs="Times New Roman"/>
                      <w:color w:val="auto"/>
                      <w:sz w:val="21"/>
                      <w:szCs w:val="21"/>
                      <w:lang w:val="en-US" w:eastAsia="zh-CN"/>
                    </w:rPr>
                    <w:t>033</w:t>
                  </w:r>
                </w:p>
              </w:tc>
              <w:tc>
                <w:tcPr>
                  <w:tcW w:w="443" w:type="pct"/>
                  <w:vAlign w:val="center"/>
                </w:tcPr>
                <w:p>
                  <w:pPr>
                    <w:adjustRightInd w:val="0"/>
                    <w:snapToGrid w:val="0"/>
                    <w:spacing w:line="240" w:lineRule="auto"/>
                    <w:jc w:val="center"/>
                    <w:rPr>
                      <w:rFonts w:hint="default" w:ascii="Times New Roman" w:hAnsi="Times New Roman" w:eastAsia="宋体" w:cs="Times New Roman"/>
                      <w:bCs/>
                      <w:color w:val="auto"/>
                      <w:kern w:val="0"/>
                      <w:sz w:val="21"/>
                      <w:szCs w:val="21"/>
                      <w:lang w:val="en-US" w:eastAsia="zh-CN"/>
                    </w:rPr>
                  </w:pPr>
                  <w:r>
                    <w:rPr>
                      <w:rFonts w:hint="default" w:ascii="Times New Roman" w:hAnsi="Times New Roman" w:cs="Times New Roman"/>
                      <w:bCs/>
                      <w:color w:val="auto"/>
                      <w:kern w:val="0"/>
                      <w:sz w:val="21"/>
                      <w:szCs w:val="21"/>
                      <w:lang w:val="en-US" w:eastAsia="zh-CN"/>
                    </w:rPr>
                    <w:t>0.157</w:t>
                  </w:r>
                </w:p>
              </w:tc>
              <w:tc>
                <w:tcPr>
                  <w:tcW w:w="387" w:type="pct"/>
                  <w:vMerge w:val="restart"/>
                  <w:vAlign w:val="center"/>
                </w:tcPr>
                <w:p>
                  <w:pPr>
                    <w:adjustRightInd w:val="0"/>
                    <w:snapToGrid w:val="0"/>
                    <w:spacing w:line="240" w:lineRule="auto"/>
                    <w:jc w:val="center"/>
                    <w:rPr>
                      <w:rFonts w:hint="default" w:ascii="Times New Roman" w:hAnsi="Times New Roman" w:eastAsia="宋体" w:cs="Times New Roman"/>
                      <w:bCs/>
                      <w:color w:val="auto"/>
                      <w:kern w:val="0"/>
                      <w:sz w:val="21"/>
                      <w:szCs w:val="21"/>
                      <w:lang w:val="en-US" w:eastAsia="zh-CN"/>
                    </w:rPr>
                  </w:pPr>
                  <w:r>
                    <w:rPr>
                      <w:rFonts w:hint="default" w:ascii="Times New Roman" w:hAnsi="Times New Roman" w:cs="Times New Roman"/>
                      <w:bCs/>
                      <w:color w:val="auto"/>
                      <w:kern w:val="0"/>
                      <w:sz w:val="21"/>
                      <w:szCs w:val="21"/>
                      <w:lang w:val="en-US" w:eastAsia="zh-CN"/>
                    </w:rPr>
                    <w:t>二级活性炭吸附</w:t>
                  </w:r>
                </w:p>
              </w:tc>
              <w:tc>
                <w:tcPr>
                  <w:tcW w:w="274" w:type="pct"/>
                  <w:vMerge w:val="restart"/>
                  <w:vAlign w:val="center"/>
                </w:tcPr>
                <w:p>
                  <w:pPr>
                    <w:adjustRightInd w:val="0"/>
                    <w:snapToGrid w:val="0"/>
                    <w:spacing w:line="240" w:lineRule="auto"/>
                    <w:jc w:val="center"/>
                    <w:rPr>
                      <w:rFonts w:hint="default" w:ascii="Times New Roman" w:hAnsi="Times New Roman" w:eastAsia="宋体" w:cs="Times New Roman"/>
                      <w:bCs/>
                      <w:color w:val="auto"/>
                      <w:kern w:val="0"/>
                      <w:sz w:val="21"/>
                      <w:szCs w:val="21"/>
                      <w:lang w:val="en-US" w:eastAsia="zh-CN"/>
                    </w:rPr>
                  </w:pPr>
                  <w:r>
                    <w:rPr>
                      <w:rFonts w:hint="default" w:ascii="Times New Roman" w:hAnsi="Times New Roman" w:cs="Times New Roman"/>
                      <w:bCs/>
                      <w:color w:val="auto"/>
                      <w:kern w:val="0"/>
                      <w:sz w:val="21"/>
                      <w:szCs w:val="21"/>
                      <w:lang w:val="en-US" w:eastAsia="zh-CN"/>
                    </w:rPr>
                    <w:t>8</w:t>
                  </w:r>
                  <w:r>
                    <w:rPr>
                      <w:rFonts w:hint="default" w:ascii="Times New Roman" w:hAnsi="Times New Roman" w:eastAsia="宋体" w:cs="Times New Roman"/>
                      <w:bCs/>
                      <w:color w:val="auto"/>
                      <w:kern w:val="0"/>
                      <w:sz w:val="21"/>
                      <w:szCs w:val="21"/>
                      <w:lang w:val="en-US" w:eastAsia="zh-CN"/>
                    </w:rPr>
                    <w:t>0%</w:t>
                  </w:r>
                </w:p>
              </w:tc>
              <w:tc>
                <w:tcPr>
                  <w:tcW w:w="514" w:type="pct"/>
                  <w:vMerge w:val="restart"/>
                  <w:vAlign w:val="center"/>
                </w:tcPr>
                <w:p>
                  <w:pPr>
                    <w:adjustRightInd w:val="0"/>
                    <w:snapToGrid w:val="0"/>
                    <w:spacing w:line="240" w:lineRule="auto"/>
                    <w:jc w:val="center"/>
                    <w:rPr>
                      <w:rFonts w:hint="default" w:ascii="Times New Roman" w:hAnsi="Times New Roman" w:cs="Times New Roman"/>
                      <w:bCs/>
                      <w:color w:val="auto"/>
                      <w:kern w:val="0"/>
                      <w:sz w:val="21"/>
                      <w:szCs w:val="21"/>
                      <w:lang w:val="en-US"/>
                    </w:rPr>
                  </w:pPr>
                  <w:r>
                    <w:rPr>
                      <w:rFonts w:hint="eastAsia" w:ascii="Times New Roman" w:hAnsi="Times New Roman" w:cs="Times New Roman"/>
                      <w:bCs/>
                      <w:color w:val="auto"/>
                      <w:kern w:val="0"/>
                      <w:sz w:val="21"/>
                      <w:szCs w:val="21"/>
                      <w:lang w:val="en-US" w:eastAsia="zh-CN"/>
                    </w:rPr>
                    <w:t>3.92</w:t>
                  </w:r>
                </w:p>
              </w:tc>
              <w:tc>
                <w:tcPr>
                  <w:tcW w:w="462" w:type="pct"/>
                  <w:vMerge w:val="restart"/>
                  <w:vAlign w:val="center"/>
                </w:tcPr>
                <w:p>
                  <w:pPr>
                    <w:adjustRightInd w:val="0"/>
                    <w:snapToGrid w:val="0"/>
                    <w:spacing w:line="240" w:lineRule="auto"/>
                    <w:jc w:val="center"/>
                    <w:rPr>
                      <w:rFonts w:hint="default" w:ascii="Times New Roman" w:hAnsi="Times New Roman" w:cs="Times New Roman"/>
                      <w:bCs/>
                      <w:color w:val="auto"/>
                      <w:kern w:val="0"/>
                      <w:sz w:val="21"/>
                      <w:szCs w:val="21"/>
                      <w:lang w:val="en-US"/>
                    </w:rPr>
                  </w:pPr>
                  <w:r>
                    <w:rPr>
                      <w:rFonts w:hint="default" w:ascii="Times New Roman" w:hAnsi="Times New Roman" w:eastAsia="宋体" w:cs="Times New Roman"/>
                      <w:color w:val="auto"/>
                      <w:sz w:val="21"/>
                      <w:szCs w:val="21"/>
                      <w:lang w:val="en-US" w:eastAsia="zh-CN"/>
                    </w:rPr>
                    <w:t>0.</w:t>
                  </w:r>
                  <w:r>
                    <w:rPr>
                      <w:rFonts w:hint="default" w:ascii="Times New Roman" w:hAnsi="Times New Roman" w:cs="Times New Roman"/>
                      <w:color w:val="auto"/>
                      <w:sz w:val="21"/>
                      <w:szCs w:val="21"/>
                      <w:lang w:val="en-US" w:eastAsia="zh-CN"/>
                    </w:rPr>
                    <w:t>0</w:t>
                  </w:r>
                  <w:r>
                    <w:rPr>
                      <w:rFonts w:hint="eastAsia" w:ascii="Times New Roman" w:hAnsi="Times New Roman" w:cs="Times New Roman"/>
                      <w:color w:val="auto"/>
                      <w:sz w:val="21"/>
                      <w:szCs w:val="21"/>
                      <w:lang w:val="en-US" w:eastAsia="zh-CN"/>
                    </w:rPr>
                    <w:t>19</w:t>
                  </w:r>
                </w:p>
              </w:tc>
              <w:tc>
                <w:tcPr>
                  <w:tcW w:w="424" w:type="pct"/>
                  <w:vMerge w:val="restart"/>
                  <w:vAlign w:val="center"/>
                </w:tcPr>
                <w:p>
                  <w:pPr>
                    <w:adjustRightInd w:val="0"/>
                    <w:snapToGrid w:val="0"/>
                    <w:spacing w:line="240" w:lineRule="auto"/>
                    <w:jc w:val="center"/>
                    <w:rPr>
                      <w:rFonts w:hint="default" w:ascii="Times New Roman" w:hAnsi="Times New Roman" w:cs="Times New Roman"/>
                      <w:bCs/>
                      <w:color w:val="auto"/>
                      <w:kern w:val="0"/>
                      <w:sz w:val="21"/>
                      <w:szCs w:val="21"/>
                      <w:lang w:val="en-US"/>
                    </w:rPr>
                  </w:pPr>
                  <w:r>
                    <w:rPr>
                      <w:rFonts w:hint="default" w:ascii="Times New Roman" w:hAnsi="Times New Roman" w:cs="Times New Roman"/>
                      <w:bCs/>
                      <w:color w:val="auto"/>
                      <w:kern w:val="0"/>
                      <w:sz w:val="21"/>
                      <w:szCs w:val="21"/>
                      <w:lang w:val="en-US" w:eastAsia="zh-CN"/>
                    </w:rPr>
                    <w:t>0.</w:t>
                  </w:r>
                  <w:r>
                    <w:rPr>
                      <w:rFonts w:hint="eastAsia" w:ascii="Times New Roman" w:hAnsi="Times New Roman" w:cs="Times New Roman"/>
                      <w:bCs/>
                      <w:color w:val="auto"/>
                      <w:kern w:val="0"/>
                      <w:sz w:val="21"/>
                      <w:szCs w:val="21"/>
                      <w:lang w:val="en-US" w:eastAsia="zh-CN"/>
                    </w:rPr>
                    <w:t>094</w:t>
                  </w:r>
                </w:p>
              </w:tc>
              <w:tc>
                <w:tcPr>
                  <w:tcW w:w="417" w:type="pct"/>
                  <w:vMerge w:val="restart"/>
                  <w:vAlign w:val="center"/>
                </w:tcPr>
                <w:p>
                  <w:pPr>
                    <w:adjustRightInd w:val="0"/>
                    <w:snapToGrid w:val="0"/>
                    <w:spacing w:line="240" w:lineRule="auto"/>
                    <w:jc w:val="center"/>
                    <w:rPr>
                      <w:rFonts w:hint="default" w:ascii="Times New Roman" w:hAnsi="Times New Roman" w:eastAsia="宋体" w:cs="Times New Roman"/>
                      <w:bCs/>
                      <w:color w:val="auto"/>
                      <w:kern w:val="0"/>
                      <w:sz w:val="21"/>
                      <w:szCs w:val="21"/>
                      <w:lang w:val="en-US" w:eastAsia="zh-CN"/>
                    </w:rPr>
                  </w:pPr>
                  <w:r>
                    <w:rPr>
                      <w:rFonts w:hint="default" w:ascii="Times New Roman" w:hAnsi="Times New Roman" w:eastAsia="宋体" w:cs="Times New Roman"/>
                      <w:bCs/>
                      <w:color w:val="auto"/>
                      <w:kern w:val="0"/>
                      <w:sz w:val="21"/>
                      <w:szCs w:val="21"/>
                      <w:lang w:val="en-US" w:eastAsia="zh-CN"/>
                    </w:rPr>
                    <w:t>DA002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00" w:type="pct"/>
                  <w:vAlign w:val="center"/>
                </w:tcPr>
                <w:p>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印刷</w:t>
                  </w:r>
                </w:p>
              </w:tc>
              <w:tc>
                <w:tcPr>
                  <w:tcW w:w="507" w:type="pct"/>
                  <w:vAlign w:val="center"/>
                </w:tcPr>
                <w:p>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非甲烷总烃</w:t>
                  </w:r>
                </w:p>
              </w:tc>
              <w:tc>
                <w:tcPr>
                  <w:tcW w:w="391" w:type="pct"/>
                  <w:vMerge w:val="continue"/>
                  <w:vAlign w:val="center"/>
                </w:tcPr>
                <w:p>
                  <w:pPr>
                    <w:adjustRightInd w:val="0"/>
                    <w:snapToGrid w:val="0"/>
                    <w:spacing w:line="240" w:lineRule="auto"/>
                    <w:jc w:val="center"/>
                    <w:rPr>
                      <w:rFonts w:hint="default" w:ascii="Times New Roman" w:hAnsi="Times New Roman" w:eastAsia="宋体" w:cs="Times New Roman"/>
                      <w:bCs/>
                      <w:color w:val="auto"/>
                      <w:kern w:val="0"/>
                      <w:sz w:val="21"/>
                      <w:szCs w:val="21"/>
                      <w:lang w:val="en-US" w:eastAsia="zh-CN"/>
                    </w:rPr>
                  </w:pPr>
                </w:p>
              </w:tc>
              <w:tc>
                <w:tcPr>
                  <w:tcW w:w="462" w:type="pct"/>
                  <w:vAlign w:val="center"/>
                </w:tcPr>
                <w:p>
                  <w:pPr>
                    <w:adjustRightInd w:val="0"/>
                    <w:snapToGrid w:val="0"/>
                    <w:spacing w:line="240" w:lineRule="auto"/>
                    <w:jc w:val="center"/>
                    <w:rPr>
                      <w:rFonts w:hint="default" w:ascii="Times New Roman" w:hAnsi="Times New Roman" w:eastAsia="宋体" w:cs="Times New Roman"/>
                      <w:bCs/>
                      <w:color w:val="auto"/>
                      <w:kern w:val="0"/>
                      <w:sz w:val="21"/>
                      <w:szCs w:val="21"/>
                      <w:lang w:val="en-US" w:eastAsia="zh-CN"/>
                    </w:rPr>
                  </w:pPr>
                  <w:r>
                    <w:rPr>
                      <w:rFonts w:hint="eastAsia" w:ascii="Times New Roman" w:hAnsi="Times New Roman" w:cs="Times New Roman"/>
                      <w:bCs/>
                      <w:color w:val="auto"/>
                      <w:kern w:val="0"/>
                      <w:sz w:val="21"/>
                      <w:szCs w:val="21"/>
                      <w:lang w:val="en-US" w:eastAsia="zh-CN"/>
                    </w:rPr>
                    <w:t>13.13</w:t>
                  </w:r>
                </w:p>
              </w:tc>
              <w:tc>
                <w:tcPr>
                  <w:tcW w:w="411" w:type="pct"/>
                  <w:vAlign w:val="center"/>
                </w:tcPr>
                <w:p>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ascii="Times New Roman" w:hAnsi="Times New Roman" w:cs="Times New Roman"/>
                      <w:color w:val="auto"/>
                      <w:sz w:val="21"/>
                      <w:szCs w:val="21"/>
                      <w:lang w:val="en-US" w:eastAsia="zh-CN"/>
                    </w:rPr>
                    <w:t>066</w:t>
                  </w:r>
                </w:p>
              </w:tc>
              <w:tc>
                <w:tcPr>
                  <w:tcW w:w="443" w:type="pct"/>
                  <w:vAlign w:val="center"/>
                </w:tcPr>
                <w:p>
                  <w:pPr>
                    <w:adjustRightInd w:val="0"/>
                    <w:snapToGrid w:val="0"/>
                    <w:spacing w:line="240" w:lineRule="auto"/>
                    <w:jc w:val="center"/>
                    <w:rPr>
                      <w:rFonts w:hint="default" w:ascii="Times New Roman" w:hAnsi="Times New Roman" w:eastAsia="宋体" w:cs="Times New Roman"/>
                      <w:bCs/>
                      <w:color w:val="auto"/>
                      <w:kern w:val="0"/>
                      <w:sz w:val="21"/>
                      <w:szCs w:val="21"/>
                      <w:lang w:val="en-US" w:eastAsia="zh-CN"/>
                    </w:rPr>
                  </w:pPr>
                  <w:r>
                    <w:rPr>
                      <w:rFonts w:hint="default" w:ascii="Times New Roman" w:hAnsi="Times New Roman" w:cs="Times New Roman"/>
                      <w:bCs/>
                      <w:color w:val="auto"/>
                      <w:kern w:val="0"/>
                      <w:sz w:val="21"/>
                      <w:szCs w:val="21"/>
                      <w:lang w:val="en-US" w:eastAsia="zh-CN"/>
                    </w:rPr>
                    <w:t>0.</w:t>
                  </w:r>
                  <w:r>
                    <w:rPr>
                      <w:rFonts w:hint="eastAsia" w:ascii="Times New Roman" w:hAnsi="Times New Roman" w:cs="Times New Roman"/>
                      <w:bCs/>
                      <w:color w:val="auto"/>
                      <w:kern w:val="0"/>
                      <w:sz w:val="21"/>
                      <w:szCs w:val="21"/>
                      <w:lang w:val="en-US" w:eastAsia="zh-CN"/>
                    </w:rPr>
                    <w:t>315</w:t>
                  </w:r>
                </w:p>
              </w:tc>
              <w:tc>
                <w:tcPr>
                  <w:tcW w:w="387" w:type="pct"/>
                  <w:vMerge w:val="continue"/>
                  <w:vAlign w:val="center"/>
                </w:tcPr>
                <w:p>
                  <w:pPr>
                    <w:adjustRightInd w:val="0"/>
                    <w:snapToGrid w:val="0"/>
                    <w:spacing w:line="240" w:lineRule="auto"/>
                    <w:jc w:val="center"/>
                    <w:rPr>
                      <w:rFonts w:hint="default" w:ascii="Times New Roman" w:hAnsi="Times New Roman" w:eastAsia="宋体" w:cs="Times New Roman"/>
                      <w:bCs/>
                      <w:color w:val="auto"/>
                      <w:kern w:val="0"/>
                      <w:sz w:val="21"/>
                      <w:szCs w:val="21"/>
                      <w:lang w:val="en-US" w:eastAsia="zh-CN"/>
                    </w:rPr>
                  </w:pPr>
                </w:p>
              </w:tc>
              <w:tc>
                <w:tcPr>
                  <w:tcW w:w="274" w:type="pct"/>
                  <w:vMerge w:val="continue"/>
                  <w:vAlign w:val="center"/>
                </w:tcPr>
                <w:p>
                  <w:pPr>
                    <w:adjustRightInd w:val="0"/>
                    <w:snapToGrid w:val="0"/>
                    <w:spacing w:line="240" w:lineRule="auto"/>
                    <w:jc w:val="center"/>
                    <w:rPr>
                      <w:rFonts w:hint="default" w:ascii="Times New Roman" w:hAnsi="Times New Roman" w:eastAsia="宋体" w:cs="Times New Roman"/>
                      <w:bCs/>
                      <w:color w:val="auto"/>
                      <w:kern w:val="0"/>
                      <w:sz w:val="21"/>
                      <w:szCs w:val="21"/>
                      <w:lang w:val="en-US" w:eastAsia="zh-CN"/>
                    </w:rPr>
                  </w:pPr>
                </w:p>
              </w:tc>
              <w:tc>
                <w:tcPr>
                  <w:tcW w:w="514" w:type="pct"/>
                  <w:vMerge w:val="continue"/>
                  <w:vAlign w:val="center"/>
                </w:tcPr>
                <w:p>
                  <w:pPr>
                    <w:adjustRightInd w:val="0"/>
                    <w:snapToGrid w:val="0"/>
                    <w:spacing w:line="240" w:lineRule="auto"/>
                    <w:jc w:val="center"/>
                    <w:rPr>
                      <w:rFonts w:hint="default" w:ascii="Times New Roman" w:hAnsi="Times New Roman" w:eastAsia="宋体" w:cs="Times New Roman"/>
                      <w:bCs/>
                      <w:color w:val="auto"/>
                      <w:kern w:val="0"/>
                      <w:sz w:val="21"/>
                      <w:szCs w:val="21"/>
                      <w:lang w:val="en-US" w:eastAsia="zh-CN"/>
                    </w:rPr>
                  </w:pPr>
                </w:p>
              </w:tc>
              <w:tc>
                <w:tcPr>
                  <w:tcW w:w="462" w:type="pct"/>
                  <w:vMerge w:val="continue"/>
                  <w:vAlign w:val="center"/>
                </w:tcPr>
                <w:p>
                  <w:pPr>
                    <w:adjustRightInd w:val="0"/>
                    <w:snapToGrid w:val="0"/>
                    <w:spacing w:line="240" w:lineRule="auto"/>
                    <w:jc w:val="center"/>
                    <w:rPr>
                      <w:rFonts w:hint="default" w:ascii="Times New Roman" w:hAnsi="Times New Roman" w:eastAsia="宋体" w:cs="Times New Roman"/>
                      <w:color w:val="auto"/>
                      <w:sz w:val="21"/>
                      <w:szCs w:val="21"/>
                      <w:lang w:val="en-US" w:eastAsia="zh-CN"/>
                    </w:rPr>
                  </w:pPr>
                </w:p>
              </w:tc>
              <w:tc>
                <w:tcPr>
                  <w:tcW w:w="424" w:type="pct"/>
                  <w:vMerge w:val="continue"/>
                  <w:vAlign w:val="center"/>
                </w:tcPr>
                <w:p>
                  <w:pPr>
                    <w:adjustRightInd w:val="0"/>
                    <w:snapToGrid w:val="0"/>
                    <w:spacing w:line="240" w:lineRule="auto"/>
                    <w:jc w:val="center"/>
                    <w:rPr>
                      <w:rFonts w:hint="default" w:ascii="Times New Roman" w:hAnsi="Times New Roman" w:eastAsia="宋体" w:cs="Times New Roman"/>
                      <w:bCs/>
                      <w:color w:val="auto"/>
                      <w:kern w:val="0"/>
                      <w:sz w:val="21"/>
                      <w:szCs w:val="21"/>
                      <w:lang w:val="en-US" w:eastAsia="zh-CN"/>
                    </w:rPr>
                  </w:pPr>
                </w:p>
              </w:tc>
              <w:tc>
                <w:tcPr>
                  <w:tcW w:w="417" w:type="pct"/>
                  <w:vMerge w:val="continue"/>
                  <w:vAlign w:val="center"/>
                </w:tcPr>
                <w:p>
                  <w:pPr>
                    <w:adjustRightInd w:val="0"/>
                    <w:snapToGrid w:val="0"/>
                    <w:spacing w:line="240" w:lineRule="auto"/>
                    <w:jc w:val="center"/>
                    <w:rPr>
                      <w:rFonts w:hint="default" w:ascii="Times New Roman" w:hAnsi="Times New Roman" w:eastAsia="宋体" w:cs="Times New Roman"/>
                      <w:bCs/>
                      <w:color w:val="auto"/>
                      <w:kern w:val="0"/>
                      <w:sz w:val="21"/>
                      <w:szCs w:val="21"/>
                      <w:lang w:val="en-US" w:eastAsia="zh-CN"/>
                    </w:rPr>
                  </w:pPr>
                </w:p>
              </w:tc>
            </w:tr>
          </w:tbl>
          <w:p>
            <w:pPr>
              <w:spacing w:line="460" w:lineRule="exact"/>
              <w:ind w:firstLine="480" w:firstLineChars="200"/>
              <w:jc w:val="both"/>
              <w:rPr>
                <w:rFonts w:hint="default" w:ascii="Times New Roman" w:hAnsi="Times New Roman" w:cs="Times New Roman" w:eastAsiaTheme="majorEastAsia"/>
                <w:sz w:val="24"/>
                <w:szCs w:val="24"/>
                <w:lang w:eastAsia="zh-CN"/>
              </w:rPr>
            </w:pPr>
            <w:r>
              <w:rPr>
                <w:rFonts w:hint="default" w:ascii="Times New Roman" w:hAnsi="Times New Roman" w:cs="Times New Roman" w:eastAsiaTheme="majorEastAsia"/>
                <w:sz w:val="24"/>
                <w:szCs w:val="24"/>
                <w:lang w:eastAsia="zh-CN"/>
              </w:rPr>
              <w:t>（2）无组织废气</w:t>
            </w:r>
          </w:p>
          <w:p>
            <w:pPr>
              <w:snapToGrid w:val="0"/>
              <w:spacing w:line="460" w:lineRule="exact"/>
              <w:ind w:firstLine="480" w:firstLineChars="200"/>
              <w:jc w:val="both"/>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本项目无组织废气主要为</w:t>
            </w:r>
            <w:r>
              <w:rPr>
                <w:rFonts w:hint="default" w:ascii="Times New Roman" w:hAnsi="Times New Roman" w:cs="Times New Roman"/>
                <w:sz w:val="24"/>
                <w:lang w:val="en-US" w:eastAsia="zh-CN"/>
              </w:rPr>
              <w:t>涂膜和印刷工段未被收集</w:t>
            </w:r>
            <w:r>
              <w:rPr>
                <w:rFonts w:hint="default" w:ascii="Times New Roman" w:hAnsi="Times New Roman" w:eastAsia="宋体" w:cs="Times New Roman"/>
                <w:sz w:val="24"/>
                <w:lang w:val="en-US" w:eastAsia="zh-CN"/>
              </w:rPr>
              <w:t>逸散的非甲烷总烃废气，具体产生及排放情况见表 4-2。</w:t>
            </w:r>
          </w:p>
          <w:p>
            <w:pPr>
              <w:keepNext w:val="0"/>
              <w:keepLines w:val="0"/>
              <w:pageBreakBefore w:val="0"/>
              <w:widowControl w:val="0"/>
              <w:tabs>
                <w:tab w:val="left" w:pos="2512"/>
              </w:tabs>
              <w:kinsoku/>
              <w:wordWrap/>
              <w:overflowPunct/>
              <w:topLinePunct w:val="0"/>
              <w:autoSpaceDE/>
              <w:autoSpaceDN/>
              <w:bidi w:val="0"/>
              <w:adjustRightInd/>
              <w:snapToGrid/>
              <w:spacing w:line="460" w:lineRule="exact"/>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表4-</w:t>
            </w:r>
            <w:r>
              <w:rPr>
                <w:rFonts w:hint="default" w:ascii="Times New Roman" w:hAnsi="Times New Roman" w:cs="Times New Roman"/>
                <w:b/>
                <w:color w:val="auto"/>
                <w:sz w:val="21"/>
                <w:szCs w:val="21"/>
                <w:lang w:val="en-US" w:eastAsia="zh-CN"/>
              </w:rPr>
              <w:t>2</w:t>
            </w:r>
            <w:r>
              <w:rPr>
                <w:rFonts w:hint="default" w:ascii="Times New Roman" w:hAnsi="Times New Roman" w:eastAsia="宋体" w:cs="Times New Roman"/>
                <w:b/>
                <w:color w:val="auto"/>
                <w:sz w:val="21"/>
                <w:szCs w:val="21"/>
              </w:rPr>
              <w:t xml:space="preserve"> 项目无组织废气产生与排放情况表</w:t>
            </w:r>
          </w:p>
          <w:tbl>
            <w:tblPr>
              <w:tblStyle w:val="23"/>
              <w:tblW w:w="85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1374"/>
              <w:gridCol w:w="933"/>
              <w:gridCol w:w="1725"/>
              <w:gridCol w:w="892"/>
              <w:gridCol w:w="1041"/>
              <w:gridCol w:w="967"/>
              <w:gridCol w:w="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779" w:type="dxa"/>
                  <w:vAlign w:val="center"/>
                </w:tcPr>
                <w:p>
                  <w:pPr>
                    <w:adjustRightInd w:val="0"/>
                    <w:snapToGrid w:val="0"/>
                    <w:spacing w:line="240" w:lineRule="auto"/>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污染源位置</w:t>
                  </w:r>
                </w:p>
              </w:tc>
              <w:tc>
                <w:tcPr>
                  <w:tcW w:w="1374" w:type="dxa"/>
                  <w:vAlign w:val="center"/>
                </w:tcPr>
                <w:p>
                  <w:pPr>
                    <w:adjustRightInd w:val="0"/>
                    <w:snapToGrid w:val="0"/>
                    <w:spacing w:line="240" w:lineRule="auto"/>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产生工序</w:t>
                  </w:r>
                </w:p>
              </w:tc>
              <w:tc>
                <w:tcPr>
                  <w:tcW w:w="933" w:type="dxa"/>
                  <w:vAlign w:val="center"/>
                </w:tcPr>
                <w:p>
                  <w:pPr>
                    <w:adjustRightInd w:val="0"/>
                    <w:snapToGrid w:val="0"/>
                    <w:spacing w:line="240" w:lineRule="auto"/>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污染物名称</w:t>
                  </w:r>
                </w:p>
              </w:tc>
              <w:tc>
                <w:tcPr>
                  <w:tcW w:w="1725" w:type="dxa"/>
                  <w:vAlign w:val="center"/>
                </w:tcPr>
                <w:p>
                  <w:pPr>
                    <w:adjustRightInd w:val="0"/>
                    <w:snapToGrid w:val="0"/>
                    <w:spacing w:line="240" w:lineRule="auto"/>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处理方式</w:t>
                  </w:r>
                </w:p>
              </w:tc>
              <w:tc>
                <w:tcPr>
                  <w:tcW w:w="892" w:type="dxa"/>
                  <w:vAlign w:val="center"/>
                </w:tcPr>
                <w:p>
                  <w:pPr>
                    <w:adjustRightInd w:val="0"/>
                    <w:snapToGrid w:val="0"/>
                    <w:spacing w:line="240" w:lineRule="auto"/>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排放量</w:t>
                  </w:r>
                </w:p>
                <w:p>
                  <w:pPr>
                    <w:adjustRightInd w:val="0"/>
                    <w:snapToGrid w:val="0"/>
                    <w:spacing w:line="240" w:lineRule="auto"/>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（t/a）</w:t>
                  </w:r>
                </w:p>
              </w:tc>
              <w:tc>
                <w:tcPr>
                  <w:tcW w:w="1041" w:type="dxa"/>
                  <w:vAlign w:val="center"/>
                </w:tcPr>
                <w:p>
                  <w:pPr>
                    <w:adjustRightInd w:val="0"/>
                    <w:snapToGrid w:val="0"/>
                    <w:spacing w:line="240" w:lineRule="auto"/>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排放速率</w:t>
                  </w:r>
                </w:p>
                <w:p>
                  <w:pPr>
                    <w:adjustRightInd w:val="0"/>
                    <w:snapToGrid w:val="0"/>
                    <w:spacing w:line="240" w:lineRule="auto"/>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（kg/h）</w:t>
                  </w:r>
                </w:p>
              </w:tc>
              <w:tc>
                <w:tcPr>
                  <w:tcW w:w="967" w:type="dxa"/>
                  <w:vAlign w:val="center"/>
                </w:tcPr>
                <w:p>
                  <w:pPr>
                    <w:adjustRightInd w:val="0"/>
                    <w:snapToGrid w:val="0"/>
                    <w:spacing w:line="240" w:lineRule="auto"/>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面源面积</w:t>
                  </w:r>
                </w:p>
                <w:p>
                  <w:pPr>
                    <w:adjustRightInd w:val="0"/>
                    <w:snapToGrid w:val="0"/>
                    <w:spacing w:line="240" w:lineRule="auto"/>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（m</w:t>
                  </w:r>
                  <w:r>
                    <w:rPr>
                      <w:rFonts w:hint="default" w:ascii="Times New Roman" w:hAnsi="Times New Roman" w:cs="Times New Roman"/>
                      <w:b/>
                      <w:bCs/>
                      <w:color w:val="000000"/>
                      <w:sz w:val="21"/>
                      <w:szCs w:val="21"/>
                      <w:vertAlign w:val="superscript"/>
                    </w:rPr>
                    <w:t>2</w:t>
                  </w:r>
                  <w:r>
                    <w:rPr>
                      <w:rFonts w:hint="default" w:ascii="Times New Roman" w:hAnsi="Times New Roman" w:cs="Times New Roman"/>
                      <w:b/>
                      <w:bCs/>
                      <w:color w:val="000000"/>
                      <w:sz w:val="21"/>
                      <w:szCs w:val="21"/>
                    </w:rPr>
                    <w:t>）</w:t>
                  </w:r>
                </w:p>
              </w:tc>
              <w:tc>
                <w:tcPr>
                  <w:tcW w:w="884" w:type="dxa"/>
                  <w:vAlign w:val="center"/>
                </w:tcPr>
                <w:p>
                  <w:pPr>
                    <w:adjustRightInd w:val="0"/>
                    <w:snapToGrid w:val="0"/>
                    <w:spacing w:line="240" w:lineRule="auto"/>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面源高度</w:t>
                  </w:r>
                </w:p>
                <w:p>
                  <w:pPr>
                    <w:adjustRightInd w:val="0"/>
                    <w:snapToGrid w:val="0"/>
                    <w:spacing w:line="240" w:lineRule="auto"/>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779" w:type="dxa"/>
                  <w:vMerge w:val="restart"/>
                  <w:vAlign w:val="center"/>
                </w:tcPr>
                <w:p>
                  <w:pPr>
                    <w:adjustRightInd w:val="0"/>
                    <w:snapToGri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生产车间</w:t>
                  </w:r>
                  <w:r>
                    <w:rPr>
                      <w:rFonts w:hint="default" w:ascii="Times New Roman" w:hAnsi="Times New Roman" w:cs="Times New Roman"/>
                      <w:color w:val="000000"/>
                      <w:sz w:val="21"/>
                      <w:szCs w:val="21"/>
                      <w:lang w:val="en-US" w:eastAsia="zh-CN"/>
                    </w:rPr>
                    <w:t>2</w:t>
                  </w:r>
                </w:p>
              </w:tc>
              <w:tc>
                <w:tcPr>
                  <w:tcW w:w="1374" w:type="dxa"/>
                  <w:vAlign w:val="center"/>
                </w:tcPr>
                <w:p>
                  <w:pPr>
                    <w:adjustRightInd w:val="0"/>
                    <w:snapToGri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涂膜</w:t>
                  </w:r>
                </w:p>
              </w:tc>
              <w:tc>
                <w:tcPr>
                  <w:tcW w:w="933" w:type="dxa"/>
                  <w:vAlign w:val="center"/>
                </w:tcPr>
                <w:p>
                  <w:pPr>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auto"/>
                      <w:sz w:val="21"/>
                      <w:szCs w:val="21"/>
                      <w:lang w:val="en-US" w:eastAsia="zh-CN"/>
                    </w:rPr>
                    <w:t>非甲烷总烃</w:t>
                  </w:r>
                </w:p>
              </w:tc>
              <w:tc>
                <w:tcPr>
                  <w:tcW w:w="1725" w:type="dxa"/>
                  <w:vMerge w:val="restart"/>
                  <w:vAlign w:val="center"/>
                </w:tcPr>
                <w:p>
                  <w:pPr>
                    <w:keepNext w:val="0"/>
                    <w:keepLines w:val="0"/>
                    <w:widowControl/>
                    <w:suppressLineNumbers w:val="0"/>
                    <w:jc w:val="left"/>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kern w:val="0"/>
                      <w:sz w:val="21"/>
                      <w:szCs w:val="21"/>
                      <w:lang w:val="en-US" w:eastAsia="zh-CN" w:bidi="ar"/>
                    </w:rPr>
                    <w:t xml:space="preserve">车间加强排气通风设施，及时清扫，生产人员做好防护工作 </w:t>
                  </w:r>
                </w:p>
              </w:tc>
              <w:tc>
                <w:tcPr>
                  <w:tcW w:w="892" w:type="dxa"/>
                  <w:vAlign w:val="center"/>
                </w:tcPr>
                <w:p>
                  <w:pPr>
                    <w:adjustRightInd w:val="0"/>
                    <w:snapToGri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w:t>
                  </w:r>
                  <w:r>
                    <w:rPr>
                      <w:rFonts w:hint="default" w:ascii="Times New Roman" w:hAnsi="Times New Roman" w:cs="Times New Roman"/>
                      <w:color w:val="000000"/>
                      <w:sz w:val="21"/>
                      <w:szCs w:val="21"/>
                      <w:lang w:val="en-US" w:eastAsia="zh-CN"/>
                    </w:rPr>
                    <w:t>18</w:t>
                  </w:r>
                </w:p>
              </w:tc>
              <w:tc>
                <w:tcPr>
                  <w:tcW w:w="1041" w:type="dxa"/>
                  <w:vAlign w:val="center"/>
                </w:tcPr>
                <w:p>
                  <w:pPr>
                    <w:adjustRightInd w:val="0"/>
                    <w:snapToGri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0.00</w:t>
                  </w:r>
                  <w:r>
                    <w:rPr>
                      <w:rFonts w:hint="default" w:ascii="Times New Roman" w:hAnsi="Times New Roman" w:cs="Times New Roman"/>
                      <w:color w:val="000000"/>
                      <w:sz w:val="21"/>
                      <w:szCs w:val="21"/>
                      <w:lang w:val="en-US" w:eastAsia="zh-CN"/>
                    </w:rPr>
                    <w:t>4</w:t>
                  </w:r>
                </w:p>
              </w:tc>
              <w:tc>
                <w:tcPr>
                  <w:tcW w:w="967" w:type="dxa"/>
                  <w:vMerge w:val="restart"/>
                  <w:vAlign w:val="center"/>
                </w:tcPr>
                <w:p>
                  <w:pPr>
                    <w:adjustRightInd w:val="0"/>
                    <w:snapToGrid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1700</w:t>
                  </w:r>
                </w:p>
              </w:tc>
              <w:tc>
                <w:tcPr>
                  <w:tcW w:w="884" w:type="dxa"/>
                  <w:vMerge w:val="restart"/>
                  <w:vAlign w:val="center"/>
                </w:tcPr>
                <w:p>
                  <w:pPr>
                    <w:adjustRightInd w:val="0"/>
                    <w:snapToGrid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r>
                    <w:rPr>
                      <w:rFonts w:hint="default" w:ascii="Times New Roman" w:hAnsi="Times New Roman" w:cs="Times New Roman"/>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779" w:type="dxa"/>
                  <w:vMerge w:val="continue"/>
                  <w:vAlign w:val="center"/>
                </w:tcPr>
                <w:p>
                  <w:pPr>
                    <w:adjustRightInd w:val="0"/>
                    <w:snapToGrid w:val="0"/>
                    <w:spacing w:line="240" w:lineRule="auto"/>
                    <w:jc w:val="center"/>
                    <w:rPr>
                      <w:rFonts w:hint="default" w:ascii="Times New Roman" w:hAnsi="Times New Roman" w:cs="Times New Roman"/>
                      <w:color w:val="000000"/>
                      <w:sz w:val="21"/>
                      <w:szCs w:val="21"/>
                    </w:rPr>
                  </w:pPr>
                </w:p>
              </w:tc>
              <w:tc>
                <w:tcPr>
                  <w:tcW w:w="1374" w:type="dxa"/>
                  <w:vAlign w:val="center"/>
                </w:tcPr>
                <w:p>
                  <w:pPr>
                    <w:adjustRightInd w:val="0"/>
                    <w:snapToGri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印刷</w:t>
                  </w:r>
                </w:p>
              </w:tc>
              <w:tc>
                <w:tcPr>
                  <w:tcW w:w="933" w:type="dxa"/>
                  <w:vAlign w:val="center"/>
                </w:tcPr>
                <w:p>
                  <w:pPr>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auto"/>
                      <w:sz w:val="21"/>
                      <w:szCs w:val="21"/>
                      <w:lang w:val="en-US" w:eastAsia="zh-CN"/>
                    </w:rPr>
                    <w:t>非甲烷总烃</w:t>
                  </w:r>
                </w:p>
              </w:tc>
              <w:tc>
                <w:tcPr>
                  <w:tcW w:w="1725" w:type="dxa"/>
                  <w:vMerge w:val="continue"/>
                  <w:vAlign w:val="center"/>
                </w:tcPr>
                <w:p>
                  <w:pPr>
                    <w:adjustRightInd w:val="0"/>
                    <w:snapToGrid w:val="0"/>
                    <w:spacing w:line="240" w:lineRule="auto"/>
                    <w:jc w:val="center"/>
                    <w:rPr>
                      <w:rFonts w:hint="default" w:ascii="Times New Roman" w:hAnsi="Times New Roman" w:cs="Times New Roman"/>
                      <w:sz w:val="21"/>
                      <w:szCs w:val="21"/>
                    </w:rPr>
                  </w:pPr>
                </w:p>
              </w:tc>
              <w:tc>
                <w:tcPr>
                  <w:tcW w:w="892" w:type="dxa"/>
                  <w:vAlign w:val="center"/>
                </w:tcPr>
                <w:p>
                  <w:pPr>
                    <w:adjustRightInd w:val="0"/>
                    <w:snapToGri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0.0</w:t>
                  </w:r>
                  <w:r>
                    <w:rPr>
                      <w:rFonts w:hint="eastAsia" w:ascii="Times New Roman" w:hAnsi="Times New Roman" w:cs="Times New Roman"/>
                      <w:color w:val="000000"/>
                      <w:sz w:val="21"/>
                      <w:szCs w:val="21"/>
                      <w:lang w:val="en-US" w:eastAsia="zh-CN"/>
                    </w:rPr>
                    <w:t>35</w:t>
                  </w:r>
                </w:p>
              </w:tc>
              <w:tc>
                <w:tcPr>
                  <w:tcW w:w="1041" w:type="dxa"/>
                  <w:vAlign w:val="center"/>
                </w:tcPr>
                <w:p>
                  <w:pPr>
                    <w:adjustRightInd w:val="0"/>
                    <w:snapToGrid w:val="0"/>
                    <w:spacing w:line="240" w:lineRule="auto"/>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0.0</w:t>
                  </w:r>
                  <w:r>
                    <w:rPr>
                      <w:rFonts w:hint="eastAsia" w:ascii="Times New Roman" w:hAnsi="Times New Roman" w:cs="Times New Roman"/>
                      <w:color w:val="000000"/>
                      <w:sz w:val="21"/>
                      <w:szCs w:val="21"/>
                      <w:lang w:val="en-US" w:eastAsia="zh-CN"/>
                    </w:rPr>
                    <w:t>07</w:t>
                  </w:r>
                </w:p>
              </w:tc>
              <w:tc>
                <w:tcPr>
                  <w:tcW w:w="967" w:type="dxa"/>
                  <w:vMerge w:val="continue"/>
                  <w:vAlign w:val="center"/>
                </w:tcPr>
                <w:p>
                  <w:pPr>
                    <w:adjustRightInd w:val="0"/>
                    <w:snapToGrid w:val="0"/>
                    <w:spacing w:line="240" w:lineRule="auto"/>
                    <w:jc w:val="center"/>
                    <w:rPr>
                      <w:rFonts w:hint="default" w:ascii="Times New Roman" w:hAnsi="Times New Roman" w:cs="Times New Roman"/>
                      <w:sz w:val="21"/>
                      <w:szCs w:val="21"/>
                    </w:rPr>
                  </w:pPr>
                </w:p>
              </w:tc>
              <w:tc>
                <w:tcPr>
                  <w:tcW w:w="884" w:type="dxa"/>
                  <w:vMerge w:val="continue"/>
                  <w:vAlign w:val="center"/>
                </w:tcPr>
                <w:p>
                  <w:pPr>
                    <w:adjustRightInd w:val="0"/>
                    <w:snapToGrid w:val="0"/>
                    <w:spacing w:line="240" w:lineRule="auto"/>
                    <w:jc w:val="center"/>
                    <w:rPr>
                      <w:rFonts w:hint="default" w:ascii="Times New Roman" w:hAnsi="Times New Roman" w:cs="Times New Roman"/>
                      <w:sz w:val="21"/>
                      <w:szCs w:val="21"/>
                    </w:rPr>
                  </w:pPr>
                </w:p>
              </w:tc>
            </w:tr>
          </w:tbl>
          <w:p>
            <w:pPr>
              <w:spacing w:line="440" w:lineRule="exact"/>
              <w:jc w:val="both"/>
              <w:rPr>
                <w:rFonts w:hint="default" w:ascii="Times New Roman" w:hAnsi="Times New Roman" w:cs="Times New Roman" w:eastAsiaTheme="majorEastAsia"/>
                <w:sz w:val="24"/>
                <w:szCs w:val="24"/>
                <w:lang w:eastAsia="zh-CN"/>
              </w:rPr>
            </w:pPr>
          </w:p>
        </w:tc>
      </w:tr>
    </w:tbl>
    <w:p>
      <w:pPr>
        <w:spacing w:line="200" w:lineRule="atLeast"/>
        <w:rPr>
          <w:rFonts w:hint="default" w:ascii="Times New Roman" w:hAnsi="Times New Roman" w:eastAsia="Times New Roman" w:cs="Times New Roman"/>
          <w:sz w:val="20"/>
          <w:szCs w:val="20"/>
          <w:lang w:eastAsia="zh-CN"/>
        </w:rPr>
        <w:sectPr>
          <w:pgSz w:w="11910" w:h="16850"/>
          <w:pgMar w:top="1600" w:right="1260" w:bottom="1000" w:left="1280" w:header="0" w:footer="813" w:gutter="0"/>
          <w:pgBorders>
            <w:top w:val="none" w:sz="0" w:space="0"/>
            <w:left w:val="none" w:sz="0" w:space="0"/>
            <w:bottom w:val="none" w:sz="0" w:space="0"/>
            <w:right w:val="none" w:sz="0" w:space="0"/>
          </w:pgBorders>
          <w:pgNumType w:fmt="decimal"/>
          <w:cols w:space="720" w:num="1"/>
        </w:sectPr>
      </w:pPr>
    </w:p>
    <w:tbl>
      <w:tblPr>
        <w:tblStyle w:val="24"/>
        <w:tblW w:w="4939" w:type="pct"/>
        <w:jc w:val="center"/>
        <w:tblBorders>
          <w:top w:val="single" w:color="auto" w:sz="4" w:space="0"/>
          <w:left w:val="single" w:color="auto" w:sz="4" w:space="0"/>
          <w:bottom w:val="none" w:color="auto" w:sz="0"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8354"/>
      </w:tblGrid>
      <w:tr>
        <w:tblPrEx>
          <w:tblBorders>
            <w:top w:val="single" w:color="auto" w:sz="4" w:space="0"/>
            <w:left w:val="single" w:color="auto" w:sz="4" w:space="0"/>
            <w:bottom w:val="none" w:color="auto" w:sz="0"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9" w:hRule="atLeast"/>
          <w:jc w:val="center"/>
        </w:trPr>
        <w:tc>
          <w:tcPr>
            <w:tcW w:w="398" w:type="pct"/>
            <w:tcBorders>
              <w:bottom w:val="single" w:color="auto" w:sz="4" w:space="0"/>
            </w:tcBorders>
            <w:vAlign w:val="center"/>
          </w:tcPr>
          <w:p>
            <w:pPr>
              <w:jc w:val="center"/>
              <w:rPr>
                <w:rFonts w:hint="default" w:ascii="Times New Roman" w:hAnsi="Times New Roman" w:eastAsia="宋体" w:cs="Times New Roman"/>
                <w:spacing w:val="-1"/>
                <w:sz w:val="24"/>
                <w:szCs w:val="24"/>
                <w:lang w:eastAsia="zh-CN"/>
              </w:rPr>
            </w:pPr>
            <w:r>
              <w:rPr>
                <w:rFonts w:hint="default" w:ascii="Times New Roman" w:hAnsi="Times New Roman" w:eastAsia="宋体" w:cs="Times New Roman"/>
                <w:spacing w:val="-1"/>
                <w:sz w:val="24"/>
                <w:szCs w:val="24"/>
                <w:lang w:eastAsia="zh-CN"/>
              </w:rPr>
              <w:t>运营期环境影响和保护措施</w:t>
            </w:r>
          </w:p>
        </w:tc>
        <w:tc>
          <w:tcPr>
            <w:tcW w:w="4601" w:type="pct"/>
            <w:tcBorders>
              <w:bottom w:val="single" w:color="auto" w:sz="4" w:space="0"/>
            </w:tcBorders>
          </w:tcPr>
          <w:p>
            <w:pPr>
              <w:tabs>
                <w:tab w:val="left" w:pos="3060"/>
              </w:tabs>
              <w:spacing w:line="460" w:lineRule="exact"/>
              <w:ind w:firstLine="482" w:firstLineChars="200"/>
              <w:jc w:val="both"/>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1.</w:t>
            </w:r>
            <w:r>
              <w:rPr>
                <w:rFonts w:hint="default" w:ascii="Times New Roman" w:hAnsi="Times New Roman" w:eastAsia="宋体" w:cs="Times New Roman"/>
                <w:b/>
                <w:bCs/>
                <w:color w:val="000000" w:themeColor="text1"/>
                <w:sz w:val="24"/>
                <w:lang w:val="en-US" w:eastAsia="zh-CN"/>
                <w14:textFill>
                  <w14:solidFill>
                    <w14:schemeClr w14:val="tx1"/>
                  </w14:solidFill>
                </w14:textFill>
              </w:rPr>
              <w:t>2</w:t>
            </w:r>
            <w:r>
              <w:rPr>
                <w:rFonts w:hint="default" w:ascii="Times New Roman" w:hAnsi="Times New Roman" w:cs="Times New Roman"/>
                <w:b/>
                <w:bCs/>
                <w:color w:val="000000" w:themeColor="text1"/>
                <w:sz w:val="24"/>
                <w14:textFill>
                  <w14:solidFill>
                    <w14:schemeClr w14:val="tx1"/>
                  </w14:solidFill>
                </w14:textFill>
              </w:rPr>
              <w:t>排放口基本情况</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本项目废气排气筒设置情况见表4-</w:t>
            </w:r>
            <w:r>
              <w:rPr>
                <w:rFonts w:hint="default" w:ascii="Times New Roman" w:hAnsi="Times New Roman" w:cs="Times New Roman"/>
                <w:color w:val="000000" w:themeColor="text1"/>
                <w:sz w:val="24"/>
                <w:lang w:val="en-US" w:eastAsia="zh-CN"/>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w:t>
            </w:r>
          </w:p>
          <w:p>
            <w:pPr>
              <w:keepNext w:val="0"/>
              <w:keepLines w:val="0"/>
              <w:pageBreakBefore w:val="0"/>
              <w:widowControl w:val="0"/>
              <w:tabs>
                <w:tab w:val="left" w:pos="2512"/>
              </w:tabs>
              <w:kinsoku/>
              <w:wordWrap/>
              <w:overflowPunct/>
              <w:topLinePunct w:val="0"/>
              <w:autoSpaceDE/>
              <w:autoSpaceDN/>
              <w:bidi w:val="0"/>
              <w:adjustRightInd/>
              <w:snapToGrid/>
              <w:spacing w:line="460" w:lineRule="exact"/>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表4-</w:t>
            </w:r>
            <w:r>
              <w:rPr>
                <w:rFonts w:hint="default" w:ascii="Times New Roman" w:hAnsi="Times New Roman" w:cs="Times New Roman"/>
                <w:b/>
                <w:color w:val="auto"/>
                <w:sz w:val="21"/>
                <w:szCs w:val="21"/>
                <w:lang w:val="en-US" w:eastAsia="zh-CN"/>
              </w:rPr>
              <w:t>3</w:t>
            </w:r>
            <w:r>
              <w:rPr>
                <w:rFonts w:hint="default" w:ascii="Times New Roman" w:hAnsi="Times New Roman" w:eastAsia="宋体" w:cs="Times New Roman"/>
                <w:b/>
                <w:color w:val="auto"/>
                <w:sz w:val="21"/>
                <w:szCs w:val="21"/>
              </w:rPr>
              <w:t xml:space="preserve">  项目排气筒设置情况一览表</w:t>
            </w:r>
          </w:p>
          <w:tbl>
            <w:tblPr>
              <w:tblStyle w:val="24"/>
              <w:tblW w:w="50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6"/>
              <w:gridCol w:w="1337"/>
              <w:gridCol w:w="1383"/>
              <w:gridCol w:w="972"/>
              <w:gridCol w:w="1074"/>
              <w:gridCol w:w="708"/>
              <w:gridCol w:w="14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92" w:type="pct"/>
                  <w:vMerge w:val="restart"/>
                  <w:vAlign w:val="center"/>
                </w:tcPr>
                <w:p>
                  <w:pPr>
                    <w:adjustRightInd w:val="0"/>
                    <w:snapToGrid w:val="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排放口</w:t>
                  </w:r>
                </w:p>
                <w:p>
                  <w:pPr>
                    <w:adjustRightInd w:val="0"/>
                    <w:snapToGrid w:val="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名称（编号）</w:t>
                  </w:r>
                </w:p>
              </w:tc>
              <w:tc>
                <w:tcPr>
                  <w:tcW w:w="1663" w:type="pct"/>
                  <w:gridSpan w:val="2"/>
                  <w:vAlign w:val="center"/>
                </w:tcPr>
                <w:p>
                  <w:pPr>
                    <w:adjustRightInd w:val="0"/>
                    <w:snapToGrid w:val="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排放口地理位置</w:t>
                  </w:r>
                </w:p>
              </w:tc>
              <w:tc>
                <w:tcPr>
                  <w:tcW w:w="594" w:type="pct"/>
                  <w:vMerge w:val="restart"/>
                  <w:vAlign w:val="center"/>
                </w:tcPr>
                <w:p>
                  <w:pPr>
                    <w:adjustRightInd w:val="0"/>
                    <w:snapToGrid w:val="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排气筒高度m</w:t>
                  </w:r>
                </w:p>
              </w:tc>
              <w:tc>
                <w:tcPr>
                  <w:tcW w:w="656" w:type="pct"/>
                  <w:vMerge w:val="restart"/>
                  <w:vAlign w:val="center"/>
                </w:tcPr>
                <w:p>
                  <w:pPr>
                    <w:adjustRightInd w:val="0"/>
                    <w:snapToGrid w:val="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排气筒出口内径m</w:t>
                  </w:r>
                </w:p>
              </w:tc>
              <w:tc>
                <w:tcPr>
                  <w:tcW w:w="432" w:type="pct"/>
                  <w:vMerge w:val="restart"/>
                  <w:vAlign w:val="center"/>
                </w:tcPr>
                <w:p>
                  <w:pPr>
                    <w:adjustRightInd w:val="0"/>
                    <w:snapToGrid w:val="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排气温度℃</w:t>
                  </w:r>
                </w:p>
              </w:tc>
              <w:tc>
                <w:tcPr>
                  <w:tcW w:w="860" w:type="pct"/>
                  <w:vMerge w:val="restart"/>
                  <w:vAlign w:val="center"/>
                </w:tcPr>
                <w:p>
                  <w:pPr>
                    <w:adjustRightInd w:val="0"/>
                    <w:snapToGrid w:val="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排口类型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792" w:type="pct"/>
                  <w:vMerge w:val="continue"/>
                  <w:vAlign w:val="center"/>
                </w:tcPr>
                <w:p>
                  <w:pPr>
                    <w:adjustRightInd w:val="0"/>
                    <w:snapToGrid w:val="0"/>
                    <w:jc w:val="center"/>
                    <w:rPr>
                      <w:rFonts w:hint="default" w:ascii="Times New Roman" w:hAnsi="Times New Roman" w:cs="Times New Roman"/>
                      <w:b/>
                      <w:bCs/>
                      <w:color w:val="000000" w:themeColor="text1"/>
                      <w:kern w:val="0"/>
                      <w:sz w:val="21"/>
                      <w:szCs w:val="21"/>
                      <w14:textFill>
                        <w14:solidFill>
                          <w14:schemeClr w14:val="tx1"/>
                        </w14:solidFill>
                      </w14:textFill>
                    </w:rPr>
                  </w:pPr>
                </w:p>
              </w:tc>
              <w:tc>
                <w:tcPr>
                  <w:tcW w:w="817" w:type="pct"/>
                  <w:vAlign w:val="center"/>
                </w:tcPr>
                <w:p>
                  <w:pPr>
                    <w:adjustRightInd w:val="0"/>
                    <w:snapToGrid w:val="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经度°</w:t>
                  </w:r>
                </w:p>
              </w:tc>
              <w:tc>
                <w:tcPr>
                  <w:tcW w:w="845" w:type="pct"/>
                  <w:vAlign w:val="center"/>
                </w:tcPr>
                <w:p>
                  <w:pPr>
                    <w:adjustRightInd w:val="0"/>
                    <w:snapToGrid w:val="0"/>
                    <w:jc w:val="center"/>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纬度°</w:t>
                  </w:r>
                </w:p>
              </w:tc>
              <w:tc>
                <w:tcPr>
                  <w:tcW w:w="594" w:type="pct"/>
                  <w:vMerge w:val="continue"/>
                  <w:vAlign w:val="center"/>
                </w:tcPr>
                <w:p>
                  <w:pPr>
                    <w:adjustRightInd w:val="0"/>
                    <w:snapToGrid w:val="0"/>
                    <w:jc w:val="center"/>
                    <w:rPr>
                      <w:rFonts w:hint="default" w:ascii="Times New Roman" w:hAnsi="Times New Roman" w:cs="Times New Roman"/>
                      <w:color w:val="000000" w:themeColor="text1"/>
                      <w:kern w:val="0"/>
                      <w:sz w:val="21"/>
                      <w:szCs w:val="21"/>
                      <w14:textFill>
                        <w14:solidFill>
                          <w14:schemeClr w14:val="tx1"/>
                        </w14:solidFill>
                      </w14:textFill>
                    </w:rPr>
                  </w:pPr>
                </w:p>
              </w:tc>
              <w:tc>
                <w:tcPr>
                  <w:tcW w:w="656" w:type="pct"/>
                  <w:vMerge w:val="continue"/>
                  <w:vAlign w:val="center"/>
                </w:tcPr>
                <w:p>
                  <w:pPr>
                    <w:adjustRightInd w:val="0"/>
                    <w:snapToGrid w:val="0"/>
                    <w:jc w:val="center"/>
                    <w:rPr>
                      <w:rFonts w:hint="default" w:ascii="Times New Roman" w:hAnsi="Times New Roman" w:cs="Times New Roman"/>
                      <w:color w:val="000000" w:themeColor="text1"/>
                      <w:kern w:val="0"/>
                      <w:sz w:val="21"/>
                      <w:szCs w:val="21"/>
                      <w14:textFill>
                        <w14:solidFill>
                          <w14:schemeClr w14:val="tx1"/>
                        </w14:solidFill>
                      </w14:textFill>
                    </w:rPr>
                  </w:pPr>
                </w:p>
              </w:tc>
              <w:tc>
                <w:tcPr>
                  <w:tcW w:w="432" w:type="pct"/>
                  <w:vMerge w:val="continue"/>
                  <w:vAlign w:val="center"/>
                </w:tcPr>
                <w:p>
                  <w:pPr>
                    <w:adjustRightInd w:val="0"/>
                    <w:snapToGrid w:val="0"/>
                    <w:jc w:val="center"/>
                    <w:rPr>
                      <w:rFonts w:hint="default" w:ascii="Times New Roman" w:hAnsi="Times New Roman" w:cs="Times New Roman"/>
                      <w:color w:val="000000" w:themeColor="text1"/>
                      <w:kern w:val="0"/>
                      <w:sz w:val="21"/>
                      <w:szCs w:val="21"/>
                      <w14:textFill>
                        <w14:solidFill>
                          <w14:schemeClr w14:val="tx1"/>
                        </w14:solidFill>
                      </w14:textFill>
                    </w:rPr>
                  </w:pPr>
                </w:p>
              </w:tc>
              <w:tc>
                <w:tcPr>
                  <w:tcW w:w="860" w:type="pct"/>
                  <w:vMerge w:val="continue"/>
                  <w:vAlign w:val="center"/>
                </w:tcPr>
                <w:p>
                  <w:pPr>
                    <w:adjustRightInd w:val="0"/>
                    <w:snapToGrid w:val="0"/>
                    <w:jc w:val="center"/>
                    <w:rPr>
                      <w:rFonts w:hint="default" w:ascii="Times New Roman" w:hAnsi="Times New Roman" w:cs="Times New Roman"/>
                      <w:color w:val="000000" w:themeColor="text1"/>
                      <w:kern w:val="0"/>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92" w:type="pct"/>
                  <w:vAlign w:val="center"/>
                </w:tcPr>
                <w:p>
                  <w:pPr>
                    <w:adjustRightInd w:val="0"/>
                    <w:snapToGrid w:val="0"/>
                    <w:spacing w:line="320" w:lineRule="exact"/>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bCs/>
                      <w:color w:val="000000"/>
                      <w:kern w:val="0"/>
                      <w:sz w:val="21"/>
                      <w:szCs w:val="21"/>
                      <w:lang w:val="en-US" w:eastAsia="zh-CN"/>
                    </w:rPr>
                    <w:t>DA002</w:t>
                  </w:r>
                </w:p>
              </w:tc>
              <w:tc>
                <w:tcPr>
                  <w:tcW w:w="817" w:type="pct"/>
                  <w:vAlign w:val="center"/>
                </w:tcPr>
                <w:p>
                  <w:pPr>
                    <w:adjustRightInd w:val="0"/>
                    <w:snapToGrid w:val="0"/>
                    <w:spacing w:line="320" w:lineRule="exact"/>
                    <w:jc w:val="center"/>
                    <w:rPr>
                      <w:rFonts w:hint="default" w:ascii="Times New Roman" w:hAnsi="Times New Roman" w:eastAsia="宋体" w:cs="Times New Roman"/>
                      <w:bCs/>
                      <w:color w:val="000000"/>
                      <w:kern w:val="0"/>
                      <w:sz w:val="21"/>
                      <w:szCs w:val="21"/>
                      <w:lang w:val="en-US" w:eastAsia="zh-CN"/>
                    </w:rPr>
                  </w:pPr>
                  <w:r>
                    <w:rPr>
                      <w:rFonts w:hint="default" w:ascii="Times New Roman" w:hAnsi="Times New Roman" w:eastAsia="宋体" w:cs="Times New Roman"/>
                      <w:bCs/>
                      <w:color w:val="000000"/>
                      <w:kern w:val="0"/>
                      <w:sz w:val="21"/>
                      <w:szCs w:val="21"/>
                      <w:lang w:val="en-US" w:eastAsia="zh-CN"/>
                    </w:rPr>
                    <w:t>119.309412</w:t>
                  </w:r>
                </w:p>
              </w:tc>
              <w:tc>
                <w:tcPr>
                  <w:tcW w:w="845" w:type="pct"/>
                  <w:vAlign w:val="center"/>
                </w:tcPr>
                <w:p>
                  <w:pPr>
                    <w:adjustRightInd w:val="0"/>
                    <w:snapToGrid w:val="0"/>
                    <w:spacing w:line="320" w:lineRule="exact"/>
                    <w:jc w:val="center"/>
                    <w:rPr>
                      <w:rFonts w:hint="default" w:ascii="Times New Roman" w:hAnsi="Times New Roman" w:eastAsia="宋体" w:cs="Times New Roman"/>
                      <w:bCs/>
                      <w:color w:val="000000"/>
                      <w:kern w:val="0"/>
                      <w:sz w:val="21"/>
                      <w:szCs w:val="21"/>
                      <w:lang w:val="en-US" w:eastAsia="zh-CN"/>
                    </w:rPr>
                  </w:pPr>
                  <w:r>
                    <w:rPr>
                      <w:rFonts w:hint="default" w:ascii="Times New Roman" w:hAnsi="Times New Roman" w:eastAsia="宋体" w:cs="Times New Roman"/>
                      <w:bCs/>
                      <w:color w:val="000000"/>
                      <w:kern w:val="0"/>
                      <w:sz w:val="21"/>
                      <w:szCs w:val="21"/>
                      <w:lang w:val="en-US" w:eastAsia="zh-CN"/>
                    </w:rPr>
                    <w:t>34.719636</w:t>
                  </w:r>
                </w:p>
              </w:tc>
              <w:tc>
                <w:tcPr>
                  <w:tcW w:w="594" w:type="pct"/>
                  <w:vAlign w:val="center"/>
                </w:tcPr>
                <w:p>
                  <w:pPr>
                    <w:adjustRightInd w:val="0"/>
                    <w:snapToGrid w:val="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15</w:t>
                  </w:r>
                </w:p>
              </w:tc>
              <w:tc>
                <w:tcPr>
                  <w:tcW w:w="656" w:type="pct"/>
                  <w:vAlign w:val="center"/>
                </w:tcPr>
                <w:p>
                  <w:pPr>
                    <w:adjustRightInd w:val="0"/>
                    <w:snapToGrid w:val="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w:t>
                  </w:r>
                  <w:r>
                    <w:rPr>
                      <w:rFonts w:hint="default" w:ascii="Times New Roman" w:hAnsi="Times New Roman" w:cs="Times New Roman"/>
                      <w:color w:val="000000" w:themeColor="text1"/>
                      <w:kern w:val="0"/>
                      <w:sz w:val="21"/>
                      <w:szCs w:val="21"/>
                      <w:lang w:val="en-US" w:eastAsia="zh-CN"/>
                      <w14:textFill>
                        <w14:solidFill>
                          <w14:schemeClr w14:val="tx1"/>
                        </w14:solidFill>
                      </w14:textFill>
                    </w:rPr>
                    <w:t>3</w:t>
                  </w:r>
                </w:p>
              </w:tc>
              <w:tc>
                <w:tcPr>
                  <w:tcW w:w="432" w:type="pct"/>
                  <w:vAlign w:val="center"/>
                </w:tcPr>
                <w:p>
                  <w:pPr>
                    <w:adjustRightInd w:val="0"/>
                    <w:snapToGrid w:val="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25</w:t>
                  </w:r>
                </w:p>
              </w:tc>
              <w:tc>
                <w:tcPr>
                  <w:tcW w:w="860" w:type="pct"/>
                  <w:vAlign w:val="center"/>
                </w:tcPr>
                <w:p>
                  <w:pPr>
                    <w:adjustRightInd w:val="0"/>
                    <w:snapToGrid w:val="0"/>
                    <w:jc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一般排放口</w:t>
                  </w:r>
                </w:p>
              </w:tc>
            </w:tr>
          </w:tbl>
          <w:p>
            <w:pPr>
              <w:keepNext w:val="0"/>
              <w:keepLines w:val="0"/>
              <w:pageBreakBefore w:val="0"/>
              <w:widowControl w:val="0"/>
              <w:suppressLineNumbers w:val="0"/>
              <w:tabs>
                <w:tab w:val="left" w:pos="3060"/>
              </w:tabs>
              <w:kinsoku/>
              <w:wordWrap/>
              <w:overflowPunct/>
              <w:topLinePunct w:val="0"/>
              <w:autoSpaceDE/>
              <w:autoSpaceDN/>
              <w:bidi w:val="0"/>
              <w:adjustRightInd/>
              <w:snapToGrid/>
              <w:spacing w:before="0" w:beforeAutospacing="0" w:after="0" w:afterAutospacing="0" w:line="460" w:lineRule="exact"/>
              <w:ind w:left="0" w:right="0" w:firstLine="482" w:firstLineChars="200"/>
              <w:jc w:val="both"/>
              <w:textAlignment w:val="auto"/>
              <w:rPr>
                <w:rFonts w:hint="default" w:ascii="Times New Roman" w:hAnsi="Times New Roman" w:eastAsia="宋体" w:cs="Times New Roman"/>
                <w:b/>
                <w:bCs/>
                <w:color w:val="auto"/>
                <w:sz w:val="24"/>
                <w:lang w:eastAsia="zh-CN"/>
              </w:rPr>
            </w:pPr>
            <w:r>
              <w:rPr>
                <w:rFonts w:hint="default" w:ascii="Times New Roman" w:hAnsi="Times New Roman" w:cs="Times New Roman"/>
                <w:b/>
                <w:bCs/>
                <w:color w:val="000000" w:themeColor="text1"/>
                <w:sz w:val="24"/>
                <w14:textFill>
                  <w14:solidFill>
                    <w14:schemeClr w14:val="tx1"/>
                  </w14:solidFill>
                </w14:textFill>
              </w:rPr>
              <w:t>1.</w:t>
            </w:r>
            <w:r>
              <w:rPr>
                <w:rFonts w:hint="default" w:ascii="Times New Roman" w:hAnsi="Times New Roman" w:eastAsia="宋体" w:cs="Times New Roman"/>
                <w:b/>
                <w:bCs/>
                <w:color w:val="000000" w:themeColor="text1"/>
                <w:sz w:val="24"/>
                <w:lang w:val="en-US" w:eastAsia="zh-CN"/>
                <w14:textFill>
                  <w14:solidFill>
                    <w14:schemeClr w14:val="tx1"/>
                  </w14:solidFill>
                </w14:textFill>
              </w:rPr>
              <w:t>3</w:t>
            </w:r>
            <w:r>
              <w:rPr>
                <w:rFonts w:hint="default" w:ascii="Times New Roman" w:hAnsi="Times New Roman" w:eastAsia="宋体" w:cs="Times New Roman"/>
                <w:b/>
                <w:bCs/>
                <w:color w:val="auto"/>
                <w:sz w:val="24"/>
                <w:lang w:eastAsia="zh-CN"/>
              </w:rPr>
              <w:t>正常工况下废气达标分析</w:t>
            </w:r>
          </w:p>
          <w:p>
            <w:pPr>
              <w:keepNext w:val="0"/>
              <w:keepLines w:val="0"/>
              <w:pageBreakBefore w:val="0"/>
              <w:widowControl w:val="0"/>
              <w:suppressLineNumbers w:val="0"/>
              <w:tabs>
                <w:tab w:val="left" w:pos="3060"/>
              </w:tabs>
              <w:kinsoku/>
              <w:wordWrap/>
              <w:overflowPunct/>
              <w:topLinePunct w:val="0"/>
              <w:autoSpaceDE/>
              <w:autoSpaceDN/>
              <w:bidi w:val="0"/>
              <w:adjustRightInd/>
              <w:snapToGrid/>
              <w:spacing w:before="0" w:beforeAutospacing="0" w:after="0" w:afterAutospacing="0" w:line="460" w:lineRule="exact"/>
              <w:ind w:left="0" w:right="0" w:firstLine="480" w:firstLineChars="200"/>
              <w:jc w:val="both"/>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本项目共</w:t>
            </w:r>
            <w:r>
              <w:rPr>
                <w:rFonts w:hint="eastAsia" w:ascii="Times New Roman" w:hAnsi="Times New Roman" w:cs="Times New Roman"/>
                <w:color w:val="auto"/>
                <w:sz w:val="24"/>
                <w:lang w:val="en-US" w:eastAsia="zh-CN"/>
              </w:rPr>
              <w:t>新增</w:t>
            </w:r>
            <w:r>
              <w:rPr>
                <w:rFonts w:hint="default" w:ascii="Times New Roman" w:hAnsi="Times New Roman" w:eastAsia="宋体" w:cs="Times New Roman"/>
                <w:color w:val="auto"/>
                <w:sz w:val="24"/>
                <w:lang w:val="en-US" w:eastAsia="zh-CN"/>
              </w:rPr>
              <w:t>设置</w:t>
            </w:r>
            <w:r>
              <w:rPr>
                <w:rFonts w:hint="eastAsia" w:ascii="Times New Roman" w:hAnsi="Times New Roman" w:cs="Times New Roman"/>
                <w:color w:val="auto"/>
                <w:sz w:val="24"/>
                <w:lang w:val="en-US" w:eastAsia="zh-CN"/>
              </w:rPr>
              <w:t>1</w:t>
            </w:r>
            <w:r>
              <w:rPr>
                <w:rFonts w:hint="default" w:ascii="Times New Roman" w:hAnsi="Times New Roman" w:eastAsia="宋体" w:cs="Times New Roman"/>
                <w:color w:val="auto"/>
                <w:sz w:val="24"/>
                <w:lang w:val="en-US" w:eastAsia="zh-CN"/>
              </w:rPr>
              <w:t>个排气筒，</w:t>
            </w:r>
            <w:r>
              <w:rPr>
                <w:rFonts w:hint="eastAsia" w:ascii="Times New Roman" w:hAnsi="Times New Roman" w:cs="Times New Roman"/>
                <w:color w:val="auto"/>
                <w:sz w:val="24"/>
                <w:lang w:val="en-US" w:eastAsia="zh-CN"/>
              </w:rPr>
              <w:t>其中</w:t>
            </w:r>
            <w:r>
              <w:rPr>
                <w:rFonts w:hint="default" w:ascii="Times New Roman" w:hAnsi="Times New Roman" w:eastAsia="宋体" w:cs="Times New Roman"/>
                <w:color w:val="auto"/>
                <w:sz w:val="24"/>
                <w:lang w:val="en-US" w:eastAsia="zh-CN"/>
              </w:rPr>
              <w:t>废气达标分析情况见表4-</w:t>
            </w:r>
            <w:r>
              <w:rPr>
                <w:rFonts w:hint="default" w:ascii="Times New Roman" w:hAnsi="Times New Roman" w:cs="Times New Roman"/>
                <w:color w:val="auto"/>
                <w:sz w:val="24"/>
                <w:lang w:val="en-US" w:eastAsia="zh-CN"/>
              </w:rPr>
              <w:t>4</w:t>
            </w:r>
            <w:r>
              <w:rPr>
                <w:rFonts w:hint="default" w:ascii="Times New Roman" w:hAnsi="Times New Roman" w:eastAsia="宋体" w:cs="Times New Roman"/>
                <w:color w:val="auto"/>
                <w:sz w:val="24"/>
                <w:lang w:val="en-US" w:eastAsia="zh-CN"/>
              </w:rPr>
              <w:t>。</w:t>
            </w:r>
          </w:p>
          <w:p>
            <w:pPr>
              <w:keepNext w:val="0"/>
              <w:keepLines w:val="0"/>
              <w:pageBreakBefore w:val="0"/>
              <w:widowControl w:val="0"/>
              <w:tabs>
                <w:tab w:val="left" w:pos="2512"/>
              </w:tabs>
              <w:kinsoku/>
              <w:wordWrap/>
              <w:overflowPunct/>
              <w:topLinePunct w:val="0"/>
              <w:autoSpaceDE/>
              <w:autoSpaceDN/>
              <w:bidi w:val="0"/>
              <w:adjustRightInd/>
              <w:snapToGrid/>
              <w:spacing w:line="460" w:lineRule="exact"/>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表4-</w:t>
            </w:r>
            <w:r>
              <w:rPr>
                <w:rFonts w:hint="default" w:ascii="Times New Roman" w:hAnsi="Times New Roman" w:cs="Times New Roman"/>
                <w:b/>
                <w:color w:val="auto"/>
                <w:sz w:val="21"/>
                <w:szCs w:val="21"/>
                <w:lang w:val="en-US" w:eastAsia="zh-CN"/>
              </w:rPr>
              <w:t>4</w:t>
            </w:r>
            <w:r>
              <w:rPr>
                <w:rFonts w:hint="default" w:ascii="Times New Roman" w:hAnsi="Times New Roman" w:eastAsia="宋体" w:cs="Times New Roman"/>
                <w:b/>
                <w:color w:val="auto"/>
                <w:sz w:val="21"/>
                <w:szCs w:val="21"/>
                <w:lang w:val="en-US" w:eastAsia="zh-CN"/>
              </w:rPr>
              <w:t xml:space="preserve">  项目污染物排放达标情况一览表</w:t>
            </w:r>
          </w:p>
          <w:tbl>
            <w:tblPr>
              <w:tblStyle w:val="24"/>
              <w:tblW w:w="81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9"/>
              <w:gridCol w:w="1061"/>
              <w:gridCol w:w="1083"/>
              <w:gridCol w:w="987"/>
              <w:gridCol w:w="1700"/>
              <w:gridCol w:w="846"/>
              <w:gridCol w:w="941"/>
              <w:gridCol w:w="6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9"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ajorEastAsia"/>
                      <w:b/>
                      <w:bCs/>
                      <w:color w:val="auto"/>
                      <w:kern w:val="0"/>
                      <w:sz w:val="21"/>
                      <w:szCs w:val="21"/>
                      <w:lang w:val="en-US" w:eastAsia="zh-CN"/>
                    </w:rPr>
                  </w:pPr>
                  <w:r>
                    <w:rPr>
                      <w:rFonts w:hint="default" w:ascii="Times New Roman" w:hAnsi="Times New Roman" w:cs="Times New Roman" w:eastAsiaTheme="majorEastAsia"/>
                      <w:b/>
                      <w:bCs/>
                      <w:color w:val="auto"/>
                      <w:kern w:val="0"/>
                      <w:sz w:val="21"/>
                      <w:szCs w:val="21"/>
                      <w:lang w:val="en-US" w:eastAsia="zh-CN"/>
                    </w:rPr>
                    <w:t>污染源</w:t>
                  </w:r>
                </w:p>
              </w:tc>
              <w:tc>
                <w:tcPr>
                  <w:tcW w:w="1061"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ajorEastAsia"/>
                      <w:b/>
                      <w:bCs/>
                      <w:color w:val="auto"/>
                      <w:kern w:val="0"/>
                      <w:sz w:val="21"/>
                      <w:szCs w:val="21"/>
                      <w:lang w:val="en-US" w:eastAsia="zh-CN"/>
                    </w:rPr>
                  </w:pPr>
                  <w:r>
                    <w:rPr>
                      <w:rFonts w:hint="default" w:ascii="Times New Roman" w:hAnsi="Times New Roman" w:cs="Times New Roman" w:eastAsiaTheme="majorEastAsia"/>
                      <w:b/>
                      <w:bCs/>
                      <w:color w:val="auto"/>
                      <w:kern w:val="0"/>
                      <w:sz w:val="21"/>
                      <w:szCs w:val="21"/>
                      <w:lang w:val="en-US" w:eastAsia="zh-CN"/>
                    </w:rPr>
                    <w:t>污染物</w:t>
                  </w:r>
                </w:p>
              </w:tc>
              <w:tc>
                <w:tcPr>
                  <w:tcW w:w="1083"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ajorEastAsia"/>
                      <w:b/>
                      <w:bCs/>
                      <w:color w:val="auto"/>
                      <w:kern w:val="0"/>
                      <w:sz w:val="21"/>
                      <w:szCs w:val="21"/>
                      <w:lang w:val="en-US" w:eastAsia="zh-CN"/>
                    </w:rPr>
                  </w:pPr>
                  <w:r>
                    <w:rPr>
                      <w:rFonts w:hint="default" w:ascii="Times New Roman" w:hAnsi="Times New Roman" w:cs="Times New Roman" w:eastAsiaTheme="majorEastAsia"/>
                      <w:b/>
                      <w:bCs/>
                      <w:color w:val="auto"/>
                      <w:kern w:val="0"/>
                      <w:sz w:val="21"/>
                      <w:szCs w:val="21"/>
                      <w:lang w:val="en-US" w:eastAsia="zh-CN"/>
                    </w:rPr>
                    <w:t>排放浓度</w:t>
                  </w:r>
                  <w:r>
                    <w:rPr>
                      <w:rFonts w:hint="default" w:ascii="Times New Roman" w:hAnsi="Times New Roman" w:cs="Times New Roman" w:eastAsiaTheme="majorEastAsia"/>
                      <w:b/>
                      <w:bCs/>
                      <w:color w:val="auto"/>
                      <w:sz w:val="21"/>
                      <w:szCs w:val="21"/>
                      <w:vertAlign w:val="baseline"/>
                      <w:lang w:val="en-US" w:eastAsia="zh-CN"/>
                    </w:rPr>
                    <w:t>mg/m</w:t>
                  </w:r>
                  <w:r>
                    <w:rPr>
                      <w:rFonts w:hint="default" w:ascii="Times New Roman" w:hAnsi="Times New Roman" w:cs="Times New Roman" w:eastAsiaTheme="majorEastAsia"/>
                      <w:b/>
                      <w:bCs/>
                      <w:color w:val="auto"/>
                      <w:sz w:val="21"/>
                      <w:szCs w:val="21"/>
                      <w:vertAlign w:val="superscript"/>
                      <w:lang w:val="en-US" w:eastAsia="zh-CN"/>
                    </w:rPr>
                    <w:t>3</w:t>
                  </w:r>
                </w:p>
              </w:tc>
              <w:tc>
                <w:tcPr>
                  <w:tcW w:w="987"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ajorEastAsia"/>
                      <w:b/>
                      <w:bCs/>
                      <w:color w:val="auto"/>
                      <w:kern w:val="0"/>
                      <w:sz w:val="21"/>
                      <w:szCs w:val="21"/>
                      <w:lang w:val="en-US" w:eastAsia="zh-CN"/>
                    </w:rPr>
                  </w:pPr>
                  <w:r>
                    <w:rPr>
                      <w:rFonts w:hint="default" w:ascii="Times New Roman" w:hAnsi="Times New Roman" w:cs="Times New Roman" w:eastAsiaTheme="majorEastAsia"/>
                      <w:b/>
                      <w:bCs/>
                      <w:color w:val="auto"/>
                      <w:kern w:val="0"/>
                      <w:sz w:val="21"/>
                      <w:szCs w:val="21"/>
                      <w:lang w:val="en-US" w:eastAsia="zh-CN"/>
                    </w:rPr>
                    <w:t>排放速率</w:t>
                  </w:r>
                  <w:r>
                    <w:rPr>
                      <w:rFonts w:hint="default" w:ascii="Times New Roman" w:hAnsi="Times New Roman" w:cs="Times New Roman"/>
                      <w:b/>
                      <w:bCs/>
                      <w:color w:val="auto"/>
                      <w:sz w:val="21"/>
                      <w:szCs w:val="21"/>
                    </w:rPr>
                    <w:t>kg/h</w:t>
                  </w:r>
                </w:p>
              </w:tc>
              <w:tc>
                <w:tcPr>
                  <w:tcW w:w="1700"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ajorEastAsia"/>
                      <w:b/>
                      <w:bCs/>
                      <w:color w:val="auto"/>
                      <w:kern w:val="0"/>
                      <w:sz w:val="21"/>
                      <w:szCs w:val="21"/>
                      <w:lang w:val="en-US" w:eastAsia="zh-CN"/>
                    </w:rPr>
                  </w:pPr>
                  <w:r>
                    <w:rPr>
                      <w:rFonts w:hint="default" w:ascii="Times New Roman" w:hAnsi="Times New Roman" w:cs="Times New Roman" w:eastAsiaTheme="majorEastAsia"/>
                      <w:b/>
                      <w:bCs/>
                      <w:color w:val="auto"/>
                      <w:kern w:val="0"/>
                      <w:sz w:val="21"/>
                      <w:szCs w:val="21"/>
                      <w:lang w:val="en-US" w:eastAsia="zh-CN"/>
                    </w:rPr>
                    <w:t>执行标准</w:t>
                  </w:r>
                </w:p>
              </w:tc>
              <w:tc>
                <w:tcPr>
                  <w:tcW w:w="846"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ajorEastAsia"/>
                      <w:b/>
                      <w:bCs/>
                      <w:color w:val="auto"/>
                      <w:kern w:val="0"/>
                      <w:sz w:val="21"/>
                      <w:szCs w:val="21"/>
                      <w:lang w:val="en-US" w:eastAsia="zh-CN"/>
                    </w:rPr>
                  </w:pPr>
                  <w:r>
                    <w:rPr>
                      <w:rFonts w:hint="default" w:ascii="Times New Roman" w:hAnsi="Times New Roman" w:cs="Times New Roman" w:eastAsiaTheme="majorEastAsia"/>
                      <w:b/>
                      <w:bCs/>
                      <w:color w:val="auto"/>
                      <w:kern w:val="0"/>
                      <w:sz w:val="21"/>
                      <w:szCs w:val="21"/>
                      <w:lang w:val="en-US" w:eastAsia="zh-CN"/>
                    </w:rPr>
                    <w:t>浓度限值</w:t>
                  </w:r>
                  <w:r>
                    <w:rPr>
                      <w:rFonts w:hint="default" w:ascii="Times New Roman" w:hAnsi="Times New Roman" w:cs="Times New Roman" w:eastAsiaTheme="majorEastAsia"/>
                      <w:b/>
                      <w:bCs/>
                      <w:color w:val="auto"/>
                      <w:sz w:val="21"/>
                      <w:szCs w:val="21"/>
                      <w:vertAlign w:val="baseline"/>
                      <w:lang w:val="en-US" w:eastAsia="zh-CN"/>
                    </w:rPr>
                    <w:t>mg/m</w:t>
                  </w:r>
                  <w:r>
                    <w:rPr>
                      <w:rFonts w:hint="default" w:ascii="Times New Roman" w:hAnsi="Times New Roman" w:cs="Times New Roman" w:eastAsiaTheme="majorEastAsia"/>
                      <w:b/>
                      <w:bCs/>
                      <w:color w:val="auto"/>
                      <w:sz w:val="21"/>
                      <w:szCs w:val="21"/>
                      <w:vertAlign w:val="superscript"/>
                      <w:lang w:val="en-US" w:eastAsia="zh-CN"/>
                    </w:rPr>
                    <w:t>3</w:t>
                  </w:r>
                </w:p>
              </w:tc>
              <w:tc>
                <w:tcPr>
                  <w:tcW w:w="941"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ajorEastAsia"/>
                      <w:b/>
                      <w:bCs/>
                      <w:color w:val="auto"/>
                      <w:kern w:val="0"/>
                      <w:sz w:val="21"/>
                      <w:szCs w:val="21"/>
                      <w:lang w:val="en-US" w:eastAsia="zh-CN"/>
                    </w:rPr>
                  </w:pPr>
                  <w:r>
                    <w:rPr>
                      <w:rFonts w:hint="default" w:ascii="Times New Roman" w:hAnsi="Times New Roman" w:cs="Times New Roman" w:eastAsiaTheme="majorEastAsia"/>
                      <w:b/>
                      <w:bCs/>
                      <w:color w:val="auto"/>
                      <w:kern w:val="0"/>
                      <w:sz w:val="21"/>
                      <w:szCs w:val="21"/>
                      <w:lang w:val="en-US" w:eastAsia="zh-CN"/>
                    </w:rPr>
                    <w:t>速率限值</w:t>
                  </w:r>
                  <w:r>
                    <w:rPr>
                      <w:rFonts w:hint="default" w:ascii="Times New Roman" w:hAnsi="Times New Roman" w:cs="Times New Roman"/>
                      <w:b/>
                      <w:bCs/>
                      <w:color w:val="auto"/>
                      <w:sz w:val="21"/>
                      <w:szCs w:val="21"/>
                    </w:rPr>
                    <w:t>kg/h</w:t>
                  </w:r>
                </w:p>
              </w:tc>
              <w:tc>
                <w:tcPr>
                  <w:tcW w:w="673"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ajorEastAsia"/>
                      <w:b/>
                      <w:bCs/>
                      <w:color w:val="auto"/>
                      <w:kern w:val="0"/>
                      <w:sz w:val="21"/>
                      <w:szCs w:val="21"/>
                      <w:lang w:val="en-US" w:eastAsia="zh-CN"/>
                    </w:rPr>
                  </w:pPr>
                  <w:r>
                    <w:rPr>
                      <w:rFonts w:hint="default" w:ascii="Times New Roman" w:hAnsi="Times New Roman" w:cs="Times New Roman" w:eastAsiaTheme="majorEastAsia"/>
                      <w:b/>
                      <w:bCs/>
                      <w:color w:val="auto"/>
                      <w:kern w:val="0"/>
                      <w:sz w:val="21"/>
                      <w:szCs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899"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ajorEastAsia"/>
                      <w:color w:val="auto"/>
                      <w:kern w:val="0"/>
                      <w:sz w:val="21"/>
                      <w:szCs w:val="21"/>
                      <w:lang w:val="en-US" w:eastAsia="zh-CN"/>
                    </w:rPr>
                  </w:pPr>
                  <w:r>
                    <w:rPr>
                      <w:rFonts w:hint="default" w:ascii="Times New Roman" w:hAnsi="Times New Roman" w:cs="Times New Roman" w:eastAsiaTheme="majorEastAsia"/>
                      <w:color w:val="auto"/>
                      <w:kern w:val="0"/>
                      <w:sz w:val="21"/>
                      <w:szCs w:val="21"/>
                      <w:lang w:val="en-US" w:eastAsia="zh-CN"/>
                    </w:rPr>
                    <w:t>DA002</w:t>
                  </w:r>
                </w:p>
              </w:tc>
              <w:tc>
                <w:tcPr>
                  <w:tcW w:w="1061" w:type="dxa"/>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leftChars="0" w:right="0" w:rightChars="0"/>
                    <w:jc w:val="center"/>
                    <w:textAlignment w:val="auto"/>
                    <w:rPr>
                      <w:rFonts w:hint="default" w:ascii="Times New Roman" w:hAnsi="Times New Roman" w:cs="Times New Roman" w:eastAsiaTheme="majorEastAsia"/>
                      <w:color w:val="auto"/>
                      <w:kern w:val="0"/>
                      <w:sz w:val="21"/>
                      <w:szCs w:val="21"/>
                      <w:lang w:val="en-US" w:eastAsia="zh-CN"/>
                    </w:rPr>
                  </w:pPr>
                  <w:r>
                    <w:rPr>
                      <w:rFonts w:hint="default" w:ascii="Times New Roman" w:hAnsi="Times New Roman" w:cs="Times New Roman"/>
                      <w:color w:val="auto"/>
                      <w:sz w:val="21"/>
                      <w:szCs w:val="21"/>
                      <w:lang w:val="en-US" w:eastAsia="zh-CN"/>
                    </w:rPr>
                    <w:t>非甲烷总烃</w:t>
                  </w:r>
                </w:p>
              </w:tc>
              <w:tc>
                <w:tcPr>
                  <w:tcW w:w="1083" w:type="dxa"/>
                  <w:vAlign w:val="center"/>
                </w:tcPr>
                <w:p>
                  <w:pPr>
                    <w:adjustRightInd w:val="0"/>
                    <w:snapToGrid w:val="0"/>
                    <w:spacing w:line="240" w:lineRule="auto"/>
                    <w:jc w:val="center"/>
                    <w:rPr>
                      <w:rFonts w:hint="default" w:ascii="Times New Roman" w:hAnsi="Times New Roman" w:cs="Times New Roman" w:eastAsiaTheme="majorEastAsia"/>
                      <w:color w:val="auto"/>
                      <w:kern w:val="0"/>
                      <w:sz w:val="21"/>
                      <w:szCs w:val="21"/>
                      <w:lang w:val="en-US" w:eastAsia="zh-CN"/>
                    </w:rPr>
                  </w:pPr>
                  <w:r>
                    <w:rPr>
                      <w:rFonts w:hint="eastAsia" w:ascii="Times New Roman" w:hAnsi="Times New Roman" w:cs="Times New Roman"/>
                      <w:bCs/>
                      <w:color w:val="auto"/>
                      <w:kern w:val="0"/>
                      <w:sz w:val="21"/>
                      <w:szCs w:val="21"/>
                      <w:lang w:val="en-US" w:eastAsia="zh-CN"/>
                    </w:rPr>
                    <w:t>3.92</w:t>
                  </w:r>
                </w:p>
              </w:tc>
              <w:tc>
                <w:tcPr>
                  <w:tcW w:w="987" w:type="dxa"/>
                  <w:vAlign w:val="center"/>
                </w:tcPr>
                <w:p>
                  <w:pPr>
                    <w:adjustRightInd w:val="0"/>
                    <w:snapToGrid w:val="0"/>
                    <w:spacing w:line="240" w:lineRule="auto"/>
                    <w:jc w:val="center"/>
                    <w:rPr>
                      <w:rFonts w:hint="default" w:ascii="Times New Roman" w:hAnsi="Times New Roman" w:cs="Times New Roman" w:eastAsiaTheme="majorEastAsia"/>
                      <w:color w:val="auto"/>
                      <w:kern w:val="0"/>
                      <w:sz w:val="21"/>
                      <w:szCs w:val="21"/>
                      <w:lang w:val="en-US" w:eastAsia="zh-CN"/>
                    </w:rPr>
                  </w:pPr>
                  <w:r>
                    <w:rPr>
                      <w:rFonts w:hint="default" w:ascii="Times New Roman" w:hAnsi="Times New Roman" w:eastAsia="宋体" w:cs="Times New Roman"/>
                      <w:color w:val="auto"/>
                      <w:sz w:val="21"/>
                      <w:szCs w:val="21"/>
                      <w:lang w:val="en-US" w:eastAsia="zh-CN"/>
                    </w:rPr>
                    <w:t>0.</w:t>
                  </w:r>
                  <w:r>
                    <w:rPr>
                      <w:rFonts w:hint="default" w:ascii="Times New Roman" w:hAnsi="Times New Roman" w:cs="Times New Roman"/>
                      <w:color w:val="auto"/>
                      <w:sz w:val="21"/>
                      <w:szCs w:val="21"/>
                      <w:lang w:val="en-US" w:eastAsia="zh-CN"/>
                    </w:rPr>
                    <w:t>0</w:t>
                  </w:r>
                  <w:r>
                    <w:rPr>
                      <w:rFonts w:hint="eastAsia" w:ascii="Times New Roman" w:hAnsi="Times New Roman" w:cs="Times New Roman"/>
                      <w:color w:val="auto"/>
                      <w:sz w:val="21"/>
                      <w:szCs w:val="21"/>
                      <w:lang w:val="en-US" w:eastAsia="zh-CN"/>
                    </w:rPr>
                    <w:t>19</w:t>
                  </w:r>
                </w:p>
              </w:tc>
              <w:tc>
                <w:tcPr>
                  <w:tcW w:w="1700"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ajorEastAsia"/>
                      <w:color w:val="auto"/>
                      <w:kern w:val="0"/>
                      <w:sz w:val="21"/>
                      <w:szCs w:val="21"/>
                      <w:lang w:val="en-US" w:eastAsia="zh-CN"/>
                    </w:rPr>
                  </w:pPr>
                  <w:r>
                    <w:rPr>
                      <w:rFonts w:hint="eastAsia" w:ascii="Times New Roman" w:hAnsi="Times New Roman" w:cs="Times New Roman"/>
                      <w:color w:val="auto"/>
                      <w:sz w:val="21"/>
                      <w:szCs w:val="21"/>
                      <w:lang w:val="en-US" w:eastAsia="zh-CN"/>
                    </w:rPr>
                    <w:t>《工业涂装工序大气污染物排放标准》（DB32/4439-2022）</w:t>
                  </w:r>
                </w:p>
              </w:tc>
              <w:tc>
                <w:tcPr>
                  <w:tcW w:w="846" w:type="dxa"/>
                  <w:vAlign w:val="center"/>
                </w:tcPr>
                <w:p>
                  <w:pPr>
                    <w:adjustRightInd w:val="0"/>
                    <w:jc w:val="center"/>
                    <w:textAlignment w:val="baseline"/>
                    <w:rPr>
                      <w:rFonts w:hint="default" w:ascii="Times New Roman" w:hAnsi="Times New Roman" w:cs="Times New Roman" w:eastAsiaTheme="majorEastAsia"/>
                      <w:color w:val="auto"/>
                      <w:kern w:val="0"/>
                      <w:sz w:val="21"/>
                      <w:szCs w:val="21"/>
                      <w:lang w:val="en-US" w:eastAsia="zh-CN"/>
                    </w:rPr>
                  </w:pPr>
                  <w:r>
                    <w:rPr>
                      <w:rFonts w:hint="eastAsia" w:ascii="Times New Roman" w:hAnsi="Times New Roman" w:cs="Times New Roman"/>
                      <w:bCs/>
                      <w:color w:val="auto"/>
                      <w:szCs w:val="21"/>
                      <w:lang w:val="en-US" w:eastAsia="zh-CN"/>
                    </w:rPr>
                    <w:t>50</w:t>
                  </w:r>
                </w:p>
              </w:tc>
              <w:tc>
                <w:tcPr>
                  <w:tcW w:w="941" w:type="dxa"/>
                  <w:vAlign w:val="center"/>
                </w:tcPr>
                <w:p>
                  <w:pPr>
                    <w:pStyle w:val="7"/>
                    <w:jc w:val="center"/>
                    <w:rPr>
                      <w:rFonts w:hint="default" w:ascii="Times New Roman" w:hAnsi="Times New Roman" w:cs="Times New Roman" w:eastAsiaTheme="majorEastAsia"/>
                      <w:color w:val="auto"/>
                      <w:kern w:val="0"/>
                      <w:sz w:val="21"/>
                      <w:szCs w:val="21"/>
                      <w:lang w:val="en-US" w:eastAsia="zh-CN"/>
                    </w:rPr>
                  </w:pPr>
                  <w:r>
                    <w:rPr>
                      <w:rFonts w:hint="eastAsia" w:ascii="Times New Roman" w:hAnsi="Times New Roman" w:cs="Times New Roman" w:eastAsiaTheme="majorEastAsia"/>
                      <w:color w:val="auto"/>
                      <w:kern w:val="0"/>
                      <w:sz w:val="21"/>
                      <w:szCs w:val="21"/>
                      <w:lang w:val="en-US" w:eastAsia="zh-CN" w:bidi="ar-SA"/>
                    </w:rPr>
                    <w:t>2</w:t>
                  </w:r>
                </w:p>
              </w:tc>
              <w:tc>
                <w:tcPr>
                  <w:tcW w:w="673"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达标</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right="0" w:firstLine="480" w:firstLineChars="200"/>
              <w:jc w:val="both"/>
              <w:textAlignment w:val="auto"/>
              <w:rPr>
                <w:rFonts w:hint="default" w:ascii="Times New Roman" w:hAnsi="Times New Roman" w:eastAsia="宋体" w:cs="Times New Roman"/>
                <w:sz w:val="24"/>
                <w:szCs w:val="24"/>
                <w:lang w:eastAsia="zh-CN"/>
              </w:rPr>
            </w:pPr>
            <w:r>
              <w:rPr>
                <w:rFonts w:hint="default" w:ascii="Times New Roman" w:hAnsi="Times New Roman" w:cs="Times New Roman" w:eastAsiaTheme="majorEastAsia"/>
                <w:color w:val="auto"/>
                <w:sz w:val="24"/>
                <w:szCs w:val="24"/>
                <w:lang w:val="en-US" w:eastAsia="zh-CN"/>
              </w:rPr>
              <w:t>由上表可</w:t>
            </w:r>
            <w:r>
              <w:rPr>
                <w:rFonts w:hint="default" w:ascii="Times New Roman" w:hAnsi="Times New Roman" w:cs="Times New Roman"/>
                <w:color w:val="auto"/>
                <w:sz w:val="24"/>
                <w:lang w:val="en-US" w:eastAsia="zh-CN"/>
              </w:rPr>
              <w:t>知，本项目涂膜、印刷工段产生的非甲烷总烃排放浓度及排放速率满足</w:t>
            </w:r>
            <w:r>
              <w:rPr>
                <w:rFonts w:hint="eastAsia" w:ascii="Times New Roman" w:hAnsi="Times New Roman" w:cs="Times New Roman"/>
                <w:color w:val="auto"/>
                <w:sz w:val="24"/>
                <w:lang w:val="en-US" w:eastAsia="zh-CN"/>
              </w:rPr>
              <w:t>《工业涂装工序大气污染物排放标准》（DB32/4439-2022）表1中的排放标准</w:t>
            </w:r>
            <w:r>
              <w:rPr>
                <w:rFonts w:hint="default" w:ascii="Times New Roman" w:hAnsi="Times New Roman" w:eastAsia="宋体" w:cs="Times New Roman"/>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60" w:lineRule="exact"/>
              <w:ind w:right="0" w:firstLine="480" w:firstLineChars="200"/>
              <w:jc w:val="both"/>
              <w:textAlignment w:val="auto"/>
              <w:rPr>
                <w:rFonts w:hint="default" w:ascii="Times New Roman" w:hAnsi="Times New Roman" w:cs="Times New Roman" w:eastAsiaTheme="majorEastAsia"/>
                <w:color w:val="auto"/>
                <w:sz w:val="24"/>
                <w:szCs w:val="24"/>
                <w:lang w:val="en-US" w:eastAsia="zh-CN"/>
              </w:rPr>
            </w:pPr>
            <w:r>
              <w:rPr>
                <w:rFonts w:hint="default" w:ascii="Times New Roman" w:hAnsi="Times New Roman" w:cs="Times New Roman" w:eastAsiaTheme="majorEastAsia"/>
                <w:color w:val="auto"/>
                <w:sz w:val="24"/>
                <w:szCs w:val="24"/>
                <w:lang w:val="en-US" w:eastAsia="zh-CN"/>
              </w:rPr>
              <w:t>综上，本项目废气全部合理有效处置，达标排放。</w:t>
            </w:r>
          </w:p>
          <w:p>
            <w:pPr>
              <w:tabs>
                <w:tab w:val="left" w:pos="3060"/>
              </w:tabs>
              <w:spacing w:line="460" w:lineRule="exact"/>
              <w:ind w:firstLine="482" w:firstLineChars="200"/>
              <w:jc w:val="both"/>
              <w:rPr>
                <w:rFonts w:hint="default" w:ascii="Times New Roman" w:hAnsi="Times New Roman" w:cs="Times New Roman"/>
                <w:b/>
                <w:bCs/>
                <w:sz w:val="24"/>
              </w:rPr>
            </w:pPr>
            <w:r>
              <w:rPr>
                <w:rFonts w:hint="default" w:ascii="Times New Roman" w:hAnsi="Times New Roman" w:cs="Times New Roman"/>
                <w:b/>
                <w:bCs/>
                <w:sz w:val="24"/>
              </w:rPr>
              <w:t>1.</w:t>
            </w:r>
            <w:r>
              <w:rPr>
                <w:rFonts w:hint="default" w:ascii="Times New Roman" w:hAnsi="Times New Roman" w:eastAsia="宋体" w:cs="Times New Roman"/>
                <w:b/>
                <w:bCs/>
                <w:sz w:val="24"/>
                <w:lang w:val="en-US" w:eastAsia="zh-CN"/>
              </w:rPr>
              <w:t>4</w:t>
            </w:r>
            <w:r>
              <w:rPr>
                <w:rFonts w:hint="default" w:ascii="Times New Roman" w:hAnsi="Times New Roman" w:cs="Times New Roman"/>
                <w:b/>
                <w:bCs/>
                <w:sz w:val="24"/>
              </w:rPr>
              <w:t xml:space="preserve"> 非正常工况下废气排放分析</w:t>
            </w:r>
          </w:p>
          <w:p>
            <w:pPr>
              <w:spacing w:line="500" w:lineRule="exact"/>
              <w:ind w:firstLine="480" w:firstLineChars="200"/>
              <w:jc w:val="both"/>
              <w:rPr>
                <w:rFonts w:hint="default" w:ascii="Times New Roman" w:hAnsi="Times New Roman" w:cs="Times New Roman"/>
                <w:sz w:val="24"/>
              </w:rPr>
            </w:pPr>
            <w:r>
              <w:rPr>
                <w:rFonts w:hint="default" w:ascii="Times New Roman" w:hAnsi="Times New Roman" w:cs="Times New Roman"/>
                <w:sz w:val="24"/>
              </w:rPr>
              <w:t>本项目开车、停车、检修等非正常情况设定为：废气处理系统因部分组件出现故障不能完好运行时而导致对废气的处理效率降为0，非正常排放情况发生频次为1次/年、历时不超过30min。项目非正常排放源强见表4-</w:t>
            </w:r>
            <w:r>
              <w:rPr>
                <w:rFonts w:hint="default" w:ascii="Times New Roman" w:hAnsi="Times New Roman" w:cs="Times New Roman"/>
                <w:sz w:val="24"/>
                <w:lang w:val="en-US" w:eastAsia="zh-CN"/>
              </w:rPr>
              <w:t>5</w:t>
            </w:r>
            <w:r>
              <w:rPr>
                <w:rFonts w:hint="default" w:ascii="Times New Roman" w:hAnsi="Times New Roman" w:cs="Times New Roman"/>
                <w:sz w:val="24"/>
              </w:rPr>
              <w:t>。</w:t>
            </w:r>
          </w:p>
          <w:p>
            <w:pPr>
              <w:keepNext w:val="0"/>
              <w:keepLines w:val="0"/>
              <w:pageBreakBefore w:val="0"/>
              <w:widowControl w:val="0"/>
              <w:tabs>
                <w:tab w:val="left" w:pos="2512"/>
              </w:tabs>
              <w:kinsoku/>
              <w:wordWrap/>
              <w:overflowPunct/>
              <w:topLinePunct w:val="0"/>
              <w:autoSpaceDE/>
              <w:autoSpaceDN/>
              <w:bidi w:val="0"/>
              <w:adjustRightInd/>
              <w:snapToGrid/>
              <w:spacing w:line="460" w:lineRule="exact"/>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表4-</w:t>
            </w:r>
            <w:r>
              <w:rPr>
                <w:rFonts w:hint="default" w:ascii="Times New Roman" w:hAnsi="Times New Roman" w:cs="Times New Roman"/>
                <w:b/>
                <w:color w:val="auto"/>
                <w:sz w:val="21"/>
                <w:szCs w:val="21"/>
                <w:lang w:val="en-US" w:eastAsia="zh-CN"/>
              </w:rPr>
              <w:t>5</w:t>
            </w:r>
            <w:r>
              <w:rPr>
                <w:rFonts w:hint="default" w:ascii="Times New Roman" w:hAnsi="Times New Roman" w:eastAsia="宋体" w:cs="Times New Roman"/>
                <w:b/>
                <w:color w:val="auto"/>
                <w:sz w:val="21"/>
                <w:szCs w:val="21"/>
              </w:rPr>
              <w:t xml:space="preserve"> 非正常情况下废气排放源强</w:t>
            </w:r>
          </w:p>
          <w:tbl>
            <w:tblPr>
              <w:tblStyle w:val="24"/>
              <w:tblW w:w="82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5"/>
              <w:gridCol w:w="1053"/>
              <w:gridCol w:w="828"/>
              <w:gridCol w:w="1108"/>
              <w:gridCol w:w="1089"/>
              <w:gridCol w:w="1064"/>
              <w:gridCol w:w="847"/>
              <w:gridCol w:w="689"/>
              <w:gridCol w:w="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68" w:type="pct"/>
                  <w:vMerge w:val="restart"/>
                  <w:vAlign w:val="center"/>
                </w:tcPr>
                <w:p>
                  <w:pPr>
                    <w:adjustRightInd w:val="0"/>
                    <w:snapToGrid w:val="0"/>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污染源</w:t>
                  </w:r>
                </w:p>
              </w:tc>
              <w:tc>
                <w:tcPr>
                  <w:tcW w:w="640" w:type="pct"/>
                  <w:vMerge w:val="restart"/>
                  <w:vAlign w:val="center"/>
                </w:tcPr>
                <w:p>
                  <w:pPr>
                    <w:adjustRightInd w:val="0"/>
                    <w:snapToGrid w:val="0"/>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非正常排放原因</w:t>
                  </w:r>
                </w:p>
              </w:tc>
              <w:tc>
                <w:tcPr>
                  <w:tcW w:w="2487" w:type="pct"/>
                  <w:gridSpan w:val="4"/>
                  <w:vAlign w:val="center"/>
                </w:tcPr>
                <w:p>
                  <w:pPr>
                    <w:adjustRightInd w:val="0"/>
                    <w:snapToGrid w:val="0"/>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非正常排放状况</w:t>
                  </w:r>
                </w:p>
              </w:tc>
              <w:tc>
                <w:tcPr>
                  <w:tcW w:w="934" w:type="pct"/>
                  <w:gridSpan w:val="2"/>
                  <w:vAlign w:val="center"/>
                </w:tcPr>
                <w:p>
                  <w:pPr>
                    <w:adjustRightInd w:val="0"/>
                    <w:snapToGrid w:val="0"/>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排放标准</w:t>
                  </w:r>
                </w:p>
              </w:tc>
              <w:tc>
                <w:tcPr>
                  <w:tcW w:w="368" w:type="pct"/>
                  <w:vMerge w:val="restart"/>
                  <w:vAlign w:val="center"/>
                </w:tcPr>
                <w:p>
                  <w:pPr>
                    <w:adjustRightInd w:val="0"/>
                    <w:snapToGrid w:val="0"/>
                    <w:jc w:val="center"/>
                    <w:rPr>
                      <w:rFonts w:hint="default" w:ascii="Times New Roman" w:hAnsi="Times New Roman" w:cs="Times New Roman" w:eastAsiaTheme="minorEastAsia"/>
                      <w:b/>
                      <w:bCs/>
                      <w:color w:val="000000" w:themeColor="text1"/>
                      <w:szCs w:val="21"/>
                      <w14:textFill>
                        <w14:solidFill>
                          <w14:schemeClr w14:val="tx1"/>
                        </w14:solidFill>
                      </w14:textFill>
                    </w:rPr>
                  </w:pPr>
                  <w:r>
                    <w:rPr>
                      <w:rFonts w:hint="default" w:ascii="Times New Roman" w:hAnsi="Times New Roman" w:cs="Times New Roman" w:eastAsiaTheme="minorEastAsia"/>
                      <w:b/>
                      <w:bCs/>
                      <w:color w:val="000000" w:themeColor="text1"/>
                      <w:szCs w:val="21"/>
                      <w14:textFill>
                        <w14:solidFill>
                          <w14:schemeClr w14:val="tx1"/>
                        </w14:solidFill>
                      </w14:textFill>
                    </w:rPr>
                    <w:t>达标分析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jc w:val="center"/>
              </w:trPr>
              <w:tc>
                <w:tcPr>
                  <w:tcW w:w="568" w:type="pct"/>
                  <w:vMerge w:val="continue"/>
                  <w:vAlign w:val="center"/>
                </w:tcPr>
                <w:p>
                  <w:pPr>
                    <w:adjustRightInd w:val="0"/>
                    <w:snapToGrid w:val="0"/>
                    <w:jc w:val="center"/>
                    <w:rPr>
                      <w:rFonts w:hint="default" w:ascii="Times New Roman" w:hAnsi="Times New Roman" w:cs="Times New Roman" w:eastAsiaTheme="minorEastAsia"/>
                      <w:color w:val="000000" w:themeColor="text1"/>
                      <w:sz w:val="21"/>
                      <w:szCs w:val="21"/>
                      <w14:textFill>
                        <w14:solidFill>
                          <w14:schemeClr w14:val="tx1"/>
                        </w14:solidFill>
                      </w14:textFill>
                    </w:rPr>
                  </w:pPr>
                </w:p>
              </w:tc>
              <w:tc>
                <w:tcPr>
                  <w:tcW w:w="640" w:type="pct"/>
                  <w:vMerge w:val="continue"/>
                  <w:vAlign w:val="center"/>
                </w:tcPr>
                <w:p>
                  <w:pPr>
                    <w:adjustRightInd w:val="0"/>
                    <w:snapToGrid w:val="0"/>
                    <w:jc w:val="center"/>
                    <w:rPr>
                      <w:rFonts w:hint="default" w:ascii="Times New Roman" w:hAnsi="Times New Roman" w:cs="Times New Roman" w:eastAsiaTheme="minorEastAsia"/>
                      <w:color w:val="000000" w:themeColor="text1"/>
                      <w:sz w:val="21"/>
                      <w:szCs w:val="21"/>
                      <w14:textFill>
                        <w14:solidFill>
                          <w14:schemeClr w14:val="tx1"/>
                        </w14:solidFill>
                      </w14:textFill>
                    </w:rPr>
                  </w:pPr>
                </w:p>
              </w:tc>
              <w:tc>
                <w:tcPr>
                  <w:tcW w:w="503" w:type="pct"/>
                  <w:vAlign w:val="center"/>
                </w:tcPr>
                <w:p>
                  <w:pPr>
                    <w:adjustRightInd w:val="0"/>
                    <w:snapToGrid w:val="0"/>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污染物</w:t>
                  </w:r>
                </w:p>
              </w:tc>
              <w:tc>
                <w:tcPr>
                  <w:tcW w:w="674" w:type="pct"/>
                  <w:vAlign w:val="center"/>
                </w:tcPr>
                <w:p>
                  <w:pPr>
                    <w:adjustRightInd w:val="0"/>
                    <w:snapToGrid w:val="0"/>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非正常排放浓度mg/m</w:t>
                  </w:r>
                  <w:r>
                    <w:rPr>
                      <w:rFonts w:hint="default" w:ascii="Times New Roman" w:hAnsi="Times New Roman" w:cs="Times New Roman" w:eastAsiaTheme="minorEastAsia"/>
                      <w:b/>
                      <w:bCs/>
                      <w:color w:val="000000" w:themeColor="text1"/>
                      <w:sz w:val="21"/>
                      <w:szCs w:val="21"/>
                      <w:vertAlign w:val="superscript"/>
                      <w14:textFill>
                        <w14:solidFill>
                          <w14:schemeClr w14:val="tx1"/>
                        </w14:solidFill>
                      </w14:textFill>
                    </w:rPr>
                    <w:t>3</w:t>
                  </w:r>
                </w:p>
              </w:tc>
              <w:tc>
                <w:tcPr>
                  <w:tcW w:w="662" w:type="pct"/>
                  <w:vAlign w:val="center"/>
                </w:tcPr>
                <w:p>
                  <w:pPr>
                    <w:adjustRightInd w:val="0"/>
                    <w:snapToGrid w:val="0"/>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非正常排放速率kg/h</w:t>
                  </w:r>
                </w:p>
              </w:tc>
              <w:tc>
                <w:tcPr>
                  <w:tcW w:w="647" w:type="pct"/>
                  <w:vAlign w:val="center"/>
                </w:tcPr>
                <w:p>
                  <w:pPr>
                    <w:adjustRightInd w:val="0"/>
                    <w:snapToGrid w:val="0"/>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频次及持续时间</w:t>
                  </w:r>
                </w:p>
              </w:tc>
              <w:tc>
                <w:tcPr>
                  <w:tcW w:w="515" w:type="pct"/>
                  <w:vAlign w:val="center"/>
                </w:tcPr>
                <w:p>
                  <w:pPr>
                    <w:adjustRightInd w:val="0"/>
                    <w:snapToGrid w:val="0"/>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浓度mg/m</w:t>
                  </w:r>
                  <w:r>
                    <w:rPr>
                      <w:rFonts w:hint="default" w:ascii="Times New Roman" w:hAnsi="Times New Roman" w:cs="Times New Roman" w:eastAsiaTheme="minorEastAsia"/>
                      <w:b/>
                      <w:bCs/>
                      <w:color w:val="000000" w:themeColor="text1"/>
                      <w:sz w:val="21"/>
                      <w:szCs w:val="21"/>
                      <w:vertAlign w:val="superscript"/>
                      <w14:textFill>
                        <w14:solidFill>
                          <w14:schemeClr w14:val="tx1"/>
                        </w14:solidFill>
                      </w14:textFill>
                    </w:rPr>
                    <w:t>3</w:t>
                  </w:r>
                </w:p>
              </w:tc>
              <w:tc>
                <w:tcPr>
                  <w:tcW w:w="419" w:type="pct"/>
                  <w:vAlign w:val="center"/>
                </w:tcPr>
                <w:p>
                  <w:pPr>
                    <w:adjustRightInd w:val="0"/>
                    <w:snapToGrid w:val="0"/>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速率kg/h</w:t>
                  </w:r>
                </w:p>
              </w:tc>
              <w:tc>
                <w:tcPr>
                  <w:tcW w:w="368" w:type="pct"/>
                  <w:vMerge w:val="continue"/>
                  <w:vAlign w:val="center"/>
                </w:tcPr>
                <w:p>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68" w:type="pct"/>
                  <w:vAlign w:val="center"/>
                </w:tcPr>
                <w:p>
                  <w:pPr>
                    <w:adjustRightInd w:val="0"/>
                    <w:snapToGrid w:val="0"/>
                    <w:jc w:val="center"/>
                    <w:rPr>
                      <w:rFonts w:hint="default" w:ascii="Times New Roman" w:hAnsi="Times New Roman" w:cs="Times New Roman" w:eastAsiaTheme="minorEastAsia"/>
                      <w:color w:val="000000" w:themeColor="text1"/>
                      <w:szCs w:val="21"/>
                      <w:lang w:eastAsia="zh-CN"/>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DA00</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2</w:t>
                  </w:r>
                </w:p>
              </w:tc>
              <w:tc>
                <w:tcPr>
                  <w:tcW w:w="640" w:type="pct"/>
                  <w:vAlign w:val="center"/>
                </w:tcPr>
                <w:p>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开停车，组件失效</w:t>
                  </w:r>
                </w:p>
              </w:tc>
              <w:tc>
                <w:tcPr>
                  <w:tcW w:w="503" w:type="pct"/>
                  <w:vAlign w:val="center"/>
                </w:tcPr>
                <w:p>
                  <w:pPr>
                    <w:adjustRightInd w:val="0"/>
                    <w:snapToGrid w:val="0"/>
                    <w:jc w:val="center"/>
                    <w:rPr>
                      <w:rFonts w:hint="default" w:ascii="Times New Roman" w:hAnsi="Times New Roman" w:cs="Times New Roman" w:eastAsiaTheme="minorEastAsia"/>
                      <w:color w:val="000000" w:themeColor="text1"/>
                      <w:szCs w:val="21"/>
                      <w:lang w:eastAsia="zh-CN"/>
                      <w14:textFill>
                        <w14:solidFill>
                          <w14:schemeClr w14:val="tx1"/>
                        </w14:solidFill>
                      </w14:textFill>
                    </w:rPr>
                  </w:pPr>
                  <w:r>
                    <w:rPr>
                      <w:rFonts w:hint="default" w:ascii="Times New Roman" w:hAnsi="Times New Roman" w:cs="Times New Roman"/>
                      <w:color w:val="auto"/>
                      <w:sz w:val="21"/>
                      <w:szCs w:val="21"/>
                      <w:lang w:val="en-US" w:eastAsia="zh-CN"/>
                    </w:rPr>
                    <w:t>非甲烷总烃</w:t>
                  </w:r>
                </w:p>
              </w:tc>
              <w:tc>
                <w:tcPr>
                  <w:tcW w:w="674" w:type="pct"/>
                  <w:vAlign w:val="center"/>
                </w:tcPr>
                <w:p>
                  <w:pPr>
                    <w:adjustRightInd w:val="0"/>
                    <w:snapToGrid w:val="0"/>
                    <w:spacing w:line="240" w:lineRule="auto"/>
                    <w:jc w:val="center"/>
                    <w:rPr>
                      <w:rFonts w:hint="default" w:ascii="Times New Roman" w:hAnsi="Times New Roman" w:cs="Times New Roman"/>
                      <w:bCs/>
                      <w:color w:val="000000"/>
                      <w:kern w:val="0"/>
                      <w:szCs w:val="21"/>
                      <w:lang w:val="en-US"/>
                    </w:rPr>
                  </w:pPr>
                  <w:r>
                    <w:rPr>
                      <w:rFonts w:hint="eastAsia" w:ascii="Times New Roman" w:hAnsi="Times New Roman" w:cs="Times New Roman"/>
                      <w:bCs/>
                      <w:color w:val="auto"/>
                      <w:kern w:val="0"/>
                      <w:sz w:val="21"/>
                      <w:szCs w:val="21"/>
                      <w:lang w:val="en-US" w:eastAsia="zh-CN"/>
                    </w:rPr>
                    <w:t>19.67</w:t>
                  </w:r>
                </w:p>
              </w:tc>
              <w:tc>
                <w:tcPr>
                  <w:tcW w:w="662" w:type="pct"/>
                  <w:vAlign w:val="center"/>
                </w:tcPr>
                <w:p>
                  <w:pPr>
                    <w:adjustRightInd w:val="0"/>
                    <w:snapToGrid w:val="0"/>
                    <w:spacing w:line="240" w:lineRule="auto"/>
                    <w:jc w:val="center"/>
                    <w:rPr>
                      <w:rFonts w:hint="default" w:ascii="Times New Roman" w:hAnsi="Times New Roman" w:cs="Times New Roman"/>
                      <w:color w:val="000000"/>
                      <w:szCs w:val="21"/>
                      <w:lang w:val="en-US"/>
                    </w:rPr>
                  </w:pPr>
                  <w:r>
                    <w:rPr>
                      <w:rFonts w:hint="default" w:ascii="Times New Roman" w:hAnsi="Times New Roman" w:eastAsia="宋体" w:cs="Times New Roman"/>
                      <w:color w:val="auto"/>
                      <w:sz w:val="21"/>
                      <w:szCs w:val="21"/>
                      <w:lang w:val="en-US" w:eastAsia="zh-CN"/>
                    </w:rPr>
                    <w:t>0.</w:t>
                  </w:r>
                  <w:r>
                    <w:rPr>
                      <w:rFonts w:hint="eastAsia" w:ascii="Times New Roman" w:hAnsi="Times New Roman" w:cs="Times New Roman"/>
                      <w:color w:val="auto"/>
                      <w:sz w:val="21"/>
                      <w:szCs w:val="21"/>
                      <w:lang w:val="en-US" w:eastAsia="zh-CN"/>
                    </w:rPr>
                    <w:t>099</w:t>
                  </w:r>
                </w:p>
              </w:tc>
              <w:tc>
                <w:tcPr>
                  <w:tcW w:w="647" w:type="pct"/>
                  <w:vAlign w:val="center"/>
                </w:tcPr>
                <w:p>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1次/年，0.5h/次</w:t>
                  </w:r>
                </w:p>
              </w:tc>
              <w:tc>
                <w:tcPr>
                  <w:tcW w:w="847" w:type="dxa"/>
                  <w:vAlign w:val="center"/>
                </w:tcPr>
                <w:p>
                  <w:pPr>
                    <w:adjustRightInd w:val="0"/>
                    <w:jc w:val="center"/>
                    <w:textAlignment w:val="baseline"/>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bCs/>
                      <w:color w:val="auto"/>
                      <w:szCs w:val="21"/>
                      <w:lang w:val="en-US" w:eastAsia="zh-CN"/>
                    </w:rPr>
                    <w:t>50</w:t>
                  </w:r>
                </w:p>
              </w:tc>
              <w:tc>
                <w:tcPr>
                  <w:tcW w:w="689" w:type="dxa"/>
                  <w:vAlign w:val="center"/>
                </w:tcPr>
                <w:p>
                  <w:pPr>
                    <w:pStyle w:val="7"/>
                    <w:jc w:val="center"/>
                    <w:rPr>
                      <w:rFonts w:hint="default" w:ascii="Times New Roman" w:hAnsi="Times New Roman" w:cs="Times New Roman" w:eastAsiaTheme="minorEastAsia"/>
                      <w:color w:val="000000" w:themeColor="text1"/>
                      <w:szCs w:val="21"/>
                      <w:lang w:eastAsia="zh-CN"/>
                      <w14:textFill>
                        <w14:solidFill>
                          <w14:schemeClr w14:val="tx1"/>
                        </w14:solidFill>
                      </w14:textFill>
                    </w:rPr>
                  </w:pPr>
                  <w:r>
                    <w:rPr>
                      <w:rFonts w:hint="eastAsia" w:ascii="Times New Roman" w:hAnsi="Times New Roman" w:cs="Times New Roman" w:eastAsiaTheme="majorEastAsia"/>
                      <w:color w:val="auto"/>
                      <w:kern w:val="0"/>
                      <w:sz w:val="21"/>
                      <w:szCs w:val="21"/>
                      <w:lang w:val="en-US" w:eastAsia="zh-CN" w:bidi="ar-SA"/>
                    </w:rPr>
                    <w:t>2</w:t>
                  </w:r>
                </w:p>
              </w:tc>
              <w:tc>
                <w:tcPr>
                  <w:tcW w:w="368" w:type="pct"/>
                  <w:vAlign w:val="center"/>
                </w:tcPr>
                <w:p>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达标</w:t>
                  </w:r>
                </w:p>
              </w:tc>
            </w:tr>
          </w:tbl>
          <w:p>
            <w:pPr>
              <w:spacing w:line="460" w:lineRule="exact"/>
              <w:ind w:firstLine="480" w:firstLineChars="200"/>
              <w:jc w:val="both"/>
              <w:rPr>
                <w:rFonts w:hint="default" w:ascii="Times New Roman" w:hAnsi="Times New Roman" w:cs="Times New Roman" w:eastAsiaTheme="minorEastAsia"/>
                <w:color w:val="000000" w:themeColor="text1"/>
                <w:sz w:val="24"/>
                <w14:textFill>
                  <w14:solidFill>
                    <w14:schemeClr w14:val="tx1"/>
                  </w14:solidFill>
                </w14:textFill>
              </w:rPr>
            </w:pPr>
            <w:r>
              <w:rPr>
                <w:rFonts w:hint="default" w:ascii="Times New Roman" w:hAnsi="Times New Roman" w:cs="Times New Roman" w:eastAsiaTheme="minorEastAsia"/>
                <w:sz w:val="24"/>
              </w:rPr>
              <w:t>非正常</w:t>
            </w:r>
            <w:r>
              <w:rPr>
                <w:rFonts w:hint="default" w:ascii="Times New Roman" w:hAnsi="Times New Roman" w:cs="Times New Roman" w:eastAsiaTheme="minorEastAsia"/>
                <w:sz w:val="24"/>
                <w:lang w:val="en-US" w:eastAsia="zh-CN"/>
              </w:rPr>
              <w:t>工况下，</w:t>
            </w:r>
            <w:r>
              <w:rPr>
                <w:rFonts w:hint="default" w:ascii="Times New Roman" w:hAnsi="Times New Roman" w:eastAsia="宋体" w:cs="Times New Roman"/>
                <w:color w:val="auto"/>
                <w:sz w:val="24"/>
                <w:lang w:val="en-US" w:eastAsia="zh-CN"/>
              </w:rPr>
              <w:t>项目</w:t>
            </w:r>
            <w:r>
              <w:rPr>
                <w:rFonts w:hint="default" w:ascii="Times New Roman" w:hAnsi="Times New Roman" w:cs="Times New Roman"/>
                <w:color w:val="auto"/>
                <w:sz w:val="24"/>
                <w:lang w:val="en-US" w:eastAsia="zh-CN"/>
              </w:rPr>
              <w:t>涂膜、印刷工段</w:t>
            </w:r>
            <w:r>
              <w:rPr>
                <w:rFonts w:hint="default" w:ascii="Times New Roman" w:hAnsi="Times New Roman" w:eastAsia="宋体" w:cs="Times New Roman"/>
                <w:color w:val="auto"/>
                <w:sz w:val="24"/>
                <w:szCs w:val="24"/>
                <w:lang w:val="en-US" w:eastAsia="zh-CN"/>
              </w:rPr>
              <w:t>产生的</w:t>
            </w:r>
            <w:r>
              <w:rPr>
                <w:rFonts w:hint="default" w:ascii="Times New Roman" w:hAnsi="Times New Roman" w:cs="Times New Roman"/>
                <w:color w:val="auto"/>
                <w:sz w:val="24"/>
                <w:szCs w:val="24"/>
                <w:lang w:val="en-US" w:eastAsia="zh-CN"/>
              </w:rPr>
              <w:t>非甲烷总烃虽</w:t>
            </w:r>
            <w:r>
              <w:rPr>
                <w:rFonts w:hint="default" w:ascii="Times New Roman" w:hAnsi="Times New Roman" w:cs="Times New Roman" w:eastAsiaTheme="minorEastAsia"/>
                <w:sz w:val="24"/>
                <w:lang w:val="en-US" w:eastAsia="zh-CN"/>
              </w:rPr>
              <w:t>暂未</w:t>
            </w:r>
            <w:r>
              <w:rPr>
                <w:rFonts w:hint="default" w:ascii="Times New Roman" w:hAnsi="Times New Roman" w:cs="Times New Roman" w:eastAsiaTheme="minorEastAsia"/>
                <w:sz w:val="24"/>
              </w:rPr>
              <w:t>出现超标情况，</w:t>
            </w:r>
            <w:r>
              <w:rPr>
                <w:rFonts w:hint="default" w:ascii="Times New Roman" w:hAnsi="Times New Roman" w:cs="Times New Roman" w:eastAsiaTheme="minorEastAsia"/>
                <w:sz w:val="24"/>
                <w:lang w:val="en-US" w:eastAsia="zh-CN"/>
              </w:rPr>
              <w:t>但</w:t>
            </w:r>
            <w:r>
              <w:rPr>
                <w:rFonts w:hint="default" w:ascii="Times New Roman" w:hAnsi="Times New Roman" w:cs="Times New Roman" w:eastAsiaTheme="minorEastAsia"/>
                <w:sz w:val="24"/>
              </w:rPr>
              <w:t>对环境空气影响较正常排放时明显增加，对周边环境有一定影响</w:t>
            </w:r>
            <w:r>
              <w:rPr>
                <w:rFonts w:hint="default" w:ascii="Times New Roman" w:hAnsi="Times New Roman" w:cs="Times New Roman" w:eastAsiaTheme="minorEastAsia"/>
                <w:color w:val="000000" w:themeColor="text1"/>
                <w:sz w:val="24"/>
                <w14:textFill>
                  <w14:solidFill>
                    <w14:schemeClr w14:val="tx1"/>
                  </w14:solidFill>
                </w14:textFill>
              </w:rPr>
              <w:t>，此类排放持续时间很短，为了减少</w:t>
            </w:r>
            <w:r>
              <w:rPr>
                <w:rFonts w:hint="default" w:ascii="Times New Roman" w:hAnsi="Times New Roman" w:cs="Times New Roman" w:eastAsiaTheme="minorEastAsia"/>
                <w:color w:val="000000" w:themeColor="text1"/>
                <w:sz w:val="24"/>
                <w:lang w:val="en-US" w:eastAsia="zh-CN"/>
                <w14:textFill>
                  <w14:solidFill>
                    <w14:schemeClr w14:val="tx1"/>
                  </w14:solidFill>
                </w14:textFill>
              </w:rPr>
              <w:t>生产过程中开、停车</w:t>
            </w:r>
            <w:r>
              <w:rPr>
                <w:rFonts w:hint="default" w:ascii="Times New Roman" w:hAnsi="Times New Roman" w:cs="Times New Roman" w:eastAsiaTheme="minorEastAsia"/>
                <w:color w:val="000000" w:themeColor="text1"/>
                <w:sz w:val="24"/>
                <w14:textFill>
                  <w14:solidFill>
                    <w14:schemeClr w14:val="tx1"/>
                  </w14:solidFill>
                </w14:textFill>
              </w:rPr>
              <w:t>废气设施故障导致的废气</w:t>
            </w:r>
            <w:r>
              <w:rPr>
                <w:rFonts w:hint="default" w:ascii="Times New Roman" w:hAnsi="Times New Roman" w:cs="Times New Roman" w:eastAsiaTheme="minorEastAsia"/>
                <w:color w:val="000000" w:themeColor="text1"/>
                <w:sz w:val="24"/>
                <w:lang w:val="en-US" w:eastAsia="zh-CN"/>
                <w14:textFill>
                  <w14:solidFill>
                    <w14:schemeClr w14:val="tx1"/>
                  </w14:solidFill>
                </w14:textFill>
              </w:rPr>
              <w:t>影响明显增加</w:t>
            </w:r>
            <w:r>
              <w:rPr>
                <w:rFonts w:hint="default" w:ascii="Times New Roman" w:hAnsi="Times New Roman" w:cs="Times New Roman" w:eastAsiaTheme="minorEastAsia"/>
                <w:color w:val="000000" w:themeColor="text1"/>
                <w:sz w:val="24"/>
                <w14:textFill>
                  <w14:solidFill>
                    <w14:schemeClr w14:val="tx1"/>
                  </w14:solidFill>
                </w14:textFill>
              </w:rPr>
              <w:t>的情况，企业应在生产时，先打开废气处理设施，再开启生产设备；同时，考虑到废气处理设施故障或失效的情况，企业应认真做好设备的保养、定期维护及保修工作，使处理设施达到预期效果。为确保不发生事故性废气排放，企业必须采取一定的事故性防范保护措施。</w:t>
            </w:r>
          </w:p>
          <w:p>
            <w:pPr>
              <w:autoSpaceDE w:val="0"/>
              <w:autoSpaceDN w:val="0"/>
              <w:adjustRightInd w:val="0"/>
              <w:spacing w:line="500" w:lineRule="exact"/>
              <w:ind w:firstLine="480" w:firstLineChars="200"/>
              <w:jc w:val="both"/>
              <w:rPr>
                <w:rFonts w:hint="default" w:ascii="Times New Roman" w:hAnsi="Times New Roman" w:cs="Times New Roman" w:eastAsiaTheme="minorEastAsia"/>
                <w:sz w:val="24"/>
              </w:rPr>
            </w:pPr>
            <w:r>
              <w:rPr>
                <w:rFonts w:hint="default" w:ascii="Times New Roman" w:hAnsi="Times New Roman" w:cs="Times New Roman"/>
                <w:sz w:val="24"/>
              </w:rPr>
              <w:t>①</w:t>
            </w:r>
            <w:r>
              <w:rPr>
                <w:rFonts w:hint="default" w:ascii="Times New Roman" w:hAnsi="Times New Roman" w:cs="Times New Roman" w:eastAsiaTheme="minorEastAsia"/>
                <w:sz w:val="24"/>
              </w:rPr>
              <w:t>提高设备自动控制水平，尽量采用报警装置；</w:t>
            </w:r>
          </w:p>
          <w:p>
            <w:pPr>
              <w:autoSpaceDE w:val="0"/>
              <w:autoSpaceDN w:val="0"/>
              <w:adjustRightInd w:val="0"/>
              <w:spacing w:line="500" w:lineRule="exact"/>
              <w:ind w:firstLine="480" w:firstLineChars="200"/>
              <w:jc w:val="both"/>
              <w:rPr>
                <w:rFonts w:hint="default" w:ascii="Times New Roman" w:hAnsi="Times New Roman" w:cs="Times New Roman" w:eastAsiaTheme="minorEastAsia"/>
                <w:sz w:val="24"/>
              </w:rPr>
            </w:pPr>
            <w:r>
              <w:rPr>
                <w:rFonts w:hint="default" w:ascii="Times New Roman" w:hAnsi="Times New Roman" w:cs="Times New Roman"/>
                <w:sz w:val="24"/>
              </w:rPr>
              <w:t>②</w:t>
            </w:r>
            <w:r>
              <w:rPr>
                <w:rFonts w:hint="default" w:ascii="Times New Roman" w:hAnsi="Times New Roman" w:cs="Times New Roman" w:eastAsiaTheme="minorEastAsia"/>
                <w:sz w:val="24"/>
              </w:rPr>
              <w:t>加强生产的监督和管理，对可能出现的非正常排放情况制定预案或应急措施，出现非正常排放时及时妥善处理；</w:t>
            </w:r>
          </w:p>
          <w:p>
            <w:pPr>
              <w:autoSpaceDE w:val="0"/>
              <w:autoSpaceDN w:val="0"/>
              <w:adjustRightInd w:val="0"/>
              <w:spacing w:line="500" w:lineRule="exact"/>
              <w:ind w:firstLine="480" w:firstLineChars="200"/>
              <w:jc w:val="both"/>
              <w:rPr>
                <w:rFonts w:hint="default" w:ascii="Times New Roman" w:hAnsi="Times New Roman" w:cs="Times New Roman" w:eastAsiaTheme="minorEastAsia"/>
                <w:sz w:val="24"/>
              </w:rPr>
            </w:pPr>
            <w:r>
              <w:rPr>
                <w:rFonts w:hint="default" w:ascii="Times New Roman" w:hAnsi="Times New Roman" w:cs="Times New Roman"/>
                <w:sz w:val="24"/>
              </w:rPr>
              <w:t>③</w:t>
            </w:r>
            <w:r>
              <w:rPr>
                <w:rFonts w:hint="default" w:ascii="Times New Roman" w:hAnsi="Times New Roman" w:cs="Times New Roman" w:eastAsiaTheme="minorEastAsia"/>
                <w:sz w:val="24"/>
              </w:rPr>
              <w:t>检修过程中，应与停车的操作规程一致，先停止生产装置，后停止废气处理装置，确保废气通过送至废气处理装置处理后通过排气筒排放。</w:t>
            </w:r>
          </w:p>
          <w:p>
            <w:pPr>
              <w:autoSpaceDE w:val="0"/>
              <w:autoSpaceDN w:val="0"/>
              <w:adjustRightInd w:val="0"/>
              <w:spacing w:line="500" w:lineRule="exact"/>
              <w:ind w:firstLine="480" w:firstLineChars="200"/>
              <w:jc w:val="both"/>
              <w:rPr>
                <w:rFonts w:hint="default" w:ascii="Times New Roman" w:hAnsi="Times New Roman" w:cs="Times New Roman" w:eastAsiaTheme="minorEastAsia"/>
                <w:sz w:val="24"/>
              </w:rPr>
            </w:pPr>
            <w:r>
              <w:rPr>
                <w:rFonts w:hint="default" w:ascii="Times New Roman" w:hAnsi="Times New Roman" w:cs="Times New Roman"/>
                <w:sz w:val="24"/>
              </w:rPr>
              <w:t>④</w:t>
            </w:r>
            <w:r>
              <w:rPr>
                <w:rFonts w:hint="default" w:ascii="Times New Roman" w:hAnsi="Times New Roman" w:cs="Times New Roman" w:eastAsiaTheme="minorEastAsia"/>
                <w:sz w:val="24"/>
              </w:rPr>
              <w:t>加强对废气处理装置等环保设备的管理和维修，确保废气处理装置的正常运行。</w:t>
            </w:r>
          </w:p>
          <w:p>
            <w:pPr>
              <w:autoSpaceDE w:val="0"/>
              <w:autoSpaceDN w:val="0"/>
              <w:adjustRightInd w:val="0"/>
              <w:spacing w:line="500" w:lineRule="exact"/>
              <w:ind w:firstLine="480" w:firstLineChars="200"/>
              <w:jc w:val="both"/>
              <w:rPr>
                <w:rFonts w:hint="default" w:ascii="Times New Roman" w:hAnsi="Times New Roman" w:cs="Times New Roman" w:eastAsiaTheme="minorEastAsia"/>
                <w:sz w:val="24"/>
              </w:rPr>
            </w:pPr>
            <w:r>
              <w:rPr>
                <w:rFonts w:hint="default" w:ascii="Times New Roman" w:hAnsi="Times New Roman" w:cs="Times New Roman"/>
                <w:sz w:val="24"/>
              </w:rPr>
              <w:t>⑤</w:t>
            </w:r>
            <w:r>
              <w:rPr>
                <w:rFonts w:hint="default" w:ascii="Times New Roman" w:hAnsi="Times New Roman" w:cs="Times New Roman" w:eastAsiaTheme="minorEastAsia"/>
                <w:sz w:val="24"/>
              </w:rPr>
              <w:t>在生产试运行和正式投产后一定时间内，对大气污染控制设施进行环保验收，及时调整和更换有关工艺及设备。</w:t>
            </w:r>
          </w:p>
          <w:p>
            <w:pPr>
              <w:tabs>
                <w:tab w:val="left" w:pos="3060"/>
              </w:tabs>
              <w:spacing w:line="460" w:lineRule="exact"/>
              <w:ind w:firstLine="482" w:firstLineChars="200"/>
              <w:jc w:val="both"/>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1.</w:t>
            </w:r>
            <w:r>
              <w:rPr>
                <w:rFonts w:hint="default" w:ascii="Times New Roman" w:hAnsi="Times New Roman" w:eastAsia="宋体" w:cs="Times New Roman"/>
                <w:b/>
                <w:bCs/>
                <w:color w:val="000000" w:themeColor="text1"/>
                <w:sz w:val="24"/>
                <w:lang w:val="en-US" w:eastAsia="zh-CN"/>
                <w14:textFill>
                  <w14:solidFill>
                    <w14:schemeClr w14:val="tx1"/>
                  </w14:solidFill>
                </w14:textFill>
              </w:rPr>
              <w:t>5</w:t>
            </w:r>
            <w:r>
              <w:rPr>
                <w:rFonts w:hint="default" w:ascii="Times New Roman" w:hAnsi="Times New Roman" w:cs="Times New Roman"/>
                <w:b/>
                <w:snapToGrid w:val="0"/>
                <w:color w:val="000000" w:themeColor="text1"/>
                <w:sz w:val="24"/>
                <w14:textFill>
                  <w14:solidFill>
                    <w14:schemeClr w14:val="tx1"/>
                  </w14:solidFill>
                </w14:textFill>
              </w:rPr>
              <w:t>废气污染治理设施技术可行性分析</w:t>
            </w:r>
          </w:p>
          <w:p>
            <w:pPr>
              <w:widowControl/>
              <w:spacing w:line="500" w:lineRule="exact"/>
              <w:ind w:firstLine="480" w:firstLineChars="200"/>
              <w:jc w:val="both"/>
              <w:rPr>
                <w:rFonts w:hint="default" w:ascii="Times New Roman" w:hAnsi="Times New Roman" w:cs="Times New Roman"/>
                <w:color w:val="000000"/>
                <w:kern w:val="0"/>
                <w:sz w:val="24"/>
                <w:lang w:bidi="ar"/>
              </w:rPr>
            </w:pPr>
            <w:r>
              <w:rPr>
                <w:rFonts w:hint="default" w:ascii="Times New Roman" w:hAnsi="Times New Roman" w:cs="Times New Roman"/>
                <w:color w:val="000000"/>
                <w:kern w:val="0"/>
                <w:sz w:val="24"/>
                <w:lang w:bidi="ar"/>
              </w:rPr>
              <w:t>本项目废气收集、治理工艺如图4-1：</w:t>
            </w:r>
          </w:p>
          <w:p>
            <w:pPr>
              <w:widowControl/>
              <w:spacing w:line="360" w:lineRule="auto"/>
              <w:jc w:val="center"/>
              <w:rPr>
                <w:rFonts w:hint="default" w:ascii="Times New Roman" w:hAnsi="Times New Roman" w:cs="Times New Roman"/>
                <w:b/>
                <w:bCs/>
                <w:kern w:val="0"/>
                <w:szCs w:val="21"/>
                <w:lang w:bidi="ar"/>
              </w:rPr>
            </w:pPr>
            <w:r>
              <w:rPr>
                <w:rFonts w:hint="default" w:ascii="Times New Roman" w:hAnsi="Times New Roman" w:cs="Times New Roman"/>
                <w:b/>
                <w:bCs/>
                <w:kern w:val="0"/>
                <w:szCs w:val="21"/>
                <w:lang w:bidi="ar"/>
              </w:rPr>
              <w:object>
                <v:shape id="_x0000_i1025" o:spt="75" type="#_x0000_t75" style="height:68pt;width:271.5pt;" o:ole="t" filled="f" o:preferrelative="t" stroked="f" coordsize="21600,21600">
                  <v:path/>
                  <v:fill on="f" focussize="0,0"/>
                  <v:stroke on="f"/>
                  <v:imagedata r:id="rId16" o:title=""/>
                  <o:lock v:ext="edit" aspectratio="f"/>
                  <w10:wrap type="none"/>
                  <w10:anchorlock/>
                </v:shape>
                <o:OLEObject Type="Embed" ProgID="Visio.Drawing.15" ShapeID="_x0000_i1025" DrawAspect="Content" ObjectID="_1468075726" r:id="rId15">
                  <o:LockedField>false</o:LockedField>
                </o:OLEObject>
              </w:object>
            </w:r>
          </w:p>
          <w:p>
            <w:pPr>
              <w:widowControl/>
              <w:spacing w:line="360" w:lineRule="auto"/>
              <w:jc w:val="center"/>
              <w:rPr>
                <w:rFonts w:hint="default" w:ascii="Times New Roman" w:hAnsi="Times New Roman" w:cs="Times New Roman"/>
              </w:rPr>
            </w:pPr>
            <w:r>
              <w:rPr>
                <w:rFonts w:hint="default" w:ascii="Times New Roman" w:hAnsi="Times New Roman" w:cs="Times New Roman"/>
                <w:b/>
                <w:bCs/>
                <w:kern w:val="0"/>
                <w:szCs w:val="21"/>
                <w:lang w:bidi="ar"/>
              </w:rPr>
              <w:t>图4-1</w:t>
            </w:r>
            <w:r>
              <w:rPr>
                <w:rFonts w:hint="default" w:ascii="Times New Roman" w:hAnsi="Times New Roman" w:eastAsia="宋体" w:cs="Times New Roman"/>
                <w:b/>
                <w:bCs/>
                <w:kern w:val="0"/>
                <w:szCs w:val="21"/>
                <w:lang w:val="en-US" w:eastAsia="zh-CN" w:bidi="ar"/>
              </w:rPr>
              <w:t xml:space="preserve">  </w:t>
            </w:r>
            <w:r>
              <w:rPr>
                <w:rFonts w:hint="default" w:ascii="Times New Roman" w:hAnsi="Times New Roman" w:cs="Times New Roman"/>
                <w:b/>
                <w:bCs/>
                <w:kern w:val="0"/>
                <w:szCs w:val="21"/>
                <w:lang w:bidi="ar"/>
              </w:rPr>
              <w:t>本项目废气处理工艺流程图</w:t>
            </w:r>
          </w:p>
          <w:p>
            <w:pPr>
              <w:autoSpaceDE w:val="0"/>
              <w:autoSpaceDN w:val="0"/>
              <w:adjustRightInd w:val="0"/>
              <w:spacing w:line="360" w:lineRule="auto"/>
              <w:ind w:firstLine="482" w:firstLineChars="200"/>
              <w:jc w:val="both"/>
              <w:rPr>
                <w:rFonts w:hint="default" w:ascii="Times New Roman" w:hAnsi="Times New Roman" w:cs="Times New Roman" w:eastAsiaTheme="minorEastAsia"/>
                <w:b/>
                <w:bCs/>
                <w:sz w:val="24"/>
                <w:lang w:val="en-US" w:eastAsia="zh-CN"/>
              </w:rPr>
            </w:pPr>
            <w:r>
              <w:rPr>
                <w:rFonts w:hint="default" w:ascii="Times New Roman" w:hAnsi="Times New Roman" w:cs="Times New Roman" w:eastAsiaTheme="minorEastAsia"/>
                <w:b/>
                <w:bCs/>
                <w:sz w:val="24"/>
                <w:lang w:val="en-US" w:eastAsia="zh-CN"/>
              </w:rPr>
              <w:t>活性炭吸附装置：</w:t>
            </w:r>
          </w:p>
          <w:p>
            <w:pPr>
              <w:autoSpaceDE w:val="0"/>
              <w:autoSpaceDN w:val="0"/>
              <w:adjustRightInd w:val="0"/>
              <w:spacing w:line="360" w:lineRule="auto"/>
              <w:ind w:firstLine="480" w:firstLineChars="200"/>
              <w:jc w:val="both"/>
              <w:rPr>
                <w:rFonts w:hint="default" w:ascii="Times New Roman" w:hAnsi="Times New Roman" w:cs="Times New Roman" w:eastAsiaTheme="minorEastAsia"/>
                <w:sz w:val="24"/>
              </w:rPr>
            </w:pPr>
            <w:r>
              <w:rPr>
                <w:rFonts w:hint="default" w:ascii="Times New Roman" w:hAnsi="Times New Roman" w:cs="Times New Roman" w:eastAsiaTheme="minorEastAsia"/>
                <w:sz w:val="24"/>
                <w:lang w:val="en-US" w:eastAsia="zh-CN"/>
              </w:rPr>
              <w:t xml:space="preserve">利用活性炭表面的高比表面积对废气中挥发性有机化合物进行吸附，从而达到净化效果。 </w:t>
            </w:r>
          </w:p>
          <w:p>
            <w:pPr>
              <w:autoSpaceDE w:val="0"/>
              <w:autoSpaceDN w:val="0"/>
              <w:adjustRightInd w:val="0"/>
              <w:spacing w:line="360" w:lineRule="auto"/>
              <w:ind w:firstLine="480" w:firstLineChars="200"/>
              <w:jc w:val="both"/>
              <w:rPr>
                <w:rFonts w:hint="default" w:ascii="Times New Roman" w:hAnsi="Times New Roman" w:cs="Times New Roman" w:eastAsiaTheme="minorEastAsia"/>
                <w:sz w:val="24"/>
              </w:rPr>
            </w:pPr>
            <w:r>
              <w:rPr>
                <w:rFonts w:hint="default" w:ascii="Times New Roman" w:hAnsi="Times New Roman" w:cs="Times New Roman" w:eastAsiaTheme="minorEastAsia"/>
                <w:sz w:val="24"/>
                <w:lang w:val="en-US" w:eastAsia="zh-CN"/>
              </w:rPr>
              <w:t xml:space="preserve">优点：在短时间内能吸附一定的污染物，主要是针对总挥发性有机物和异味。物理吸附，产品本身无二次污染。 </w:t>
            </w:r>
          </w:p>
          <w:p>
            <w:pPr>
              <w:autoSpaceDE w:val="0"/>
              <w:autoSpaceDN w:val="0"/>
              <w:adjustRightInd w:val="0"/>
              <w:spacing w:line="360" w:lineRule="auto"/>
              <w:ind w:firstLine="480" w:firstLineChars="200"/>
              <w:jc w:val="both"/>
              <w:rPr>
                <w:rFonts w:hint="default" w:ascii="Times New Roman" w:hAnsi="Times New Roman" w:cs="Times New Roman" w:eastAsiaTheme="minorEastAsia"/>
                <w:sz w:val="24"/>
              </w:rPr>
            </w:pPr>
            <w:r>
              <w:rPr>
                <w:rFonts w:hint="default" w:ascii="Times New Roman" w:hAnsi="Times New Roman" w:cs="Times New Roman" w:eastAsiaTheme="minorEastAsia"/>
                <w:sz w:val="24"/>
                <w:lang w:val="en-US" w:eastAsia="zh-CN"/>
              </w:rPr>
              <w:t>缺点：活性炭很容易达到吸附饱和，吸附达到饱和不再具有吸附能力时，就必须更换过滤材料，如不及时更换，其所吸附的污染物等将随时被释放出来形成二次污染。活性吸附饱和后，需要经过活化处理才能二次使用。</w:t>
            </w:r>
          </w:p>
          <w:p>
            <w:pPr>
              <w:autoSpaceDE w:val="0"/>
              <w:autoSpaceDN w:val="0"/>
              <w:adjustRightInd w:val="0"/>
              <w:spacing w:line="360" w:lineRule="auto"/>
              <w:ind w:firstLine="482" w:firstLineChars="200"/>
              <w:jc w:val="both"/>
              <w:rPr>
                <w:rFonts w:hint="default" w:ascii="Times New Roman" w:hAnsi="Times New Roman" w:cs="Times New Roman" w:eastAsiaTheme="minorEastAsia"/>
                <w:b/>
                <w:bCs/>
                <w:sz w:val="24"/>
              </w:rPr>
            </w:pPr>
            <w:r>
              <w:rPr>
                <w:rFonts w:hint="default" w:ascii="Times New Roman" w:hAnsi="Times New Roman" w:cs="Times New Roman" w:eastAsiaTheme="minorEastAsia"/>
                <w:b/>
                <w:bCs/>
                <w:sz w:val="24"/>
                <w:lang w:val="en-US" w:eastAsia="zh-CN"/>
              </w:rPr>
              <w:t xml:space="preserve">主要设备构造： </w:t>
            </w:r>
          </w:p>
          <w:p>
            <w:pPr>
              <w:autoSpaceDE w:val="0"/>
              <w:autoSpaceDN w:val="0"/>
              <w:adjustRightInd w:val="0"/>
              <w:spacing w:line="360" w:lineRule="auto"/>
              <w:ind w:firstLine="480" w:firstLineChars="200"/>
              <w:jc w:val="both"/>
              <w:rPr>
                <w:rFonts w:hint="default" w:ascii="Times New Roman" w:hAnsi="Times New Roman" w:cs="Times New Roman" w:eastAsiaTheme="minorEastAsia"/>
                <w:sz w:val="24"/>
              </w:rPr>
            </w:pPr>
            <w:r>
              <w:rPr>
                <w:rFonts w:hint="default" w:ascii="Times New Roman" w:hAnsi="Times New Roman" w:cs="Times New Roman" w:eastAsiaTheme="minorEastAsia"/>
                <w:sz w:val="24"/>
                <w:lang w:val="en-US" w:eastAsia="zh-CN"/>
              </w:rPr>
              <w:t xml:space="preserve">活性炭吸附装置由活性炭、排气管和排风机、排气筒等组成。该装置在系统主风机的作用下，废气从进风口处进入吸附箱体内的各吸附单元，利用高性能活性炭吸附剂固体本身的表面作用力将有机废气分子吸附质吸附附着在吸附剂表面，经吸附后干净气体透过吸附单元进入塔体内的净化室并汇集至风口排出，本项目采用的活性炭吸附装置结构参数及工艺参数、活性炭种类、充填量、更换周期均满足《省生态环境厅关于深入开展涉VOCs 治理重点工作核查的通知》（苏环办[2022]218 号）中相关技术要求。 </w:t>
            </w:r>
          </w:p>
          <w:p>
            <w:pPr>
              <w:autoSpaceDE w:val="0"/>
              <w:autoSpaceDN w:val="0"/>
              <w:adjustRightInd w:val="0"/>
              <w:spacing w:line="360" w:lineRule="auto"/>
              <w:ind w:firstLine="480" w:firstLineChars="200"/>
              <w:jc w:val="both"/>
              <w:rPr>
                <w:rFonts w:hint="default" w:ascii="Times New Roman" w:hAnsi="Times New Roman" w:cs="Times New Roman" w:eastAsiaTheme="minorEastAsia"/>
                <w:sz w:val="24"/>
              </w:rPr>
            </w:pPr>
            <w:r>
              <w:rPr>
                <w:rFonts w:hint="default" w:ascii="Times New Roman" w:hAnsi="Times New Roman" w:cs="Times New Roman" w:eastAsiaTheme="minorEastAsia"/>
                <w:sz w:val="24"/>
                <w:lang w:val="en-US" w:eastAsia="zh-CN"/>
              </w:rPr>
              <w:t xml:space="preserve">本项目选用的“二级活性炭吸附装置”为《排污许可证申请与核发技术规范-橡胶和塑料制品工业》（HJ 1122-2020）附表 A.2 中可行性技术，故本项目废气治理设施可行。 </w:t>
            </w:r>
          </w:p>
          <w:p>
            <w:pPr>
              <w:tabs>
                <w:tab w:val="left" w:pos="3060"/>
              </w:tabs>
              <w:spacing w:line="500" w:lineRule="exact"/>
              <w:ind w:firstLine="482" w:firstLineChars="200"/>
              <w:jc w:val="both"/>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1.</w:t>
            </w:r>
            <w:r>
              <w:rPr>
                <w:rFonts w:hint="default" w:ascii="Times New Roman" w:hAnsi="Times New Roman" w:cs="Times New Roman"/>
                <w:b/>
                <w:bCs/>
                <w:color w:val="000000" w:themeColor="text1"/>
                <w:sz w:val="24"/>
                <w:lang w:val="en-US" w:eastAsia="zh-CN"/>
                <w14:textFill>
                  <w14:solidFill>
                    <w14:schemeClr w14:val="tx1"/>
                  </w14:solidFill>
                </w14:textFill>
              </w:rPr>
              <w:t>6卫生</w:t>
            </w:r>
            <w:r>
              <w:rPr>
                <w:rFonts w:hint="default" w:ascii="Times New Roman" w:hAnsi="Times New Roman" w:cs="Times New Roman"/>
                <w:b/>
                <w:bCs/>
                <w:color w:val="000000" w:themeColor="text1"/>
                <w:sz w:val="24"/>
                <w14:textFill>
                  <w14:solidFill>
                    <w14:schemeClr w14:val="tx1"/>
                  </w14:solidFill>
                </w14:textFill>
              </w:rPr>
              <w:t>防护距离计算</w:t>
            </w:r>
          </w:p>
          <w:p>
            <w:pPr>
              <w:spacing w:line="500" w:lineRule="exact"/>
              <w:ind w:firstLine="480" w:firstLineChars="200"/>
              <w:jc w:val="both"/>
              <w:rPr>
                <w:rFonts w:hint="default" w:ascii="Times New Roman" w:hAnsi="Times New Roman" w:cs="Times New Roman"/>
                <w:color w:val="000000"/>
                <w:kern w:val="0"/>
                <w:sz w:val="24"/>
              </w:rPr>
            </w:pPr>
            <w:r>
              <w:rPr>
                <w:rFonts w:hint="default" w:ascii="Times New Roman" w:hAnsi="Times New Roman" w:cs="Times New Roman"/>
                <w:color w:val="000000"/>
                <w:kern w:val="0"/>
                <w:sz w:val="24"/>
              </w:rPr>
              <w:t>根据《大气有害物质无组织排放 卫生防护距离推导技术导则》（GB/T 39499-2020）规定，无组织排放有害气体的生产单元（生产区、车间、工段）与居民区之间应设置卫生防护距离，计算公式如下：</w:t>
            </w:r>
          </w:p>
          <w:p>
            <w:pPr>
              <w:spacing w:before="120" w:beforeLines="50" w:after="120" w:afterLines="50" w:line="360" w:lineRule="auto"/>
              <w:jc w:val="center"/>
              <w:rPr>
                <w:rFonts w:hint="default" w:ascii="Times New Roman" w:hAnsi="Times New Roman" w:cs="Times New Roman"/>
                <w:color w:val="000000"/>
                <w:sz w:val="28"/>
                <w:szCs w:val="28"/>
              </w:rPr>
            </w:pPr>
            <w:r>
              <w:rPr>
                <w:rFonts w:hint="default" w:ascii="Times New Roman" w:hAnsi="Times New Roman" w:cs="Times New Roman"/>
                <w:color w:val="000000"/>
                <w:position w:val="-30"/>
                <w:sz w:val="24"/>
                <w:szCs w:val="28"/>
              </w:rPr>
              <w:drawing>
                <wp:inline distT="0" distB="0" distL="114300" distR="114300">
                  <wp:extent cx="1875790" cy="495935"/>
                  <wp:effectExtent l="0" t="0" r="0" b="18415"/>
                  <wp:docPr id="63" name="对象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对象 2"/>
                          <pic:cNvPicPr>
                            <a:picLocks noChangeAspect="1"/>
                          </pic:cNvPicPr>
                        </pic:nvPicPr>
                        <pic:blipFill>
                          <a:blip r:embed="rId17"/>
                          <a:stretch>
                            <a:fillRect/>
                          </a:stretch>
                        </pic:blipFill>
                        <pic:spPr>
                          <a:xfrm>
                            <a:off x="0" y="0"/>
                            <a:ext cx="1875790" cy="495935"/>
                          </a:xfrm>
                          <a:prstGeom prst="rect">
                            <a:avLst/>
                          </a:prstGeom>
                          <a:noFill/>
                          <a:ln>
                            <a:noFill/>
                          </a:ln>
                        </pic:spPr>
                      </pic:pic>
                    </a:graphicData>
                  </a:graphic>
                </wp:inline>
              </w:drawing>
            </w:r>
          </w:p>
          <w:p>
            <w:pPr>
              <w:spacing w:line="500" w:lineRule="exact"/>
              <w:ind w:firstLine="480" w:firstLineChars="200"/>
              <w:jc w:val="both"/>
              <w:rPr>
                <w:rFonts w:hint="default" w:ascii="Times New Roman" w:hAnsi="Times New Roman" w:cs="Times New Roman"/>
                <w:color w:val="000000"/>
                <w:sz w:val="24"/>
                <w:szCs w:val="28"/>
              </w:rPr>
            </w:pPr>
            <w:r>
              <w:rPr>
                <w:rFonts w:hint="default" w:ascii="Times New Roman" w:hAnsi="Times New Roman" w:cs="Times New Roman"/>
                <w:color w:val="000000"/>
                <w:sz w:val="24"/>
                <w:szCs w:val="28"/>
              </w:rPr>
              <w:t>式中：C</w:t>
            </w:r>
            <w:r>
              <w:rPr>
                <w:rFonts w:hint="default" w:ascii="Times New Roman" w:hAnsi="Times New Roman" w:cs="Times New Roman"/>
                <w:color w:val="000000"/>
                <w:sz w:val="24"/>
                <w:szCs w:val="28"/>
                <w:vertAlign w:val="subscript"/>
              </w:rPr>
              <w:t>m</w:t>
            </w:r>
            <w:r>
              <w:rPr>
                <w:rFonts w:hint="default" w:ascii="Times New Roman" w:hAnsi="Times New Roman" w:cs="Times New Roman"/>
                <w:color w:val="000000"/>
                <w:sz w:val="24"/>
              </w:rPr>
              <w:t>——</w:t>
            </w:r>
            <w:r>
              <w:rPr>
                <w:rFonts w:hint="default" w:ascii="Times New Roman" w:hAnsi="Times New Roman" w:cs="Times New Roman"/>
                <w:color w:val="000000"/>
                <w:sz w:val="24"/>
                <w:szCs w:val="28"/>
              </w:rPr>
              <w:t>环境一次浓度标准值（毫克/米</w:t>
            </w:r>
            <w:r>
              <w:rPr>
                <w:rFonts w:hint="default" w:ascii="Times New Roman" w:hAnsi="Times New Roman" w:cs="Times New Roman"/>
                <w:color w:val="000000"/>
                <w:sz w:val="24"/>
                <w:szCs w:val="28"/>
                <w:vertAlign w:val="superscript"/>
              </w:rPr>
              <w:t>3</w:t>
            </w:r>
            <w:r>
              <w:rPr>
                <w:rFonts w:hint="default" w:ascii="Times New Roman" w:hAnsi="Times New Roman" w:cs="Times New Roman"/>
                <w:color w:val="000000"/>
                <w:sz w:val="24"/>
                <w:szCs w:val="28"/>
              </w:rPr>
              <w:t>）；</w:t>
            </w:r>
          </w:p>
          <w:p>
            <w:pPr>
              <w:spacing w:line="500" w:lineRule="exact"/>
              <w:ind w:firstLine="480" w:firstLineChars="200"/>
              <w:jc w:val="both"/>
              <w:rPr>
                <w:rFonts w:hint="default" w:ascii="Times New Roman" w:hAnsi="Times New Roman" w:cs="Times New Roman"/>
                <w:color w:val="000000"/>
                <w:sz w:val="24"/>
                <w:szCs w:val="28"/>
              </w:rPr>
            </w:pPr>
            <w:r>
              <w:rPr>
                <w:rFonts w:hint="default" w:ascii="Times New Roman" w:hAnsi="Times New Roman" w:cs="Times New Roman"/>
                <w:color w:val="000000"/>
                <w:sz w:val="24"/>
                <w:szCs w:val="28"/>
              </w:rPr>
              <w:t>Q</w:t>
            </w:r>
            <w:r>
              <w:rPr>
                <w:rFonts w:hint="default" w:ascii="Times New Roman" w:hAnsi="Times New Roman" w:cs="Times New Roman"/>
                <w:color w:val="000000"/>
                <w:sz w:val="24"/>
                <w:szCs w:val="28"/>
                <w:vertAlign w:val="subscript"/>
              </w:rPr>
              <w:t>c</w:t>
            </w:r>
            <w:r>
              <w:rPr>
                <w:rFonts w:hint="default" w:ascii="Times New Roman" w:hAnsi="Times New Roman" w:cs="Times New Roman"/>
                <w:color w:val="000000"/>
                <w:sz w:val="24"/>
              </w:rPr>
              <w:t>——</w:t>
            </w:r>
            <w:r>
              <w:rPr>
                <w:rFonts w:hint="default" w:ascii="Times New Roman" w:hAnsi="Times New Roman" w:cs="Times New Roman"/>
                <w:color w:val="000000"/>
                <w:sz w:val="24"/>
                <w:szCs w:val="28"/>
              </w:rPr>
              <w:t>有害气体无组织排放量可以达到的控制水平（公斤/小时）；</w:t>
            </w:r>
          </w:p>
          <w:p>
            <w:pPr>
              <w:spacing w:line="500" w:lineRule="exact"/>
              <w:ind w:firstLine="480" w:firstLineChars="200"/>
              <w:jc w:val="both"/>
              <w:rPr>
                <w:rFonts w:hint="default" w:ascii="Times New Roman" w:hAnsi="Times New Roman" w:cs="Times New Roman"/>
                <w:color w:val="000000"/>
                <w:sz w:val="24"/>
                <w:szCs w:val="28"/>
              </w:rPr>
            </w:pPr>
            <w:r>
              <w:rPr>
                <w:rFonts w:hint="default" w:ascii="Times New Roman" w:hAnsi="Times New Roman" w:cs="Times New Roman"/>
                <w:color w:val="000000"/>
                <w:sz w:val="24"/>
                <w:szCs w:val="28"/>
              </w:rPr>
              <w:t>r</w:t>
            </w:r>
            <w:r>
              <w:rPr>
                <w:rFonts w:hint="default" w:ascii="Times New Roman" w:hAnsi="Times New Roman" w:cs="Times New Roman"/>
                <w:color w:val="000000"/>
                <w:sz w:val="24"/>
              </w:rPr>
              <w:t>——</w:t>
            </w:r>
            <w:r>
              <w:rPr>
                <w:rFonts w:hint="default" w:ascii="Times New Roman" w:hAnsi="Times New Roman" w:cs="Times New Roman"/>
                <w:color w:val="000000"/>
                <w:sz w:val="24"/>
                <w:szCs w:val="28"/>
              </w:rPr>
              <w:t>有害气体无组织排放源所在生产单元的等效半径（米）；</w:t>
            </w:r>
          </w:p>
          <w:p>
            <w:pPr>
              <w:spacing w:line="500" w:lineRule="exact"/>
              <w:ind w:firstLine="480" w:firstLineChars="200"/>
              <w:jc w:val="both"/>
              <w:rPr>
                <w:rFonts w:hint="default" w:ascii="Times New Roman" w:hAnsi="Times New Roman" w:cs="Times New Roman"/>
                <w:color w:val="000000"/>
                <w:sz w:val="24"/>
                <w:szCs w:val="28"/>
              </w:rPr>
            </w:pPr>
            <w:r>
              <w:rPr>
                <w:rFonts w:hint="default" w:ascii="Times New Roman" w:hAnsi="Times New Roman" w:cs="Times New Roman"/>
                <w:color w:val="000000"/>
                <w:sz w:val="24"/>
                <w:szCs w:val="28"/>
              </w:rPr>
              <w:t>L</w:t>
            </w:r>
            <w:r>
              <w:rPr>
                <w:rFonts w:hint="default" w:ascii="Times New Roman" w:hAnsi="Times New Roman" w:cs="Times New Roman"/>
                <w:color w:val="000000"/>
                <w:sz w:val="24"/>
              </w:rPr>
              <w:t>——</w:t>
            </w:r>
            <w:r>
              <w:rPr>
                <w:rFonts w:hint="default" w:ascii="Times New Roman" w:hAnsi="Times New Roman" w:cs="Times New Roman"/>
                <w:color w:val="000000"/>
                <w:sz w:val="24"/>
                <w:szCs w:val="28"/>
              </w:rPr>
              <w:t>工业企业所需的卫生防护距离（米）；</w:t>
            </w:r>
          </w:p>
          <w:p>
            <w:pPr>
              <w:spacing w:line="500" w:lineRule="exact"/>
              <w:ind w:firstLine="480" w:firstLineChars="200"/>
              <w:jc w:val="both"/>
              <w:rPr>
                <w:rFonts w:hint="default" w:ascii="Times New Roman" w:hAnsi="Times New Roman" w:cs="Times New Roman"/>
                <w:color w:val="000000"/>
                <w:sz w:val="24"/>
                <w:szCs w:val="28"/>
              </w:rPr>
            </w:pPr>
            <w:r>
              <w:rPr>
                <w:rFonts w:hint="default" w:ascii="Times New Roman" w:hAnsi="Times New Roman" w:cs="Times New Roman"/>
                <w:color w:val="000000"/>
                <w:sz w:val="24"/>
                <w:szCs w:val="28"/>
              </w:rPr>
              <w:t>A、B、C、D</w:t>
            </w:r>
            <w:r>
              <w:rPr>
                <w:rFonts w:hint="default" w:ascii="Times New Roman" w:hAnsi="Times New Roman" w:cs="Times New Roman"/>
                <w:color w:val="000000"/>
                <w:sz w:val="24"/>
              </w:rPr>
              <w:t>——卫生防护距离</w:t>
            </w:r>
            <w:r>
              <w:rPr>
                <w:rFonts w:hint="default" w:ascii="Times New Roman" w:hAnsi="Times New Roman" w:cs="Times New Roman"/>
                <w:color w:val="000000"/>
                <w:sz w:val="24"/>
                <w:szCs w:val="28"/>
              </w:rPr>
              <w:t>计算系数，无因次，根据所在地平均风速及工业企业大气污染源构成类别查取。</w:t>
            </w:r>
          </w:p>
          <w:p>
            <w:pPr>
              <w:spacing w:line="500" w:lineRule="exact"/>
              <w:ind w:firstLine="480" w:firstLineChars="200"/>
              <w:jc w:val="both"/>
              <w:rPr>
                <w:rFonts w:hint="default" w:ascii="Times New Roman" w:hAnsi="Times New Roman" w:cs="Times New Roman"/>
                <w:color w:val="000000"/>
                <w:sz w:val="24"/>
                <w:szCs w:val="28"/>
              </w:rPr>
            </w:pPr>
            <w:r>
              <w:rPr>
                <w:rFonts w:hint="default" w:ascii="Times New Roman" w:hAnsi="Times New Roman" w:cs="Times New Roman"/>
                <w:color w:val="000000"/>
                <w:sz w:val="24"/>
                <w:szCs w:val="28"/>
              </w:rPr>
              <w:t>无组织排放多种有害气体时，按Q</w:t>
            </w:r>
            <w:r>
              <w:rPr>
                <w:rFonts w:hint="default" w:ascii="Times New Roman" w:hAnsi="Times New Roman" w:cs="Times New Roman"/>
                <w:color w:val="000000"/>
                <w:sz w:val="24"/>
                <w:szCs w:val="28"/>
                <w:vertAlign w:val="subscript"/>
              </w:rPr>
              <w:t>c</w:t>
            </w:r>
            <w:r>
              <w:rPr>
                <w:rFonts w:hint="default" w:ascii="Times New Roman" w:hAnsi="Times New Roman" w:cs="Times New Roman"/>
                <w:color w:val="000000"/>
                <w:sz w:val="24"/>
                <w:szCs w:val="28"/>
              </w:rPr>
              <w:t>/C</w:t>
            </w:r>
            <w:r>
              <w:rPr>
                <w:rFonts w:hint="default" w:ascii="Times New Roman" w:hAnsi="Times New Roman" w:cs="Times New Roman"/>
                <w:color w:val="000000"/>
                <w:sz w:val="24"/>
                <w:szCs w:val="28"/>
                <w:vertAlign w:val="subscript"/>
              </w:rPr>
              <w:t>m</w:t>
            </w:r>
            <w:r>
              <w:rPr>
                <w:rFonts w:hint="default" w:ascii="Times New Roman" w:hAnsi="Times New Roman" w:cs="Times New Roman"/>
                <w:color w:val="000000"/>
                <w:sz w:val="24"/>
                <w:szCs w:val="28"/>
              </w:rPr>
              <w:t>的最大值计算其所需的卫生防护距离。卫生防护距离在100m内时，级差为50m；超过100m，但小于1000m时，级差为100m。无组织排放多种有害气体的工业企业，按Q</w:t>
            </w:r>
            <w:r>
              <w:rPr>
                <w:rFonts w:hint="default" w:ascii="Times New Roman" w:hAnsi="Times New Roman" w:cs="Times New Roman"/>
                <w:color w:val="000000"/>
                <w:sz w:val="24"/>
                <w:szCs w:val="28"/>
                <w:vertAlign w:val="subscript"/>
              </w:rPr>
              <w:t>c</w:t>
            </w:r>
            <w:r>
              <w:rPr>
                <w:rFonts w:hint="default" w:ascii="Times New Roman" w:hAnsi="Times New Roman" w:cs="Times New Roman"/>
                <w:color w:val="000000"/>
                <w:sz w:val="24"/>
                <w:szCs w:val="28"/>
              </w:rPr>
              <w:t>/C</w:t>
            </w:r>
            <w:r>
              <w:rPr>
                <w:rFonts w:hint="default" w:ascii="Times New Roman" w:hAnsi="Times New Roman" w:cs="Times New Roman"/>
                <w:color w:val="000000"/>
                <w:sz w:val="24"/>
                <w:szCs w:val="28"/>
                <w:vertAlign w:val="subscript"/>
              </w:rPr>
              <w:t>m</w:t>
            </w:r>
            <w:r>
              <w:rPr>
                <w:rFonts w:hint="default" w:ascii="Times New Roman" w:hAnsi="Times New Roman" w:cs="Times New Roman"/>
                <w:color w:val="000000"/>
                <w:sz w:val="24"/>
                <w:szCs w:val="28"/>
              </w:rPr>
              <w:t>的最大值计算其所需卫生防护距离，但当按两种或两种以上有害气体的Q</w:t>
            </w:r>
            <w:r>
              <w:rPr>
                <w:rFonts w:hint="default" w:ascii="Times New Roman" w:hAnsi="Times New Roman" w:cs="Times New Roman"/>
                <w:color w:val="000000"/>
                <w:sz w:val="24"/>
                <w:szCs w:val="28"/>
                <w:vertAlign w:val="subscript"/>
              </w:rPr>
              <w:t>c</w:t>
            </w:r>
            <w:r>
              <w:rPr>
                <w:rFonts w:hint="default" w:ascii="Times New Roman" w:hAnsi="Times New Roman" w:cs="Times New Roman"/>
                <w:color w:val="000000"/>
                <w:sz w:val="24"/>
                <w:szCs w:val="28"/>
              </w:rPr>
              <w:t>/C</w:t>
            </w:r>
            <w:r>
              <w:rPr>
                <w:rFonts w:hint="default" w:ascii="Times New Roman" w:hAnsi="Times New Roman" w:cs="Times New Roman"/>
                <w:color w:val="000000"/>
                <w:sz w:val="24"/>
                <w:szCs w:val="28"/>
                <w:vertAlign w:val="subscript"/>
              </w:rPr>
              <w:t>m</w:t>
            </w:r>
            <w:r>
              <w:rPr>
                <w:rFonts w:hint="default" w:ascii="Times New Roman" w:hAnsi="Times New Roman" w:cs="Times New Roman"/>
                <w:color w:val="000000"/>
                <w:sz w:val="24"/>
                <w:szCs w:val="28"/>
              </w:rPr>
              <w:t>计算的卫生防护距离在同一级别时，该类工业企业的卫生防护距离提高一级。A、B、C、D值的选取见下表。</w:t>
            </w:r>
          </w:p>
          <w:p>
            <w:pPr>
              <w:keepNext w:val="0"/>
              <w:keepLines w:val="0"/>
              <w:pageBreakBefore w:val="0"/>
              <w:widowControl w:val="0"/>
              <w:tabs>
                <w:tab w:val="left" w:pos="2512"/>
              </w:tabs>
              <w:kinsoku/>
              <w:wordWrap/>
              <w:overflowPunct/>
              <w:topLinePunct w:val="0"/>
              <w:autoSpaceDE/>
              <w:autoSpaceDN/>
              <w:bidi w:val="0"/>
              <w:adjustRightInd/>
              <w:snapToGrid/>
              <w:spacing w:line="460" w:lineRule="exact"/>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表4-</w:t>
            </w:r>
            <w:r>
              <w:rPr>
                <w:rFonts w:hint="eastAsia" w:ascii="Times New Roman" w:hAnsi="Times New Roman" w:cs="Times New Roman"/>
                <w:b/>
                <w:color w:val="auto"/>
                <w:sz w:val="21"/>
                <w:szCs w:val="21"/>
                <w:lang w:val="en-US" w:eastAsia="zh-CN"/>
              </w:rPr>
              <w:t>6</w:t>
            </w:r>
            <w:r>
              <w:rPr>
                <w:rFonts w:hint="default" w:ascii="Times New Roman" w:hAnsi="Times New Roman" w:eastAsia="宋体" w:cs="Times New Roman"/>
                <w:b/>
                <w:color w:val="auto"/>
                <w:sz w:val="21"/>
                <w:szCs w:val="21"/>
              </w:rPr>
              <w:t xml:space="preserve">  卫生防护距离计算系数</w:t>
            </w:r>
          </w:p>
          <w:tbl>
            <w:tblPr>
              <w:tblStyle w:val="23"/>
              <w:tblW w:w="8239" w:type="dxa"/>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825"/>
              <w:gridCol w:w="1331"/>
              <w:gridCol w:w="648"/>
              <w:gridCol w:w="648"/>
              <w:gridCol w:w="649"/>
              <w:gridCol w:w="648"/>
              <w:gridCol w:w="648"/>
              <w:gridCol w:w="734"/>
              <w:gridCol w:w="664"/>
              <w:gridCol w:w="664"/>
              <w:gridCol w:w="780"/>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25" w:type="dxa"/>
                  <w:vMerge w:val="restart"/>
                  <w:tcBorders>
                    <w:tl2br w:val="nil"/>
                    <w:tr2bl w:val="nil"/>
                  </w:tcBorders>
                  <w:vAlign w:val="center"/>
                </w:tcPr>
                <w:p>
                  <w:pPr>
                    <w:snapToGrid w:val="0"/>
                    <w:spacing w:line="320" w:lineRule="exact"/>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计算</w:t>
                  </w:r>
                </w:p>
                <w:p>
                  <w:pPr>
                    <w:snapToGrid w:val="0"/>
                    <w:spacing w:line="320" w:lineRule="exact"/>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系数</w:t>
                  </w:r>
                </w:p>
              </w:tc>
              <w:tc>
                <w:tcPr>
                  <w:tcW w:w="1331" w:type="dxa"/>
                  <w:vMerge w:val="restart"/>
                  <w:tcBorders>
                    <w:tl2br w:val="nil"/>
                    <w:tr2bl w:val="nil"/>
                  </w:tcBorders>
                  <w:vAlign w:val="center"/>
                </w:tcPr>
                <w:p>
                  <w:pPr>
                    <w:snapToGrid w:val="0"/>
                    <w:spacing w:line="320" w:lineRule="exact"/>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5年平均风速m/s</w:t>
                  </w:r>
                </w:p>
              </w:tc>
              <w:tc>
                <w:tcPr>
                  <w:tcW w:w="6083" w:type="dxa"/>
                  <w:gridSpan w:val="9"/>
                  <w:tcBorders>
                    <w:tl2br w:val="nil"/>
                    <w:tr2bl w:val="nil"/>
                  </w:tcBorders>
                  <w:vAlign w:val="center"/>
                </w:tcPr>
                <w:p>
                  <w:pPr>
                    <w:snapToGrid w:val="0"/>
                    <w:spacing w:line="320" w:lineRule="exact"/>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卫生防护距离L，m</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25" w:type="dxa"/>
                  <w:vMerge w:val="continue"/>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p>
              </w:tc>
              <w:tc>
                <w:tcPr>
                  <w:tcW w:w="1331" w:type="dxa"/>
                  <w:vMerge w:val="continue"/>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p>
              </w:tc>
              <w:tc>
                <w:tcPr>
                  <w:tcW w:w="1945"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L≤1000</w:t>
                  </w:r>
                </w:p>
              </w:tc>
              <w:tc>
                <w:tcPr>
                  <w:tcW w:w="2030"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1000＜L≤2000</w:t>
                  </w:r>
                </w:p>
              </w:tc>
              <w:tc>
                <w:tcPr>
                  <w:tcW w:w="2108"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L＞2000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25" w:type="dxa"/>
                  <w:vMerge w:val="continue"/>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p>
              </w:tc>
              <w:tc>
                <w:tcPr>
                  <w:tcW w:w="1331" w:type="dxa"/>
                  <w:vMerge w:val="continue"/>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p>
              </w:tc>
              <w:tc>
                <w:tcPr>
                  <w:tcW w:w="6083" w:type="dxa"/>
                  <w:gridSpan w:val="9"/>
                  <w:tcBorders>
                    <w:tl2br w:val="nil"/>
                    <w:tr2bl w:val="nil"/>
                  </w:tcBorders>
                  <w:vAlign w:val="center"/>
                </w:tcPr>
                <w:p>
                  <w:pPr>
                    <w:snapToGrid w:val="0"/>
                    <w:spacing w:line="320" w:lineRule="exact"/>
                    <w:ind w:left="1320" w:leftChars="600"/>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工业大气污染源构成类别</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25" w:type="dxa"/>
                  <w:vMerge w:val="continue"/>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p>
              </w:tc>
              <w:tc>
                <w:tcPr>
                  <w:tcW w:w="1331" w:type="dxa"/>
                  <w:vMerge w:val="continue"/>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Ⅰ</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Ⅱ</w:t>
                  </w:r>
                </w:p>
              </w:tc>
              <w:tc>
                <w:tcPr>
                  <w:tcW w:w="649"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Ⅲ</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Ⅰ</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Ⅱ</w:t>
                  </w:r>
                </w:p>
              </w:tc>
              <w:tc>
                <w:tcPr>
                  <w:tcW w:w="734"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Ⅲ</w:t>
                  </w:r>
                </w:p>
              </w:tc>
              <w:tc>
                <w:tcPr>
                  <w:tcW w:w="664"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Ⅰ</w:t>
                  </w:r>
                </w:p>
              </w:tc>
              <w:tc>
                <w:tcPr>
                  <w:tcW w:w="664"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Ⅱ</w:t>
                  </w:r>
                </w:p>
              </w:tc>
              <w:tc>
                <w:tcPr>
                  <w:tcW w:w="780"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Ⅲ</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25" w:type="dxa"/>
                  <w:vMerge w:val="restart"/>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A</w:t>
                  </w:r>
                </w:p>
              </w:tc>
              <w:tc>
                <w:tcPr>
                  <w:tcW w:w="1331"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＜2</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400</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400</w:t>
                  </w:r>
                </w:p>
              </w:tc>
              <w:tc>
                <w:tcPr>
                  <w:tcW w:w="649"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400</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400</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400</w:t>
                  </w:r>
                </w:p>
              </w:tc>
              <w:tc>
                <w:tcPr>
                  <w:tcW w:w="734"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400</w:t>
                  </w:r>
                </w:p>
              </w:tc>
              <w:tc>
                <w:tcPr>
                  <w:tcW w:w="664"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80</w:t>
                  </w:r>
                </w:p>
              </w:tc>
              <w:tc>
                <w:tcPr>
                  <w:tcW w:w="664"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80</w:t>
                  </w:r>
                </w:p>
              </w:tc>
              <w:tc>
                <w:tcPr>
                  <w:tcW w:w="780"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80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25" w:type="dxa"/>
                  <w:vMerge w:val="continue"/>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p>
              </w:tc>
              <w:tc>
                <w:tcPr>
                  <w:tcW w:w="1331"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～4</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700</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470*</w:t>
                  </w:r>
                </w:p>
              </w:tc>
              <w:tc>
                <w:tcPr>
                  <w:tcW w:w="649"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50</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700</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470</w:t>
                  </w:r>
                </w:p>
              </w:tc>
              <w:tc>
                <w:tcPr>
                  <w:tcW w:w="734"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350</w:t>
                  </w:r>
                </w:p>
              </w:tc>
              <w:tc>
                <w:tcPr>
                  <w:tcW w:w="664"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380</w:t>
                  </w:r>
                </w:p>
              </w:tc>
              <w:tc>
                <w:tcPr>
                  <w:tcW w:w="664"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250</w:t>
                  </w:r>
                </w:p>
              </w:tc>
              <w:tc>
                <w:tcPr>
                  <w:tcW w:w="780"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190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25" w:type="dxa"/>
                  <w:vMerge w:val="continue"/>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p>
              </w:tc>
              <w:tc>
                <w:tcPr>
                  <w:tcW w:w="1331"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＞4</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530</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350</w:t>
                  </w:r>
                </w:p>
              </w:tc>
              <w:tc>
                <w:tcPr>
                  <w:tcW w:w="649"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260</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530</w:t>
                  </w:r>
                </w:p>
              </w:tc>
              <w:tc>
                <w:tcPr>
                  <w:tcW w:w="648"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350</w:t>
                  </w:r>
                </w:p>
              </w:tc>
              <w:tc>
                <w:tcPr>
                  <w:tcW w:w="734"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260</w:t>
                  </w:r>
                </w:p>
              </w:tc>
              <w:tc>
                <w:tcPr>
                  <w:tcW w:w="664"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290</w:t>
                  </w:r>
                </w:p>
              </w:tc>
              <w:tc>
                <w:tcPr>
                  <w:tcW w:w="664"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190</w:t>
                  </w:r>
                </w:p>
              </w:tc>
              <w:tc>
                <w:tcPr>
                  <w:tcW w:w="780"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140</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25" w:type="dxa"/>
                  <w:vMerge w:val="restart"/>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B</w:t>
                  </w:r>
                </w:p>
              </w:tc>
              <w:tc>
                <w:tcPr>
                  <w:tcW w:w="1331"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＜2</w:t>
                  </w:r>
                </w:p>
              </w:tc>
              <w:tc>
                <w:tcPr>
                  <w:tcW w:w="1945"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0.01</w:t>
                  </w:r>
                </w:p>
              </w:tc>
              <w:tc>
                <w:tcPr>
                  <w:tcW w:w="2030"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0.015</w:t>
                  </w:r>
                </w:p>
              </w:tc>
              <w:tc>
                <w:tcPr>
                  <w:tcW w:w="2108"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0.015</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25" w:type="dxa"/>
                  <w:vMerge w:val="continue"/>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p>
              </w:tc>
              <w:tc>
                <w:tcPr>
                  <w:tcW w:w="1331"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＞2</w:t>
                  </w:r>
                </w:p>
              </w:tc>
              <w:tc>
                <w:tcPr>
                  <w:tcW w:w="1945"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0.021*</w:t>
                  </w:r>
                </w:p>
              </w:tc>
              <w:tc>
                <w:tcPr>
                  <w:tcW w:w="2030"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0.036</w:t>
                  </w:r>
                </w:p>
              </w:tc>
              <w:tc>
                <w:tcPr>
                  <w:tcW w:w="2108"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0.036</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25" w:type="dxa"/>
                  <w:vMerge w:val="restart"/>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C</w:t>
                  </w:r>
                </w:p>
              </w:tc>
              <w:tc>
                <w:tcPr>
                  <w:tcW w:w="1331"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＜2</w:t>
                  </w:r>
                </w:p>
              </w:tc>
              <w:tc>
                <w:tcPr>
                  <w:tcW w:w="1945"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1.85</w:t>
                  </w:r>
                </w:p>
              </w:tc>
              <w:tc>
                <w:tcPr>
                  <w:tcW w:w="2030"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1.79</w:t>
                  </w:r>
                </w:p>
              </w:tc>
              <w:tc>
                <w:tcPr>
                  <w:tcW w:w="2108"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1.79</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25" w:type="dxa"/>
                  <w:vMerge w:val="continue"/>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p>
              </w:tc>
              <w:tc>
                <w:tcPr>
                  <w:tcW w:w="1331"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＞2</w:t>
                  </w:r>
                </w:p>
              </w:tc>
              <w:tc>
                <w:tcPr>
                  <w:tcW w:w="1945"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1.85*</w:t>
                  </w:r>
                </w:p>
              </w:tc>
              <w:tc>
                <w:tcPr>
                  <w:tcW w:w="2030"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1.77</w:t>
                  </w:r>
                </w:p>
              </w:tc>
              <w:tc>
                <w:tcPr>
                  <w:tcW w:w="2108"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1.77</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25" w:type="dxa"/>
                  <w:vMerge w:val="restart"/>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D</w:t>
                  </w:r>
                </w:p>
              </w:tc>
              <w:tc>
                <w:tcPr>
                  <w:tcW w:w="1331"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＜2</w:t>
                  </w:r>
                </w:p>
              </w:tc>
              <w:tc>
                <w:tcPr>
                  <w:tcW w:w="1945"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0.78</w:t>
                  </w:r>
                </w:p>
              </w:tc>
              <w:tc>
                <w:tcPr>
                  <w:tcW w:w="2030"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0.78</w:t>
                  </w:r>
                </w:p>
              </w:tc>
              <w:tc>
                <w:tcPr>
                  <w:tcW w:w="2108"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0.57</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825" w:type="dxa"/>
                  <w:vMerge w:val="continue"/>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p>
              </w:tc>
              <w:tc>
                <w:tcPr>
                  <w:tcW w:w="1331" w:type="dxa"/>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＞2</w:t>
                  </w:r>
                </w:p>
              </w:tc>
              <w:tc>
                <w:tcPr>
                  <w:tcW w:w="1945"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0.84*</w:t>
                  </w:r>
                </w:p>
              </w:tc>
              <w:tc>
                <w:tcPr>
                  <w:tcW w:w="2030"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0.84</w:t>
                  </w:r>
                </w:p>
              </w:tc>
              <w:tc>
                <w:tcPr>
                  <w:tcW w:w="2108" w:type="dxa"/>
                  <w:gridSpan w:val="3"/>
                  <w:tcBorders>
                    <w:tl2br w:val="nil"/>
                    <w:tr2bl w:val="nil"/>
                  </w:tcBorders>
                  <w:vAlign w:val="center"/>
                </w:tcPr>
                <w:p>
                  <w:pPr>
                    <w:snapToGrid w:val="0"/>
                    <w:spacing w:line="320" w:lineRule="exact"/>
                    <w:jc w:val="center"/>
                    <w:rPr>
                      <w:rFonts w:hint="default" w:ascii="Times New Roman" w:hAnsi="Times New Roman" w:cs="Times New Roman"/>
                      <w:bCs/>
                      <w:color w:val="000000"/>
                      <w:sz w:val="21"/>
                      <w:szCs w:val="21"/>
                    </w:rPr>
                  </w:pPr>
                  <w:r>
                    <w:rPr>
                      <w:rFonts w:hint="default" w:ascii="Times New Roman" w:hAnsi="Times New Roman" w:cs="Times New Roman"/>
                      <w:bCs/>
                      <w:color w:val="000000"/>
                      <w:sz w:val="21"/>
                      <w:szCs w:val="21"/>
                    </w:rPr>
                    <w:t>0.76</w:t>
                  </w:r>
                </w:p>
              </w:tc>
            </w:tr>
          </w:tbl>
          <w:p>
            <w:pPr>
              <w:spacing w:line="320" w:lineRule="exact"/>
              <w:ind w:firstLine="360" w:firstLineChars="200"/>
              <w:jc w:val="both"/>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注：*为计算取值。</w:t>
            </w:r>
          </w:p>
          <w:p>
            <w:pPr>
              <w:spacing w:line="500" w:lineRule="exact"/>
              <w:ind w:firstLine="480" w:firstLineChars="200"/>
              <w:jc w:val="both"/>
              <w:rPr>
                <w:rFonts w:hint="default" w:ascii="Times New Roman" w:hAnsi="Times New Roman" w:cs="Times New Roman"/>
                <w:color w:val="000000"/>
                <w:sz w:val="24"/>
                <w:szCs w:val="22"/>
              </w:rPr>
            </w:pPr>
            <w:r>
              <w:rPr>
                <w:rFonts w:hint="default" w:ascii="Times New Roman" w:hAnsi="Times New Roman" w:cs="Times New Roman"/>
                <w:color w:val="000000"/>
                <w:sz w:val="24"/>
                <w:szCs w:val="22"/>
              </w:rPr>
              <w:t>无组织排放废气其排放源强及卫生防护距离等参数见表4-</w:t>
            </w:r>
            <w:r>
              <w:rPr>
                <w:rFonts w:hint="eastAsia" w:ascii="Times New Roman" w:hAnsi="Times New Roman" w:cs="Times New Roman"/>
                <w:color w:val="000000"/>
                <w:sz w:val="24"/>
                <w:szCs w:val="22"/>
                <w:lang w:val="en-US" w:eastAsia="zh-CN"/>
              </w:rPr>
              <w:t>7</w:t>
            </w:r>
            <w:r>
              <w:rPr>
                <w:rFonts w:hint="default" w:ascii="Times New Roman" w:hAnsi="Times New Roman" w:cs="Times New Roman"/>
                <w:color w:val="000000"/>
                <w:sz w:val="24"/>
                <w:szCs w:val="22"/>
              </w:rPr>
              <w:t>。</w:t>
            </w:r>
          </w:p>
          <w:p>
            <w:pPr>
              <w:keepNext w:val="0"/>
              <w:keepLines w:val="0"/>
              <w:pageBreakBefore w:val="0"/>
              <w:widowControl w:val="0"/>
              <w:tabs>
                <w:tab w:val="left" w:pos="2512"/>
              </w:tabs>
              <w:kinsoku/>
              <w:wordWrap/>
              <w:overflowPunct/>
              <w:topLinePunct w:val="0"/>
              <w:autoSpaceDE/>
              <w:autoSpaceDN/>
              <w:bidi w:val="0"/>
              <w:adjustRightInd/>
              <w:snapToGrid/>
              <w:spacing w:line="460" w:lineRule="exact"/>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表4-</w:t>
            </w:r>
            <w:r>
              <w:rPr>
                <w:rFonts w:hint="eastAsia" w:ascii="Times New Roman" w:hAnsi="Times New Roman" w:cs="Times New Roman"/>
                <w:b/>
                <w:color w:val="auto"/>
                <w:sz w:val="21"/>
                <w:szCs w:val="21"/>
                <w:lang w:val="en-US" w:eastAsia="zh-CN"/>
              </w:rPr>
              <w:t>7</w:t>
            </w:r>
            <w:r>
              <w:rPr>
                <w:rFonts w:hint="default" w:ascii="Times New Roman" w:hAnsi="Times New Roman" w:eastAsia="宋体" w:cs="Times New Roman"/>
                <w:b/>
                <w:color w:val="auto"/>
                <w:sz w:val="21"/>
                <w:szCs w:val="21"/>
              </w:rPr>
              <w:t xml:space="preserve">  无组织污染物排放源强和卫生防护距离</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2"/>
              <w:gridCol w:w="995"/>
              <w:gridCol w:w="1011"/>
              <w:gridCol w:w="1079"/>
              <w:gridCol w:w="999"/>
              <w:gridCol w:w="989"/>
              <w:gridCol w:w="1189"/>
              <w:gridCol w:w="10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93" w:type="pc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污染源位置</w:t>
                  </w:r>
                </w:p>
              </w:tc>
              <w:tc>
                <w:tcPr>
                  <w:tcW w:w="612" w:type="pc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污染物名称</w:t>
                  </w:r>
                </w:p>
              </w:tc>
              <w:tc>
                <w:tcPr>
                  <w:tcW w:w="621" w:type="pc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排放量（t/a）</w:t>
                  </w:r>
                </w:p>
              </w:tc>
              <w:tc>
                <w:tcPr>
                  <w:tcW w:w="663" w:type="pc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排放速率（kg/h）</w:t>
                  </w:r>
                </w:p>
              </w:tc>
              <w:tc>
                <w:tcPr>
                  <w:tcW w:w="614" w:type="pc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面源面积（m</w:t>
                  </w:r>
                  <w:r>
                    <w:rPr>
                      <w:rFonts w:hint="default" w:ascii="Times New Roman" w:hAnsi="Times New Roman" w:cs="Times New Roman"/>
                      <w:b/>
                      <w:color w:val="000000"/>
                      <w:sz w:val="21"/>
                      <w:szCs w:val="21"/>
                      <w:vertAlign w:val="superscript"/>
                    </w:rPr>
                    <w:t>2</w:t>
                  </w:r>
                  <w:r>
                    <w:rPr>
                      <w:rFonts w:hint="default" w:ascii="Times New Roman" w:hAnsi="Times New Roman" w:cs="Times New Roman"/>
                      <w:b/>
                      <w:color w:val="000000"/>
                      <w:sz w:val="21"/>
                      <w:szCs w:val="21"/>
                    </w:rPr>
                    <w:t>）</w:t>
                  </w:r>
                </w:p>
              </w:tc>
              <w:tc>
                <w:tcPr>
                  <w:tcW w:w="608" w:type="pc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计算值（m）</w:t>
                  </w:r>
                </w:p>
              </w:tc>
              <w:tc>
                <w:tcPr>
                  <w:tcW w:w="731" w:type="pc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卫生防护距离（m）</w:t>
                  </w:r>
                </w:p>
              </w:tc>
              <w:tc>
                <w:tcPr>
                  <w:tcW w:w="654" w:type="pc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提级后（m）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93" w:type="pct"/>
                  <w:vAlign w:val="center"/>
                </w:tcPr>
                <w:p>
                  <w:pPr>
                    <w:adjustRightInd w:val="0"/>
                    <w:snapToGrid w:val="0"/>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生产</w:t>
                  </w:r>
                  <w:r>
                    <w:rPr>
                      <w:rFonts w:hint="default" w:ascii="Times New Roman" w:hAnsi="Times New Roman" w:cs="Times New Roman"/>
                      <w:color w:val="000000"/>
                      <w:sz w:val="21"/>
                      <w:szCs w:val="21"/>
                    </w:rPr>
                    <w:t>车间</w:t>
                  </w:r>
                  <w:r>
                    <w:rPr>
                      <w:rFonts w:hint="default" w:ascii="Times New Roman" w:hAnsi="Times New Roman" w:cs="Times New Roman"/>
                      <w:color w:val="000000"/>
                      <w:sz w:val="21"/>
                      <w:szCs w:val="21"/>
                      <w:lang w:val="en-US" w:eastAsia="zh-CN"/>
                    </w:rPr>
                    <w:t>2</w:t>
                  </w:r>
                </w:p>
              </w:tc>
              <w:tc>
                <w:tcPr>
                  <w:tcW w:w="612" w:type="pct"/>
                  <w:vAlign w:val="center"/>
                </w:tcPr>
                <w:p>
                  <w:pPr>
                    <w:adjustRightInd w:val="0"/>
                    <w:snapToGrid w:val="0"/>
                    <w:spacing w:line="320" w:lineRule="exact"/>
                    <w:jc w:val="center"/>
                    <w:rPr>
                      <w:rFonts w:hint="default" w:ascii="Times New Roman" w:hAnsi="Times New Roman" w:eastAsia="宋体" w:cs="Times New Roman"/>
                      <w:bCs/>
                      <w:color w:val="000000"/>
                      <w:kern w:val="0"/>
                      <w:sz w:val="21"/>
                      <w:szCs w:val="21"/>
                      <w:lang w:val="en-US" w:eastAsia="zh-CN"/>
                    </w:rPr>
                  </w:pPr>
                  <w:r>
                    <w:rPr>
                      <w:rFonts w:hint="default" w:ascii="Times New Roman" w:hAnsi="Times New Roman" w:cs="Times New Roman"/>
                      <w:bCs/>
                      <w:color w:val="000000"/>
                      <w:kern w:val="0"/>
                      <w:sz w:val="21"/>
                      <w:szCs w:val="21"/>
                      <w:lang w:val="en-US" w:eastAsia="zh-CN"/>
                    </w:rPr>
                    <w:t>非甲烷总烃</w:t>
                  </w:r>
                </w:p>
              </w:tc>
              <w:tc>
                <w:tcPr>
                  <w:tcW w:w="621" w:type="pct"/>
                  <w:vAlign w:val="center"/>
                </w:tcPr>
                <w:p>
                  <w:pPr>
                    <w:adjustRightInd w:val="0"/>
                    <w:snapToGrid w:val="0"/>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0.</w:t>
                  </w:r>
                  <w:r>
                    <w:rPr>
                      <w:rFonts w:hint="eastAsia" w:ascii="Times New Roman" w:hAnsi="Times New Roman" w:cs="Times New Roman"/>
                      <w:color w:val="000000"/>
                      <w:sz w:val="21"/>
                      <w:szCs w:val="21"/>
                      <w:lang w:val="en-US" w:eastAsia="zh-CN"/>
                    </w:rPr>
                    <w:t>053</w:t>
                  </w:r>
                </w:p>
              </w:tc>
              <w:tc>
                <w:tcPr>
                  <w:tcW w:w="663" w:type="pct"/>
                  <w:vAlign w:val="center"/>
                </w:tcPr>
                <w:p>
                  <w:pPr>
                    <w:adjustRightInd w:val="0"/>
                    <w:snapToGrid w:val="0"/>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0.0</w:t>
                  </w:r>
                  <w:r>
                    <w:rPr>
                      <w:rFonts w:hint="eastAsia" w:ascii="Times New Roman" w:hAnsi="Times New Roman" w:cs="Times New Roman"/>
                      <w:color w:val="000000"/>
                      <w:sz w:val="21"/>
                      <w:szCs w:val="21"/>
                      <w:lang w:val="en-US" w:eastAsia="zh-CN"/>
                    </w:rPr>
                    <w:t>11</w:t>
                  </w:r>
                </w:p>
              </w:tc>
              <w:tc>
                <w:tcPr>
                  <w:tcW w:w="614" w:type="pct"/>
                  <w:vAlign w:val="center"/>
                </w:tcPr>
                <w:p>
                  <w:pPr>
                    <w:adjustRightInd w:val="0"/>
                    <w:snapToGrid w:val="0"/>
                    <w:spacing w:line="320" w:lineRule="exact"/>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17</w:t>
                  </w:r>
                  <w:r>
                    <w:rPr>
                      <w:rFonts w:hint="default" w:ascii="Times New Roman" w:hAnsi="Times New Roman" w:eastAsia="宋体" w:cs="Times New Roman"/>
                      <w:sz w:val="21"/>
                      <w:szCs w:val="21"/>
                      <w:lang w:val="en-US" w:eastAsia="zh-CN"/>
                    </w:rPr>
                    <w:t>00</w:t>
                  </w:r>
                </w:p>
              </w:tc>
              <w:tc>
                <w:tcPr>
                  <w:tcW w:w="608"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r>
                    <w:rPr>
                      <w:rFonts w:hint="default" w:ascii="Times New Roman" w:hAnsi="Times New Roman" w:cs="Times New Roman"/>
                      <w:color w:val="000000"/>
                      <w:sz w:val="21"/>
                      <w:szCs w:val="21"/>
                      <w:lang w:val="en-US" w:eastAsia="zh-CN"/>
                    </w:rPr>
                    <w:t>004</w:t>
                  </w:r>
                </w:p>
              </w:tc>
              <w:tc>
                <w:tcPr>
                  <w:tcW w:w="731"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50</w:t>
                  </w:r>
                </w:p>
              </w:tc>
              <w:tc>
                <w:tcPr>
                  <w:tcW w:w="654"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50</w:t>
                  </w:r>
                </w:p>
              </w:tc>
            </w:tr>
          </w:tbl>
          <w:p>
            <w:pPr>
              <w:spacing w:line="500" w:lineRule="exact"/>
              <w:ind w:firstLine="480" w:firstLineChars="200"/>
              <w:jc w:val="both"/>
              <w:rPr>
                <w:rFonts w:hint="default" w:ascii="Times New Roman" w:hAnsi="Times New Roman" w:cs="Times New Roman"/>
                <w:color w:val="000000"/>
                <w:sz w:val="24"/>
                <w:szCs w:val="22"/>
              </w:rPr>
            </w:pPr>
            <w:r>
              <w:rPr>
                <w:rFonts w:hint="default" w:ascii="Times New Roman" w:hAnsi="Times New Roman" w:cs="Times New Roman" w:eastAsiaTheme="minorEastAsia"/>
                <w:sz w:val="24"/>
                <w:szCs w:val="32"/>
                <w:lang w:val="en-US" w:eastAsia="zh-CN"/>
              </w:rPr>
              <w:t>由上表可知</w:t>
            </w:r>
            <w:r>
              <w:rPr>
                <w:rFonts w:hint="default" w:ascii="Times New Roman" w:hAnsi="Times New Roman" w:cs="Times New Roman" w:eastAsiaTheme="minorEastAsia"/>
                <w:sz w:val="24"/>
                <w:szCs w:val="32"/>
              </w:rPr>
              <w:t>，本项目对卫生防护距离不进行提级，因此本项目以</w:t>
            </w:r>
            <w:r>
              <w:rPr>
                <w:rFonts w:hint="default" w:ascii="Times New Roman" w:hAnsi="Times New Roman" w:cs="Times New Roman" w:eastAsiaTheme="minorEastAsia"/>
                <w:sz w:val="24"/>
                <w:szCs w:val="32"/>
                <w:lang w:val="en-US" w:eastAsia="zh-CN"/>
              </w:rPr>
              <w:t>生产</w:t>
            </w:r>
            <w:r>
              <w:rPr>
                <w:rFonts w:hint="default" w:ascii="Times New Roman" w:hAnsi="Times New Roman" w:cs="Times New Roman" w:eastAsiaTheme="minorEastAsia"/>
                <w:sz w:val="24"/>
                <w:szCs w:val="32"/>
              </w:rPr>
              <w:t>车间</w:t>
            </w:r>
            <w:r>
              <w:rPr>
                <w:rFonts w:hint="default" w:ascii="Times New Roman" w:hAnsi="Times New Roman" w:cs="Times New Roman" w:eastAsiaTheme="minorEastAsia"/>
                <w:sz w:val="24"/>
                <w:szCs w:val="32"/>
                <w:lang w:val="en-US" w:eastAsia="zh-CN"/>
              </w:rPr>
              <w:t>2</w:t>
            </w:r>
            <w:r>
              <w:rPr>
                <w:rFonts w:hint="default" w:ascii="Times New Roman" w:hAnsi="Times New Roman" w:cs="Times New Roman" w:eastAsiaTheme="minorEastAsia"/>
                <w:sz w:val="24"/>
                <w:szCs w:val="32"/>
              </w:rPr>
              <w:t>为边界设置50米卫生防护距离，根据现场踏勘，在</w:t>
            </w:r>
            <w:r>
              <w:rPr>
                <w:rFonts w:hint="default" w:ascii="Times New Roman" w:hAnsi="Times New Roman" w:cs="Times New Roman" w:eastAsiaTheme="minorEastAsia"/>
                <w:sz w:val="24"/>
                <w:szCs w:val="32"/>
                <w:lang w:val="en-US" w:eastAsia="zh-CN"/>
              </w:rPr>
              <w:t>生产</w:t>
            </w:r>
            <w:r>
              <w:rPr>
                <w:rFonts w:hint="default" w:ascii="Times New Roman" w:hAnsi="Times New Roman" w:cs="Times New Roman" w:eastAsiaTheme="minorEastAsia"/>
                <w:sz w:val="24"/>
                <w:szCs w:val="32"/>
              </w:rPr>
              <w:t>车间外50m范围内无居民住宅、学校、医院等环境敏感目标，在以后的规划建设中，也不得新增环境保护目标。</w:t>
            </w:r>
          </w:p>
          <w:p>
            <w:pPr>
              <w:tabs>
                <w:tab w:val="left" w:pos="3060"/>
              </w:tabs>
              <w:spacing w:line="500" w:lineRule="exact"/>
              <w:ind w:firstLine="480" w:firstLineChars="200"/>
              <w:jc w:val="both"/>
              <w:rPr>
                <w:rFonts w:hint="default" w:ascii="Times New Roman" w:hAnsi="Times New Roman" w:cs="Times New Roman"/>
                <w:b/>
                <w:bCs/>
                <w:color w:val="000000"/>
                <w:sz w:val="24"/>
              </w:rPr>
            </w:pPr>
            <w:r>
              <w:rPr>
                <w:rFonts w:hint="default" w:ascii="Times New Roman" w:hAnsi="Times New Roman" w:cs="Times New Roman"/>
                <w:color w:val="000000"/>
                <w:sz w:val="24"/>
                <w:szCs w:val="22"/>
              </w:rPr>
              <w:t>综上所述，</w:t>
            </w:r>
            <w:r>
              <w:rPr>
                <w:rFonts w:hint="default" w:ascii="Times New Roman" w:hAnsi="Times New Roman" w:cs="Times New Roman"/>
                <w:color w:val="000000"/>
                <w:kern w:val="0"/>
                <w:sz w:val="24"/>
              </w:rPr>
              <w:t>采取措施后，本项目大气污染物对周围环境影响在可承受范围之内。</w:t>
            </w:r>
          </w:p>
          <w:p>
            <w:pPr>
              <w:tabs>
                <w:tab w:val="left" w:pos="3060"/>
              </w:tabs>
              <w:spacing w:line="460" w:lineRule="exact"/>
              <w:ind w:firstLine="482" w:firstLineChars="200"/>
              <w:jc w:val="both"/>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1.</w:t>
            </w:r>
            <w:r>
              <w:rPr>
                <w:rFonts w:hint="default" w:ascii="Times New Roman" w:hAnsi="Times New Roman" w:cs="Times New Roman"/>
                <w:b/>
                <w:bCs/>
                <w:color w:val="000000" w:themeColor="text1"/>
                <w:sz w:val="24"/>
                <w:lang w:val="en-US" w:eastAsia="zh-CN"/>
                <w14:textFill>
                  <w14:solidFill>
                    <w14:schemeClr w14:val="tx1"/>
                  </w14:solidFill>
                </w14:textFill>
              </w:rPr>
              <w:t>7</w:t>
            </w:r>
            <w:r>
              <w:rPr>
                <w:rFonts w:hint="default" w:ascii="Times New Roman" w:hAnsi="Times New Roman" w:eastAsia="宋体" w:cs="Times New Roman"/>
                <w:b/>
                <w:bCs/>
                <w:color w:val="000000" w:themeColor="text1"/>
                <w:sz w:val="24"/>
                <w:lang w:val="en-US" w:eastAsia="zh-CN"/>
                <w14:textFill>
                  <w14:solidFill>
                    <w14:schemeClr w14:val="tx1"/>
                  </w14:solidFill>
                </w14:textFill>
              </w:rPr>
              <w:t xml:space="preserve"> </w:t>
            </w:r>
            <w:r>
              <w:rPr>
                <w:rFonts w:hint="default" w:ascii="Times New Roman" w:hAnsi="Times New Roman" w:cs="Times New Roman"/>
                <w:b/>
                <w:bCs/>
                <w:color w:val="000000" w:themeColor="text1"/>
                <w:sz w:val="24"/>
                <w14:textFill>
                  <w14:solidFill>
                    <w14:schemeClr w14:val="tx1"/>
                  </w14:solidFill>
                </w14:textFill>
              </w:rPr>
              <w:t>自行监测要求</w:t>
            </w:r>
          </w:p>
          <w:p>
            <w:pPr>
              <w:tabs>
                <w:tab w:val="left" w:pos="3060"/>
              </w:tabs>
              <w:spacing w:line="500" w:lineRule="exact"/>
              <w:ind w:firstLine="480" w:firstLineChars="200"/>
              <w:jc w:val="both"/>
              <w:rPr>
                <w:rFonts w:hint="default" w:ascii="Times New Roman" w:hAnsi="Times New Roman" w:cs="Times New Roman"/>
                <w:color w:val="000000"/>
                <w:kern w:val="0"/>
                <w:sz w:val="24"/>
              </w:rPr>
            </w:pPr>
            <w:r>
              <w:rPr>
                <w:rFonts w:hint="default" w:ascii="Times New Roman" w:hAnsi="Times New Roman" w:cs="Times New Roman"/>
                <w:color w:val="000000"/>
                <w:kern w:val="0"/>
                <w:sz w:val="24"/>
                <w:lang w:val="en-US" w:eastAsia="zh-CN"/>
              </w:rPr>
              <w:t>根据《固定污染源排污许可分类管理名录（2019）》，项目属于登记管理，根据《排污许可申请与核发技术规范 总则》（HJ 1031-2019）、《排污许可证申请与核发技术规范-橡胶和塑料制品工业》（HJ1122-2020）和《排污单位自行监测技术指南 总则》（HJ 819-2017），本项目所有废气排放口均属于一般排放口，本项目运营期参照简化管理制定废气环境自行监测计划</w:t>
            </w:r>
            <w:r>
              <w:rPr>
                <w:rFonts w:hint="eastAsia" w:ascii="Times New Roman" w:hAnsi="Times New Roman" w:cs="Times New Roman"/>
                <w:color w:val="000000"/>
                <w:kern w:val="0"/>
                <w:sz w:val="24"/>
                <w:lang w:val="en-US" w:eastAsia="zh-CN"/>
              </w:rPr>
              <w:t>，项目建成后，全厂废气自行监测计划</w:t>
            </w:r>
            <w:r>
              <w:rPr>
                <w:rFonts w:hint="default" w:ascii="Times New Roman" w:hAnsi="Times New Roman" w:cs="Times New Roman"/>
                <w:color w:val="000000"/>
                <w:kern w:val="0"/>
                <w:sz w:val="24"/>
                <w:lang w:val="en-US" w:eastAsia="zh-CN"/>
              </w:rPr>
              <w:t>见表 4-</w:t>
            </w:r>
            <w:r>
              <w:rPr>
                <w:rFonts w:hint="eastAsia" w:ascii="Times New Roman" w:hAnsi="Times New Roman" w:cs="Times New Roman"/>
                <w:color w:val="000000"/>
                <w:kern w:val="0"/>
                <w:sz w:val="24"/>
                <w:lang w:val="en-US" w:eastAsia="zh-CN"/>
              </w:rPr>
              <w:t>8</w:t>
            </w:r>
            <w:r>
              <w:rPr>
                <w:rFonts w:hint="default" w:ascii="Times New Roman" w:hAnsi="Times New Roman" w:cs="Times New Roman"/>
                <w:color w:val="000000"/>
                <w:kern w:val="0"/>
                <w:sz w:val="24"/>
                <w:lang w:val="en-US" w:eastAsia="zh-CN"/>
              </w:rPr>
              <w:t>。</w:t>
            </w:r>
          </w:p>
          <w:p>
            <w:pPr>
              <w:keepNext w:val="0"/>
              <w:keepLines w:val="0"/>
              <w:pageBreakBefore w:val="0"/>
              <w:widowControl w:val="0"/>
              <w:tabs>
                <w:tab w:val="left" w:pos="2512"/>
              </w:tabs>
              <w:kinsoku/>
              <w:wordWrap/>
              <w:overflowPunct/>
              <w:topLinePunct w:val="0"/>
              <w:autoSpaceDE/>
              <w:autoSpaceDN/>
              <w:bidi w:val="0"/>
              <w:adjustRightInd/>
              <w:snapToGrid/>
              <w:spacing w:line="460" w:lineRule="exact"/>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表4-</w:t>
            </w:r>
            <w:r>
              <w:rPr>
                <w:rFonts w:hint="eastAsia" w:ascii="Times New Roman" w:hAnsi="Times New Roman" w:cs="Times New Roman"/>
                <w:b/>
                <w:color w:val="auto"/>
                <w:sz w:val="21"/>
                <w:szCs w:val="21"/>
                <w:lang w:val="en-US" w:eastAsia="zh-CN"/>
              </w:rPr>
              <w:t>8</w:t>
            </w:r>
            <w:r>
              <w:rPr>
                <w:rFonts w:hint="default" w:ascii="Times New Roman" w:hAnsi="Times New Roman" w:eastAsia="宋体" w:cs="Times New Roman"/>
                <w:b/>
                <w:color w:val="auto"/>
                <w:sz w:val="21"/>
                <w:szCs w:val="21"/>
                <w:lang w:val="en-US" w:eastAsia="zh-CN"/>
              </w:rPr>
              <w:t xml:space="preserve">  </w:t>
            </w:r>
            <w:r>
              <w:rPr>
                <w:rFonts w:hint="eastAsia" w:ascii="Times New Roman" w:hAnsi="Times New Roman" w:cs="Times New Roman"/>
                <w:b/>
                <w:color w:val="auto"/>
                <w:sz w:val="21"/>
                <w:szCs w:val="21"/>
                <w:lang w:val="en-US" w:eastAsia="zh-CN"/>
              </w:rPr>
              <w:t>全厂</w:t>
            </w:r>
            <w:r>
              <w:rPr>
                <w:rFonts w:hint="default" w:ascii="Times New Roman" w:hAnsi="Times New Roman" w:eastAsia="宋体" w:cs="Times New Roman"/>
                <w:b/>
                <w:color w:val="auto"/>
                <w:sz w:val="21"/>
                <w:szCs w:val="21"/>
              </w:rPr>
              <w:t>废气环境监测计划</w:t>
            </w:r>
          </w:p>
          <w:tbl>
            <w:tblPr>
              <w:tblStyle w:val="24"/>
              <w:tblW w:w="80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8"/>
              <w:gridCol w:w="3678"/>
              <w:gridCol w:w="1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688" w:type="dxa"/>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监测点位</w:t>
                  </w:r>
                </w:p>
              </w:tc>
              <w:tc>
                <w:tcPr>
                  <w:tcW w:w="3678" w:type="dxa"/>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监测项目</w:t>
                  </w:r>
                </w:p>
              </w:tc>
              <w:tc>
                <w:tcPr>
                  <w:tcW w:w="1713" w:type="dxa"/>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2688"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DA00</w:t>
                  </w:r>
                  <w:r>
                    <w:rPr>
                      <w:rFonts w:hint="default" w:ascii="Times New Roman" w:hAnsi="Times New Roman" w:eastAsia="宋体" w:cs="Times New Roman"/>
                      <w:sz w:val="21"/>
                      <w:szCs w:val="21"/>
                      <w:lang w:val="en-US" w:eastAsia="zh-CN"/>
                    </w:rPr>
                    <w:t>1</w:t>
                  </w:r>
                  <w:r>
                    <w:rPr>
                      <w:rFonts w:hint="default" w:ascii="Times New Roman" w:hAnsi="Times New Roman" w:cs="Times New Roman"/>
                      <w:sz w:val="21"/>
                      <w:szCs w:val="21"/>
                    </w:rPr>
                    <w:t>排气筒</w:t>
                  </w:r>
                </w:p>
              </w:tc>
              <w:tc>
                <w:tcPr>
                  <w:tcW w:w="3678" w:type="dxa"/>
                  <w:vAlign w:val="center"/>
                </w:tcPr>
                <w:p>
                  <w:pPr>
                    <w:widowControl/>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非甲烷总烃</w:t>
                  </w:r>
                </w:p>
              </w:tc>
              <w:tc>
                <w:tcPr>
                  <w:tcW w:w="1713"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每年一次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2688"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DA00</w:t>
                  </w:r>
                  <w:r>
                    <w:rPr>
                      <w:rFonts w:hint="default" w:ascii="Times New Roman" w:hAnsi="Times New Roman" w:eastAsia="宋体" w:cs="Times New Roman"/>
                      <w:sz w:val="21"/>
                      <w:szCs w:val="21"/>
                      <w:lang w:val="en-US" w:eastAsia="zh-CN"/>
                    </w:rPr>
                    <w:t>2</w:t>
                  </w:r>
                  <w:r>
                    <w:rPr>
                      <w:rFonts w:hint="default" w:ascii="Times New Roman" w:hAnsi="Times New Roman" w:cs="Times New Roman"/>
                      <w:sz w:val="21"/>
                      <w:szCs w:val="21"/>
                    </w:rPr>
                    <w:t>排气筒</w:t>
                  </w:r>
                </w:p>
              </w:tc>
              <w:tc>
                <w:tcPr>
                  <w:tcW w:w="3678"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非甲烷总烃</w:t>
                  </w:r>
                </w:p>
              </w:tc>
              <w:tc>
                <w:tcPr>
                  <w:tcW w:w="1713"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每年一次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2688"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厂界</w:t>
                  </w:r>
                </w:p>
              </w:tc>
              <w:tc>
                <w:tcPr>
                  <w:tcW w:w="3678"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非甲烷总烃</w:t>
                  </w:r>
                </w:p>
              </w:tc>
              <w:tc>
                <w:tcPr>
                  <w:tcW w:w="1713"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每年一次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2688"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厂区内</w:t>
                  </w:r>
                  <w:r>
                    <w:rPr>
                      <w:rFonts w:hint="default" w:ascii="Times New Roman" w:hAnsi="Times New Roman" w:eastAsia="宋体" w:cs="Times New Roman"/>
                      <w:sz w:val="21"/>
                      <w:szCs w:val="21"/>
                      <w:lang w:val="en-US" w:eastAsia="zh-CN"/>
                    </w:rPr>
                    <w:t>生产车间</w:t>
                  </w:r>
                  <w:r>
                    <w:rPr>
                      <w:rFonts w:hint="default" w:ascii="Times New Roman" w:hAnsi="Times New Roman" w:cs="Times New Roman"/>
                      <w:sz w:val="21"/>
                      <w:szCs w:val="21"/>
                    </w:rPr>
                    <w:t>外</w:t>
                  </w:r>
                </w:p>
              </w:tc>
              <w:tc>
                <w:tcPr>
                  <w:tcW w:w="3678" w:type="dxa"/>
                  <w:vAlign w:val="center"/>
                </w:tcPr>
                <w:p>
                  <w:pPr>
                    <w:widowControl/>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非甲烷总烃</w:t>
                  </w:r>
                </w:p>
              </w:tc>
              <w:tc>
                <w:tcPr>
                  <w:tcW w:w="1713"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每年一次</w:t>
                  </w:r>
                </w:p>
              </w:tc>
            </w:tr>
          </w:tbl>
          <w:p>
            <w:pPr>
              <w:numPr>
                <w:ilvl w:val="0"/>
                <w:numId w:val="0"/>
              </w:numPr>
              <w:spacing w:line="360" w:lineRule="auto"/>
              <w:ind w:firstLine="482" w:firstLineChars="200"/>
              <w:jc w:val="both"/>
              <w:rPr>
                <w:rFonts w:hint="default" w:ascii="Times New Roman" w:hAnsi="Times New Roman" w:eastAsia="宋体" w:cs="Times New Roman"/>
                <w:b/>
                <w:bCs/>
                <w:color w:val="auto"/>
                <w:sz w:val="24"/>
                <w:lang w:eastAsia="zh-CN"/>
              </w:rPr>
            </w:pPr>
            <w:r>
              <w:rPr>
                <w:rFonts w:hint="default" w:ascii="Times New Roman" w:hAnsi="Times New Roman" w:cs="Times New Roman"/>
                <w:b/>
                <w:bCs/>
                <w:color w:val="auto"/>
                <w:sz w:val="24"/>
                <w:lang w:val="en-US" w:eastAsia="zh-CN"/>
              </w:rPr>
              <w:t>2、</w:t>
            </w:r>
            <w:r>
              <w:rPr>
                <w:rFonts w:hint="default" w:ascii="Times New Roman" w:hAnsi="Times New Roman" w:eastAsia="宋体" w:cs="Times New Roman"/>
                <w:b/>
                <w:bCs/>
                <w:color w:val="auto"/>
                <w:sz w:val="24"/>
                <w:lang w:eastAsia="zh-CN"/>
              </w:rPr>
              <w:t>废水</w:t>
            </w:r>
          </w:p>
          <w:p>
            <w:pPr>
              <w:spacing w:line="360" w:lineRule="auto"/>
              <w:ind w:firstLine="480" w:firstLineChars="200"/>
              <w:jc w:val="both"/>
              <w:rPr>
                <w:rFonts w:hint="default" w:ascii="Times New Roman" w:hAnsi="Times New Roman" w:cs="Times New Roman"/>
                <w:color w:val="auto"/>
                <w:sz w:val="24"/>
                <w:szCs w:val="22"/>
                <w:lang w:val="en-US" w:eastAsia="zh-CN"/>
              </w:rPr>
            </w:pPr>
            <w:r>
              <w:rPr>
                <w:rFonts w:hint="default" w:ascii="Times New Roman" w:hAnsi="Times New Roman" w:cs="Times New Roman"/>
                <w:color w:val="auto"/>
                <w:sz w:val="24"/>
                <w:szCs w:val="22"/>
                <w:lang w:val="en-US" w:eastAsia="zh-CN"/>
              </w:rPr>
              <w:t>本项目不新增废水排放。</w:t>
            </w:r>
          </w:p>
          <w:p>
            <w:pPr>
              <w:spacing w:line="360" w:lineRule="auto"/>
              <w:ind w:firstLine="482" w:firstLineChars="200"/>
              <w:jc w:val="both"/>
              <w:rPr>
                <w:rFonts w:hint="default" w:ascii="Times New Roman" w:hAnsi="Times New Roman" w:eastAsia="宋体" w:cs="Times New Roman"/>
                <w:bCs/>
                <w:color w:val="auto"/>
                <w:sz w:val="24"/>
                <w:lang w:eastAsia="zh-CN"/>
              </w:rPr>
            </w:pPr>
            <w:r>
              <w:rPr>
                <w:rFonts w:hint="default" w:ascii="Times New Roman" w:hAnsi="Times New Roman" w:eastAsia="宋体" w:cs="Times New Roman"/>
                <w:b/>
                <w:bCs/>
                <w:color w:val="auto"/>
                <w:sz w:val="24"/>
                <w:szCs w:val="24"/>
                <w:lang w:eastAsia="zh-CN"/>
              </w:rPr>
              <w:t>3、噪声</w:t>
            </w:r>
          </w:p>
          <w:p>
            <w:pPr>
              <w:spacing w:line="360" w:lineRule="auto"/>
              <w:ind w:firstLine="482" w:firstLineChars="200"/>
              <w:jc w:val="both"/>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lang w:eastAsia="zh-CN"/>
              </w:rPr>
              <w:t>3.1噪声源强及降噪措施</w:t>
            </w:r>
          </w:p>
          <w:p>
            <w:pPr>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szCs w:val="22"/>
              </w:rPr>
              <w:t>本项目主要高噪声设备为</w:t>
            </w:r>
            <w:r>
              <w:rPr>
                <w:rFonts w:hint="default" w:ascii="Times New Roman" w:hAnsi="Times New Roman" w:cs="Times New Roman"/>
                <w:color w:val="auto"/>
                <w:sz w:val="24"/>
                <w:szCs w:val="22"/>
                <w:lang w:val="en-US" w:eastAsia="zh-CN"/>
              </w:rPr>
              <w:t>涂膜机、吨包切印一体机</w:t>
            </w:r>
            <w:r>
              <w:rPr>
                <w:rFonts w:hint="default" w:ascii="Times New Roman" w:hAnsi="Times New Roman" w:cs="Times New Roman"/>
                <w:color w:val="auto"/>
                <w:sz w:val="24"/>
                <w:szCs w:val="22"/>
              </w:rPr>
              <w:t>及废气处理设施等，类比同类型企业生产情况，设备噪声源强为70-</w:t>
            </w:r>
            <w:r>
              <w:rPr>
                <w:rFonts w:hint="default" w:ascii="Times New Roman" w:hAnsi="Times New Roman" w:eastAsia="宋体" w:cs="Times New Roman"/>
                <w:color w:val="auto"/>
                <w:sz w:val="24"/>
                <w:szCs w:val="22"/>
                <w:lang w:val="en-US" w:eastAsia="zh-CN"/>
              </w:rPr>
              <w:t>90</w:t>
            </w:r>
            <w:r>
              <w:rPr>
                <w:rFonts w:hint="default" w:ascii="Times New Roman" w:hAnsi="Times New Roman" w:cs="Times New Roman"/>
                <w:color w:val="auto"/>
                <w:sz w:val="24"/>
                <w:szCs w:val="22"/>
              </w:rPr>
              <w:t>dB（A）。项目生产设备放置于生产装置区域内，车间门窗紧闭，厂房及构筑物综合隔声量可达2</w:t>
            </w:r>
            <w:r>
              <w:rPr>
                <w:rFonts w:hint="default" w:ascii="Times New Roman" w:hAnsi="Times New Roman" w:eastAsia="宋体" w:cs="Times New Roman"/>
                <w:color w:val="auto"/>
                <w:sz w:val="24"/>
                <w:szCs w:val="22"/>
                <w:lang w:val="en-US" w:eastAsia="zh-CN"/>
              </w:rPr>
              <w:t>5</w:t>
            </w:r>
            <w:r>
              <w:rPr>
                <w:rFonts w:hint="default" w:ascii="Times New Roman" w:hAnsi="Times New Roman" w:cs="Times New Roman"/>
                <w:color w:val="auto"/>
                <w:sz w:val="24"/>
                <w:szCs w:val="22"/>
              </w:rPr>
              <w:t>dB（A）以上。</w:t>
            </w:r>
            <w:r>
              <w:rPr>
                <w:rFonts w:hint="default" w:ascii="Times New Roman" w:hAnsi="Times New Roman" w:cs="Times New Roman"/>
                <w:color w:val="auto"/>
                <w:sz w:val="24"/>
              </w:rPr>
              <w:t>主要噪声源及治理措施见表4-</w:t>
            </w:r>
            <w:r>
              <w:rPr>
                <w:rFonts w:hint="eastAsia" w:ascii="Times New Roman" w:hAnsi="Times New Roman" w:cs="Times New Roman"/>
                <w:color w:val="auto"/>
                <w:sz w:val="24"/>
                <w:lang w:val="en-US" w:eastAsia="zh-CN"/>
              </w:rPr>
              <w:t>9</w:t>
            </w:r>
            <w:r>
              <w:rPr>
                <w:rFonts w:hint="default" w:ascii="Times New Roman" w:hAnsi="Times New Roman" w:cs="Times New Roman"/>
                <w:color w:val="auto"/>
                <w:sz w:val="24"/>
              </w:rPr>
              <w:t>~表4-</w:t>
            </w:r>
            <w:r>
              <w:rPr>
                <w:rFonts w:hint="eastAsia" w:ascii="Times New Roman" w:hAnsi="Times New Roman" w:cs="Times New Roman"/>
                <w:color w:val="auto"/>
                <w:sz w:val="24"/>
                <w:lang w:val="en-US" w:eastAsia="zh-CN"/>
              </w:rPr>
              <w:t>10</w:t>
            </w:r>
            <w:r>
              <w:rPr>
                <w:rFonts w:hint="default" w:ascii="Times New Roman" w:hAnsi="Times New Roman" w:cs="Times New Roman"/>
                <w:color w:val="auto"/>
                <w:sz w:val="24"/>
              </w:rPr>
              <w:t>。</w:t>
            </w:r>
          </w:p>
          <w:p>
            <w:pPr>
              <w:spacing w:line="460" w:lineRule="exact"/>
              <w:jc w:val="center"/>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lang w:eastAsia="zh-CN"/>
              </w:rPr>
              <w:t>表4-</w:t>
            </w:r>
            <w:r>
              <w:rPr>
                <w:rFonts w:hint="eastAsia" w:ascii="Times New Roman" w:hAnsi="Times New Roman" w:cs="Times New Roman"/>
                <w:b/>
                <w:color w:val="auto"/>
                <w:sz w:val="21"/>
                <w:szCs w:val="21"/>
                <w:lang w:val="en-US" w:eastAsia="zh-CN"/>
              </w:rPr>
              <w:t>9</w:t>
            </w:r>
            <w:r>
              <w:rPr>
                <w:rFonts w:hint="default" w:ascii="Times New Roman" w:hAnsi="Times New Roman" w:eastAsia="宋体" w:cs="Times New Roman"/>
                <w:b/>
                <w:color w:val="auto"/>
                <w:sz w:val="21"/>
                <w:szCs w:val="21"/>
                <w:lang w:eastAsia="zh-CN"/>
              </w:rPr>
              <w:t xml:space="preserve"> 工业企业噪声源强调查清单（室外声源）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6"/>
              <w:gridCol w:w="993"/>
              <w:gridCol w:w="756"/>
              <w:gridCol w:w="730"/>
              <w:gridCol w:w="730"/>
              <w:gridCol w:w="731"/>
              <w:gridCol w:w="1153"/>
              <w:gridCol w:w="1572"/>
              <w:gridCol w:w="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335" w:type="pct"/>
                  <w:vMerge w:val="restart"/>
                  <w:vAlign w:val="center"/>
                </w:tcPr>
                <w:p>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序号</w:t>
                  </w:r>
                </w:p>
              </w:tc>
              <w:tc>
                <w:tcPr>
                  <w:tcW w:w="610" w:type="pct"/>
                  <w:vMerge w:val="restart"/>
                  <w:vAlign w:val="center"/>
                </w:tcPr>
                <w:p>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声源名称</w:t>
                  </w:r>
                </w:p>
              </w:tc>
              <w:tc>
                <w:tcPr>
                  <w:tcW w:w="465" w:type="pct"/>
                  <w:vMerge w:val="restart"/>
                  <w:vAlign w:val="center"/>
                </w:tcPr>
                <w:p>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型号</w:t>
                  </w:r>
                </w:p>
              </w:tc>
              <w:tc>
                <w:tcPr>
                  <w:tcW w:w="1347" w:type="pct"/>
                  <w:gridSpan w:val="3"/>
                  <w:vAlign w:val="center"/>
                </w:tcPr>
                <w:p>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空间相对位置/m</w:t>
                  </w:r>
                </w:p>
              </w:tc>
              <w:tc>
                <w:tcPr>
                  <w:tcW w:w="709" w:type="pct"/>
                  <w:vMerge w:val="restart"/>
                  <w:vAlign w:val="center"/>
                </w:tcPr>
                <w:p>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声压级dB(A)</w:t>
                  </w:r>
                </w:p>
              </w:tc>
              <w:tc>
                <w:tcPr>
                  <w:tcW w:w="967" w:type="pct"/>
                  <w:vMerge w:val="restart"/>
                  <w:vAlign w:val="center"/>
                </w:tcPr>
                <w:p>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声源控制措施</w:t>
                  </w:r>
                </w:p>
              </w:tc>
              <w:tc>
                <w:tcPr>
                  <w:tcW w:w="564" w:type="pct"/>
                  <w:vMerge w:val="restart"/>
                  <w:vAlign w:val="center"/>
                </w:tcPr>
                <w:p>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335" w:type="pct"/>
                  <w:vMerge w:val="continue"/>
                  <w:vAlign w:val="center"/>
                </w:tcPr>
                <w:p>
                  <w:pPr>
                    <w:widowControl/>
                    <w:jc w:val="center"/>
                    <w:rPr>
                      <w:rFonts w:hint="default" w:ascii="Times New Roman" w:hAnsi="Times New Roman" w:cs="Times New Roman"/>
                      <w:b/>
                      <w:bCs/>
                      <w:color w:val="auto"/>
                      <w:szCs w:val="21"/>
                    </w:rPr>
                  </w:pPr>
                </w:p>
              </w:tc>
              <w:tc>
                <w:tcPr>
                  <w:tcW w:w="610" w:type="pct"/>
                  <w:vMerge w:val="continue"/>
                  <w:vAlign w:val="center"/>
                </w:tcPr>
                <w:p>
                  <w:pPr>
                    <w:widowControl/>
                    <w:jc w:val="center"/>
                    <w:rPr>
                      <w:rFonts w:hint="default" w:ascii="Times New Roman" w:hAnsi="Times New Roman" w:cs="Times New Roman"/>
                      <w:b/>
                      <w:bCs/>
                      <w:color w:val="auto"/>
                      <w:szCs w:val="21"/>
                    </w:rPr>
                  </w:pPr>
                </w:p>
              </w:tc>
              <w:tc>
                <w:tcPr>
                  <w:tcW w:w="465" w:type="pct"/>
                  <w:vMerge w:val="continue"/>
                  <w:vAlign w:val="center"/>
                </w:tcPr>
                <w:p>
                  <w:pPr>
                    <w:widowControl/>
                    <w:jc w:val="center"/>
                    <w:rPr>
                      <w:rFonts w:hint="default" w:ascii="Times New Roman" w:hAnsi="Times New Roman" w:cs="Times New Roman"/>
                      <w:b/>
                      <w:bCs/>
                      <w:color w:val="auto"/>
                      <w:szCs w:val="21"/>
                    </w:rPr>
                  </w:pPr>
                </w:p>
              </w:tc>
              <w:tc>
                <w:tcPr>
                  <w:tcW w:w="449" w:type="pct"/>
                  <w:vAlign w:val="center"/>
                </w:tcPr>
                <w:p>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X</w:t>
                  </w:r>
                </w:p>
              </w:tc>
              <w:tc>
                <w:tcPr>
                  <w:tcW w:w="449" w:type="pct"/>
                  <w:vAlign w:val="center"/>
                </w:tcPr>
                <w:p>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Y</w:t>
                  </w:r>
                </w:p>
              </w:tc>
              <w:tc>
                <w:tcPr>
                  <w:tcW w:w="449" w:type="pct"/>
                  <w:vAlign w:val="center"/>
                </w:tcPr>
                <w:p>
                  <w:pPr>
                    <w:widowControl/>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Z</w:t>
                  </w:r>
                </w:p>
              </w:tc>
              <w:tc>
                <w:tcPr>
                  <w:tcW w:w="709" w:type="pct"/>
                  <w:vMerge w:val="continue"/>
                  <w:vAlign w:val="center"/>
                </w:tcPr>
                <w:p>
                  <w:pPr>
                    <w:widowControl/>
                    <w:jc w:val="center"/>
                    <w:rPr>
                      <w:rFonts w:hint="default" w:ascii="Times New Roman" w:hAnsi="Times New Roman" w:cs="Times New Roman"/>
                      <w:b/>
                      <w:bCs/>
                      <w:color w:val="auto"/>
                      <w:szCs w:val="21"/>
                    </w:rPr>
                  </w:pPr>
                </w:p>
              </w:tc>
              <w:tc>
                <w:tcPr>
                  <w:tcW w:w="967" w:type="pct"/>
                  <w:vMerge w:val="continue"/>
                  <w:vAlign w:val="center"/>
                </w:tcPr>
                <w:p>
                  <w:pPr>
                    <w:widowControl/>
                    <w:jc w:val="center"/>
                    <w:rPr>
                      <w:rFonts w:hint="default" w:ascii="Times New Roman" w:hAnsi="Times New Roman" w:cs="Times New Roman"/>
                      <w:b/>
                      <w:bCs/>
                      <w:color w:val="auto"/>
                      <w:szCs w:val="21"/>
                    </w:rPr>
                  </w:pPr>
                </w:p>
              </w:tc>
              <w:tc>
                <w:tcPr>
                  <w:tcW w:w="564" w:type="pct"/>
                  <w:vMerge w:val="continue"/>
                  <w:vAlign w:val="center"/>
                </w:tcPr>
                <w:p>
                  <w:pPr>
                    <w:widowControl/>
                    <w:jc w:val="center"/>
                    <w:rPr>
                      <w:rFonts w:hint="default" w:ascii="Times New Roman" w:hAnsi="Times New Roman" w:cs="Times New Roman"/>
                      <w:b/>
                      <w:bCs/>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335" w:type="pct"/>
                  <w:vAlign w:val="center"/>
                </w:tcPr>
                <w:p>
                  <w:pPr>
                    <w:widowControl/>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610" w:type="pct"/>
                  <w:vAlign w:val="center"/>
                </w:tcPr>
                <w:p>
                  <w:pPr>
                    <w:spacing w:line="32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废气处理风机</w:t>
                  </w:r>
                </w:p>
              </w:tc>
              <w:tc>
                <w:tcPr>
                  <w:tcW w:w="465" w:type="pct"/>
                  <w:vAlign w:val="center"/>
                </w:tcPr>
                <w:p>
                  <w:pPr>
                    <w:widowControl/>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r>
                    <w:rPr>
                      <w:rFonts w:hint="default" w:ascii="Times New Roman" w:hAnsi="Times New Roman" w:cs="Times New Roman"/>
                      <w:color w:val="auto"/>
                      <w:szCs w:val="21"/>
                      <w:lang w:val="en-US" w:eastAsia="zh-CN"/>
                    </w:rPr>
                    <w:t>0</w:t>
                  </w:r>
                  <w:r>
                    <w:rPr>
                      <w:rFonts w:hint="default" w:ascii="Times New Roman" w:hAnsi="Times New Roman" w:cs="Times New Roman"/>
                      <w:color w:val="auto"/>
                      <w:szCs w:val="21"/>
                    </w:rPr>
                    <w:t>Kw</w:t>
                  </w:r>
                </w:p>
              </w:tc>
              <w:tc>
                <w:tcPr>
                  <w:tcW w:w="449" w:type="pct"/>
                  <w:vAlign w:val="center"/>
                </w:tcPr>
                <w:p>
                  <w:pPr>
                    <w:widowControl/>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w:t>
                  </w:r>
                </w:p>
              </w:tc>
              <w:tc>
                <w:tcPr>
                  <w:tcW w:w="449" w:type="pct"/>
                  <w:vAlign w:val="center"/>
                </w:tcPr>
                <w:p>
                  <w:pPr>
                    <w:widowControl/>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30</w:t>
                  </w:r>
                </w:p>
              </w:tc>
              <w:tc>
                <w:tcPr>
                  <w:tcW w:w="449" w:type="pct"/>
                  <w:vAlign w:val="center"/>
                </w:tcPr>
                <w:p>
                  <w:pPr>
                    <w:widowControl/>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w:t>
                  </w:r>
                </w:p>
              </w:tc>
              <w:tc>
                <w:tcPr>
                  <w:tcW w:w="709" w:type="pct"/>
                  <w:vAlign w:val="center"/>
                </w:tcPr>
                <w:p>
                  <w:pPr>
                    <w:widowControl/>
                    <w:jc w:val="center"/>
                    <w:rPr>
                      <w:rFonts w:hint="default" w:ascii="Times New Roman" w:hAnsi="Times New Roman" w:cs="Times New Roman"/>
                      <w:color w:val="auto"/>
                      <w:szCs w:val="21"/>
                    </w:rPr>
                  </w:pPr>
                  <w:r>
                    <w:rPr>
                      <w:rFonts w:hint="default" w:ascii="Times New Roman" w:hAnsi="Times New Roman" w:cs="Times New Roman"/>
                      <w:color w:val="auto"/>
                      <w:szCs w:val="21"/>
                    </w:rPr>
                    <w:t>85</w:t>
                  </w:r>
                </w:p>
              </w:tc>
              <w:tc>
                <w:tcPr>
                  <w:tcW w:w="967" w:type="pct"/>
                  <w:vAlign w:val="center"/>
                </w:tcPr>
                <w:p>
                  <w:pPr>
                    <w:widowControl/>
                    <w:jc w:val="center"/>
                    <w:rPr>
                      <w:rFonts w:hint="default" w:ascii="Times New Roman" w:hAnsi="Times New Roman" w:cs="Times New Roman"/>
                      <w:color w:val="auto"/>
                      <w:szCs w:val="21"/>
                    </w:rPr>
                  </w:pPr>
                  <w:r>
                    <w:rPr>
                      <w:rFonts w:hint="default" w:ascii="Times New Roman" w:hAnsi="Times New Roman" w:cs="Times New Roman"/>
                      <w:color w:val="auto"/>
                      <w:szCs w:val="21"/>
                    </w:rPr>
                    <w:t>风机外安装隔声罩</w:t>
                  </w:r>
                </w:p>
              </w:tc>
              <w:tc>
                <w:tcPr>
                  <w:tcW w:w="564" w:type="pct"/>
                  <w:vAlign w:val="center"/>
                </w:tcPr>
                <w:p>
                  <w:pPr>
                    <w:widowControl/>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16</w:t>
                  </w:r>
                  <w:r>
                    <w:rPr>
                      <w:rFonts w:hint="default" w:ascii="Times New Roman" w:hAnsi="Times New Roman" w:cs="Times New Roman"/>
                      <w:color w:val="auto"/>
                      <w:szCs w:val="21"/>
                    </w:rPr>
                    <w:t>h/天</w:t>
                  </w:r>
                </w:p>
              </w:tc>
            </w:tr>
          </w:tbl>
          <w:p>
            <w:pPr>
              <w:pStyle w:val="28"/>
              <w:spacing w:line="240" w:lineRule="auto"/>
              <w:jc w:val="left"/>
              <w:rPr>
                <w:rFonts w:hint="default" w:ascii="Times New Roman" w:hAnsi="Times New Roman" w:cs="Times New Roman"/>
                <w:color w:val="auto"/>
                <w:sz w:val="20"/>
              </w:rPr>
            </w:pPr>
            <w:r>
              <w:rPr>
                <w:rFonts w:hint="default" w:ascii="Times New Roman" w:hAnsi="Times New Roman" w:cs="Times New Roman"/>
                <w:color w:val="auto"/>
                <w:sz w:val="20"/>
              </w:rPr>
              <w:t>注：以厂区中心为坐标原点。</w:t>
            </w:r>
          </w:p>
          <w:p>
            <w:pPr>
              <w:spacing w:line="460" w:lineRule="exact"/>
              <w:jc w:val="center"/>
              <w:rPr>
                <w:rFonts w:hint="default" w:ascii="Times New Roman" w:hAnsi="Times New Roman" w:eastAsia="宋体" w:cs="Times New Roman"/>
                <w:b/>
                <w:color w:val="auto"/>
                <w:sz w:val="21"/>
                <w:szCs w:val="21"/>
                <w:lang w:eastAsia="zh-CN"/>
              </w:rPr>
            </w:pPr>
            <w:r>
              <w:rPr>
                <w:rFonts w:hint="default" w:ascii="Times New Roman" w:hAnsi="Times New Roman" w:eastAsia="宋体" w:cs="Times New Roman"/>
                <w:b/>
                <w:color w:val="auto"/>
                <w:sz w:val="21"/>
                <w:szCs w:val="21"/>
                <w:lang w:eastAsia="zh-CN"/>
              </w:rPr>
              <w:t>表4-</w:t>
            </w:r>
            <w:r>
              <w:rPr>
                <w:rFonts w:hint="eastAsia" w:ascii="Times New Roman" w:hAnsi="Times New Roman" w:cs="Times New Roman"/>
                <w:b/>
                <w:color w:val="auto"/>
                <w:sz w:val="21"/>
                <w:szCs w:val="21"/>
                <w:lang w:val="en-US" w:eastAsia="zh-CN"/>
              </w:rPr>
              <w:t>10</w:t>
            </w:r>
            <w:r>
              <w:rPr>
                <w:rFonts w:hint="default" w:ascii="Times New Roman" w:hAnsi="Times New Roman" w:eastAsia="宋体" w:cs="Times New Roman"/>
                <w:b/>
                <w:color w:val="auto"/>
                <w:sz w:val="21"/>
                <w:szCs w:val="21"/>
                <w:lang w:eastAsia="zh-CN"/>
              </w:rPr>
              <w:t>工业企业噪声源强调查清单（室内声源）</w:t>
            </w:r>
          </w:p>
          <w:tbl>
            <w:tblPr>
              <w:tblStyle w:val="24"/>
              <w:tblW w:w="81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1"/>
              <w:gridCol w:w="761"/>
              <w:gridCol w:w="1000"/>
              <w:gridCol w:w="811"/>
              <w:gridCol w:w="1051"/>
              <w:gridCol w:w="555"/>
              <w:gridCol w:w="556"/>
              <w:gridCol w:w="500"/>
              <w:gridCol w:w="777"/>
              <w:gridCol w:w="845"/>
              <w:gridCol w:w="7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4" w:type="pct"/>
                  <w:vMerge w:val="restart"/>
                  <w:vAlign w:val="center"/>
                </w:tcPr>
                <w:p>
                  <w:pPr>
                    <w:widowControl/>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465" w:type="pct"/>
                  <w:vMerge w:val="restart"/>
                  <w:vAlign w:val="center"/>
                </w:tcPr>
                <w:p>
                  <w:pPr>
                    <w:widowControl/>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建筑物名称</w:t>
                  </w:r>
                </w:p>
              </w:tc>
              <w:tc>
                <w:tcPr>
                  <w:tcW w:w="611" w:type="pct"/>
                  <w:vMerge w:val="restart"/>
                  <w:vAlign w:val="center"/>
                </w:tcPr>
                <w:p>
                  <w:pPr>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声源名称</w:t>
                  </w:r>
                </w:p>
              </w:tc>
              <w:tc>
                <w:tcPr>
                  <w:tcW w:w="495" w:type="pct"/>
                  <w:vMerge w:val="restart"/>
                  <w:vAlign w:val="center"/>
                </w:tcPr>
                <w:p>
                  <w:pPr>
                    <w:widowControl/>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声压级dB(A)</w:t>
                  </w:r>
                </w:p>
              </w:tc>
              <w:tc>
                <w:tcPr>
                  <w:tcW w:w="642" w:type="pct"/>
                  <w:vMerge w:val="restart"/>
                  <w:vAlign w:val="center"/>
                </w:tcPr>
                <w:p>
                  <w:pPr>
                    <w:widowControl/>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声源控制措施</w:t>
                  </w:r>
                </w:p>
              </w:tc>
              <w:tc>
                <w:tcPr>
                  <w:tcW w:w="985" w:type="pct"/>
                  <w:gridSpan w:val="3"/>
                  <w:vAlign w:val="center"/>
                </w:tcPr>
                <w:p>
                  <w:pPr>
                    <w:widowControl/>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空间相对位置/m</w:t>
                  </w:r>
                </w:p>
              </w:tc>
              <w:tc>
                <w:tcPr>
                  <w:tcW w:w="475" w:type="pct"/>
                  <w:vMerge w:val="restart"/>
                  <w:vAlign w:val="center"/>
                </w:tcPr>
                <w:p>
                  <w:pPr>
                    <w:widowControl/>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距室内边界</w:t>
                  </w:r>
                  <w:r>
                    <w:rPr>
                      <w:rFonts w:hint="default" w:ascii="Times New Roman" w:hAnsi="Times New Roman" w:eastAsia="宋体" w:cs="Times New Roman"/>
                      <w:b/>
                      <w:bCs/>
                      <w:color w:val="auto"/>
                      <w:sz w:val="21"/>
                      <w:szCs w:val="21"/>
                      <w:lang w:val="en-US" w:eastAsia="zh-CN"/>
                    </w:rPr>
                    <w:t>最近</w:t>
                  </w:r>
                  <w:r>
                    <w:rPr>
                      <w:rFonts w:hint="default" w:ascii="Times New Roman" w:hAnsi="Times New Roman" w:cs="Times New Roman"/>
                      <w:b/>
                      <w:bCs/>
                      <w:color w:val="auto"/>
                      <w:sz w:val="21"/>
                      <w:szCs w:val="21"/>
                    </w:rPr>
                    <w:t>距离/m</w:t>
                  </w:r>
                </w:p>
              </w:tc>
              <w:tc>
                <w:tcPr>
                  <w:tcW w:w="516" w:type="pct"/>
                  <w:vMerge w:val="restart"/>
                  <w:vAlign w:val="center"/>
                </w:tcPr>
                <w:p>
                  <w:pPr>
                    <w:widowControl/>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运行时段</w:t>
                  </w:r>
                </w:p>
              </w:tc>
              <w:tc>
                <w:tcPr>
                  <w:tcW w:w="482" w:type="pct"/>
                  <w:vMerge w:val="restart"/>
                  <w:vAlign w:val="center"/>
                </w:tcPr>
                <w:p>
                  <w:pPr>
                    <w:widowControl/>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建筑物插入损失dB(A)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4" w:type="pct"/>
                  <w:vMerge w:val="continue"/>
                  <w:vAlign w:val="center"/>
                </w:tcPr>
                <w:p>
                  <w:pPr>
                    <w:widowControl/>
                    <w:spacing w:line="240" w:lineRule="auto"/>
                    <w:jc w:val="center"/>
                    <w:rPr>
                      <w:rFonts w:hint="default" w:ascii="Times New Roman" w:hAnsi="Times New Roman" w:cs="Times New Roman"/>
                      <w:b/>
                      <w:bCs/>
                      <w:color w:val="auto"/>
                      <w:sz w:val="21"/>
                      <w:szCs w:val="21"/>
                    </w:rPr>
                  </w:pPr>
                </w:p>
              </w:tc>
              <w:tc>
                <w:tcPr>
                  <w:tcW w:w="465" w:type="pct"/>
                  <w:vMerge w:val="continue"/>
                  <w:vAlign w:val="center"/>
                </w:tcPr>
                <w:p>
                  <w:pPr>
                    <w:widowControl/>
                    <w:spacing w:line="240" w:lineRule="auto"/>
                    <w:jc w:val="center"/>
                    <w:rPr>
                      <w:rFonts w:hint="default" w:ascii="Times New Roman" w:hAnsi="Times New Roman" w:cs="Times New Roman"/>
                      <w:b/>
                      <w:bCs/>
                      <w:color w:val="auto"/>
                      <w:sz w:val="21"/>
                      <w:szCs w:val="21"/>
                    </w:rPr>
                  </w:pPr>
                </w:p>
              </w:tc>
              <w:tc>
                <w:tcPr>
                  <w:tcW w:w="611" w:type="pct"/>
                  <w:vMerge w:val="continue"/>
                  <w:vAlign w:val="center"/>
                </w:tcPr>
                <w:p>
                  <w:pPr>
                    <w:widowControl/>
                    <w:spacing w:line="240" w:lineRule="auto"/>
                    <w:jc w:val="center"/>
                    <w:rPr>
                      <w:rFonts w:hint="default" w:ascii="Times New Roman" w:hAnsi="Times New Roman" w:cs="Times New Roman"/>
                      <w:b/>
                      <w:bCs/>
                      <w:color w:val="auto"/>
                      <w:sz w:val="21"/>
                      <w:szCs w:val="21"/>
                    </w:rPr>
                  </w:pPr>
                </w:p>
              </w:tc>
              <w:tc>
                <w:tcPr>
                  <w:tcW w:w="495" w:type="pct"/>
                  <w:vMerge w:val="continue"/>
                  <w:vAlign w:val="center"/>
                </w:tcPr>
                <w:p>
                  <w:pPr>
                    <w:widowControl/>
                    <w:spacing w:line="240" w:lineRule="auto"/>
                    <w:jc w:val="center"/>
                    <w:rPr>
                      <w:rFonts w:hint="default" w:ascii="Times New Roman" w:hAnsi="Times New Roman" w:cs="Times New Roman"/>
                      <w:b/>
                      <w:bCs/>
                      <w:color w:val="auto"/>
                      <w:sz w:val="21"/>
                      <w:szCs w:val="21"/>
                    </w:rPr>
                  </w:pPr>
                </w:p>
              </w:tc>
              <w:tc>
                <w:tcPr>
                  <w:tcW w:w="642" w:type="pct"/>
                  <w:vMerge w:val="continue"/>
                  <w:vAlign w:val="center"/>
                </w:tcPr>
                <w:p>
                  <w:pPr>
                    <w:widowControl/>
                    <w:spacing w:line="240" w:lineRule="auto"/>
                    <w:jc w:val="center"/>
                    <w:rPr>
                      <w:rFonts w:hint="default" w:ascii="Times New Roman" w:hAnsi="Times New Roman" w:cs="Times New Roman"/>
                      <w:b/>
                      <w:bCs/>
                      <w:color w:val="auto"/>
                      <w:sz w:val="21"/>
                      <w:szCs w:val="21"/>
                    </w:rPr>
                  </w:pPr>
                </w:p>
              </w:tc>
              <w:tc>
                <w:tcPr>
                  <w:tcW w:w="339" w:type="pct"/>
                  <w:vAlign w:val="center"/>
                </w:tcPr>
                <w:p>
                  <w:pPr>
                    <w:widowControl/>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X</w:t>
                  </w:r>
                </w:p>
              </w:tc>
              <w:tc>
                <w:tcPr>
                  <w:tcW w:w="340" w:type="pct"/>
                  <w:vAlign w:val="center"/>
                </w:tcPr>
                <w:p>
                  <w:pPr>
                    <w:widowControl/>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Y</w:t>
                  </w:r>
                </w:p>
              </w:tc>
              <w:tc>
                <w:tcPr>
                  <w:tcW w:w="305" w:type="pct"/>
                  <w:vAlign w:val="center"/>
                </w:tcPr>
                <w:p>
                  <w:pPr>
                    <w:widowControl/>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Z</w:t>
                  </w:r>
                </w:p>
              </w:tc>
              <w:tc>
                <w:tcPr>
                  <w:tcW w:w="475" w:type="pct"/>
                  <w:vMerge w:val="continue"/>
                  <w:vAlign w:val="center"/>
                </w:tcPr>
                <w:p>
                  <w:pPr>
                    <w:widowControl/>
                    <w:spacing w:line="240" w:lineRule="auto"/>
                    <w:jc w:val="center"/>
                    <w:rPr>
                      <w:rFonts w:hint="default" w:ascii="Times New Roman" w:hAnsi="Times New Roman" w:cs="Times New Roman"/>
                      <w:b/>
                      <w:bCs/>
                      <w:color w:val="auto"/>
                      <w:sz w:val="21"/>
                      <w:szCs w:val="21"/>
                    </w:rPr>
                  </w:pPr>
                </w:p>
              </w:tc>
              <w:tc>
                <w:tcPr>
                  <w:tcW w:w="516" w:type="pct"/>
                  <w:vMerge w:val="continue"/>
                  <w:vAlign w:val="center"/>
                </w:tcPr>
                <w:p>
                  <w:pPr>
                    <w:widowControl/>
                    <w:spacing w:line="240" w:lineRule="auto"/>
                    <w:jc w:val="center"/>
                    <w:rPr>
                      <w:rFonts w:hint="default" w:ascii="Times New Roman" w:hAnsi="Times New Roman" w:cs="Times New Roman"/>
                      <w:b/>
                      <w:bCs/>
                      <w:color w:val="auto"/>
                      <w:sz w:val="21"/>
                      <w:szCs w:val="21"/>
                    </w:rPr>
                  </w:pPr>
                </w:p>
              </w:tc>
              <w:tc>
                <w:tcPr>
                  <w:tcW w:w="482" w:type="pct"/>
                  <w:vMerge w:val="continue"/>
                  <w:vAlign w:val="center"/>
                </w:tcPr>
                <w:p>
                  <w:pPr>
                    <w:widowControl/>
                    <w:spacing w:line="240" w:lineRule="auto"/>
                    <w:jc w:val="center"/>
                    <w:rPr>
                      <w:rFonts w:hint="default" w:ascii="Times New Roman" w:hAnsi="Times New Roman" w:cs="Times New Roman"/>
                      <w:b/>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4" w:type="pct"/>
                  <w:vAlign w:val="center"/>
                </w:tcPr>
                <w:p>
                  <w:pPr>
                    <w:widowControl/>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465" w:type="pct"/>
                  <w:vMerge w:val="restart"/>
                  <w:vAlign w:val="center"/>
                </w:tcPr>
                <w:p>
                  <w:pPr>
                    <w:spacing w:line="240" w:lineRule="auto"/>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生产车间</w:t>
                  </w:r>
                  <w:r>
                    <w:rPr>
                      <w:rFonts w:hint="default" w:ascii="Times New Roman" w:hAnsi="Times New Roman" w:cs="Times New Roman"/>
                      <w:color w:val="auto"/>
                      <w:kern w:val="0"/>
                      <w:sz w:val="21"/>
                      <w:szCs w:val="21"/>
                      <w:lang w:val="en-US" w:eastAsia="zh-CN"/>
                    </w:rPr>
                    <w:t>2</w:t>
                  </w:r>
                </w:p>
              </w:tc>
              <w:tc>
                <w:tcPr>
                  <w:tcW w:w="611" w:type="pct"/>
                  <w:vAlign w:val="center"/>
                </w:tcPr>
                <w:p>
                  <w:pPr>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eastAsia="宋体" w:cs="Times New Roman"/>
                      <w:color w:val="auto"/>
                      <w:sz w:val="21"/>
                      <w:szCs w:val="21"/>
                      <w:lang w:val="en-US" w:eastAsia="zh-CN"/>
                    </w:rPr>
                    <w:t>涂膜机</w:t>
                  </w:r>
                </w:p>
              </w:tc>
              <w:tc>
                <w:tcPr>
                  <w:tcW w:w="495" w:type="pct"/>
                  <w:vAlign w:val="center"/>
                </w:tcPr>
                <w:p>
                  <w:pPr>
                    <w:widowControl/>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8</w:t>
                  </w:r>
                  <w:r>
                    <w:rPr>
                      <w:rFonts w:hint="default" w:ascii="Times New Roman" w:hAnsi="Times New Roman" w:eastAsia="宋体" w:cs="Times New Roman"/>
                      <w:color w:val="auto"/>
                      <w:sz w:val="21"/>
                      <w:szCs w:val="21"/>
                      <w:lang w:val="en-US" w:eastAsia="zh-CN"/>
                    </w:rPr>
                    <w:t>5</w:t>
                  </w:r>
                </w:p>
              </w:tc>
              <w:tc>
                <w:tcPr>
                  <w:tcW w:w="642" w:type="pct"/>
                  <w:vMerge w:val="restart"/>
                  <w:vAlign w:val="center"/>
                </w:tcPr>
                <w:p>
                  <w:pPr>
                    <w:widowControl/>
                    <w:spacing w:line="240" w:lineRule="auto"/>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选用低噪声设备、优化布局、厂房</w:t>
                  </w:r>
                  <w:r>
                    <w:rPr>
                      <w:rFonts w:hint="default" w:ascii="Times New Roman" w:hAnsi="Times New Roman" w:cs="Times New Roman"/>
                      <w:color w:val="auto"/>
                      <w:sz w:val="21"/>
                      <w:szCs w:val="21"/>
                    </w:rPr>
                    <w:t>隔声、减振</w:t>
                  </w:r>
                </w:p>
              </w:tc>
              <w:tc>
                <w:tcPr>
                  <w:tcW w:w="339" w:type="pct"/>
                  <w:vAlign w:val="center"/>
                </w:tcPr>
                <w:p>
                  <w:pPr>
                    <w:widowControl/>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340" w:type="pct"/>
                  <w:vAlign w:val="center"/>
                </w:tcPr>
                <w:p>
                  <w:pPr>
                    <w:widowControl/>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w:t>
                  </w:r>
                </w:p>
              </w:tc>
              <w:tc>
                <w:tcPr>
                  <w:tcW w:w="305" w:type="pct"/>
                  <w:vAlign w:val="center"/>
                </w:tcPr>
                <w:p>
                  <w:pPr>
                    <w:widowControl/>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w:t>
                  </w:r>
                </w:p>
              </w:tc>
              <w:tc>
                <w:tcPr>
                  <w:tcW w:w="475" w:type="pct"/>
                  <w:vAlign w:val="center"/>
                </w:tcPr>
                <w:p>
                  <w:pPr>
                    <w:widowControl/>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22</w:t>
                  </w:r>
                </w:p>
              </w:tc>
              <w:tc>
                <w:tcPr>
                  <w:tcW w:w="516" w:type="pct"/>
                  <w:vAlign w:val="center"/>
                </w:tcPr>
                <w:p>
                  <w:pPr>
                    <w:widowControl/>
                    <w:spacing w:line="240" w:lineRule="auto"/>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8</w:t>
                  </w:r>
                  <w:r>
                    <w:rPr>
                      <w:rFonts w:hint="default" w:ascii="Times New Roman" w:hAnsi="Times New Roman" w:cs="Times New Roman"/>
                      <w:color w:val="auto"/>
                      <w:sz w:val="21"/>
                      <w:szCs w:val="21"/>
                    </w:rPr>
                    <w:t>h/天</w:t>
                  </w:r>
                </w:p>
              </w:tc>
              <w:tc>
                <w:tcPr>
                  <w:tcW w:w="482" w:type="pct"/>
                  <w:vAlign w:val="center"/>
                </w:tcPr>
                <w:p>
                  <w:pPr>
                    <w:widowControl/>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324" w:type="pct"/>
                  <w:vAlign w:val="center"/>
                </w:tcPr>
                <w:p>
                  <w:pPr>
                    <w:widowControl/>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465" w:type="pct"/>
                  <w:vMerge w:val="continue"/>
                  <w:vAlign w:val="center"/>
                </w:tcPr>
                <w:p>
                  <w:pPr>
                    <w:spacing w:line="240" w:lineRule="auto"/>
                    <w:jc w:val="center"/>
                    <w:rPr>
                      <w:rFonts w:hint="default" w:ascii="Times New Roman" w:hAnsi="Times New Roman" w:cs="Times New Roman"/>
                      <w:color w:val="auto"/>
                      <w:kern w:val="0"/>
                      <w:sz w:val="21"/>
                      <w:szCs w:val="21"/>
                    </w:rPr>
                  </w:pPr>
                </w:p>
              </w:tc>
              <w:tc>
                <w:tcPr>
                  <w:tcW w:w="611" w:type="pct"/>
                  <w:vAlign w:val="center"/>
                </w:tcPr>
                <w:p>
                  <w:pPr>
                    <w:adjustRightInd w:val="0"/>
                    <w:snapToGrid w:val="0"/>
                    <w:jc w:val="center"/>
                    <w:rPr>
                      <w:rFonts w:hint="default" w:ascii="Times New Roman" w:hAnsi="Times New Roman" w:cs="Times New Roman"/>
                      <w:color w:val="auto"/>
                      <w:kern w:val="0"/>
                      <w:sz w:val="21"/>
                      <w:szCs w:val="21"/>
                    </w:rPr>
                  </w:pPr>
                  <w:r>
                    <w:rPr>
                      <w:rFonts w:hint="default" w:ascii="Times New Roman" w:hAnsi="Times New Roman" w:eastAsia="宋体" w:cs="Times New Roman"/>
                      <w:color w:val="auto"/>
                      <w:sz w:val="21"/>
                      <w:szCs w:val="21"/>
                      <w:lang w:val="en-US" w:eastAsia="zh-CN"/>
                    </w:rPr>
                    <w:t>吨包切印一体机</w:t>
                  </w:r>
                </w:p>
              </w:tc>
              <w:tc>
                <w:tcPr>
                  <w:tcW w:w="495" w:type="pct"/>
                  <w:vAlign w:val="center"/>
                </w:tcPr>
                <w:p>
                  <w:pPr>
                    <w:widowControl/>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r>
                    <w:rPr>
                      <w:rFonts w:hint="default" w:ascii="Times New Roman" w:hAnsi="Times New Roman" w:eastAsia="宋体" w:cs="Times New Roman"/>
                      <w:color w:val="auto"/>
                      <w:sz w:val="21"/>
                      <w:szCs w:val="21"/>
                      <w:lang w:val="en-US" w:eastAsia="zh-CN"/>
                    </w:rPr>
                    <w:t>5</w:t>
                  </w:r>
                </w:p>
              </w:tc>
              <w:tc>
                <w:tcPr>
                  <w:tcW w:w="642" w:type="pct"/>
                  <w:vMerge w:val="continue"/>
                  <w:vAlign w:val="center"/>
                </w:tcPr>
                <w:p>
                  <w:pPr>
                    <w:widowControl/>
                    <w:spacing w:line="240" w:lineRule="auto"/>
                    <w:jc w:val="center"/>
                    <w:rPr>
                      <w:rFonts w:hint="default" w:ascii="Times New Roman" w:hAnsi="Times New Roman" w:eastAsia="宋体" w:cs="Times New Roman"/>
                      <w:color w:val="auto"/>
                      <w:sz w:val="21"/>
                      <w:szCs w:val="21"/>
                      <w:lang w:val="en-US" w:eastAsia="zh-CN"/>
                    </w:rPr>
                  </w:pPr>
                </w:p>
              </w:tc>
              <w:tc>
                <w:tcPr>
                  <w:tcW w:w="339" w:type="pct"/>
                  <w:vAlign w:val="center"/>
                </w:tcPr>
                <w:p>
                  <w:pPr>
                    <w:widowControl/>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default" w:ascii="Times New Roman" w:hAnsi="Times New Roman" w:cs="Times New Roman"/>
                      <w:color w:val="auto"/>
                      <w:sz w:val="21"/>
                      <w:szCs w:val="21"/>
                      <w:lang w:val="en-US" w:eastAsia="zh-CN"/>
                    </w:rPr>
                    <w:t>0</w:t>
                  </w:r>
                </w:p>
              </w:tc>
              <w:tc>
                <w:tcPr>
                  <w:tcW w:w="340" w:type="pct"/>
                  <w:vAlign w:val="center"/>
                </w:tcPr>
                <w:p>
                  <w:pPr>
                    <w:widowControl/>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305" w:type="pct"/>
                  <w:vAlign w:val="center"/>
                </w:tcPr>
                <w:p>
                  <w:pPr>
                    <w:widowControl/>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w:t>
                  </w:r>
                </w:p>
              </w:tc>
              <w:tc>
                <w:tcPr>
                  <w:tcW w:w="475" w:type="pct"/>
                  <w:vAlign w:val="center"/>
                </w:tcPr>
                <w:p>
                  <w:pPr>
                    <w:widowControl/>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516" w:type="pct"/>
                  <w:vAlign w:val="center"/>
                </w:tcPr>
                <w:p>
                  <w:pPr>
                    <w:widowControl/>
                    <w:spacing w:line="240" w:lineRule="auto"/>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8</w:t>
                  </w:r>
                  <w:r>
                    <w:rPr>
                      <w:rFonts w:hint="default" w:ascii="Times New Roman" w:hAnsi="Times New Roman" w:cs="Times New Roman"/>
                      <w:color w:val="auto"/>
                      <w:sz w:val="21"/>
                      <w:szCs w:val="21"/>
                    </w:rPr>
                    <w:t>h/天</w:t>
                  </w:r>
                </w:p>
              </w:tc>
              <w:tc>
                <w:tcPr>
                  <w:tcW w:w="482" w:type="pct"/>
                  <w:vAlign w:val="center"/>
                </w:tcPr>
                <w:p>
                  <w:pPr>
                    <w:widowControl/>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w:t>
                  </w:r>
                </w:p>
              </w:tc>
            </w:tr>
          </w:tbl>
          <w:p>
            <w:pPr>
              <w:pStyle w:val="28"/>
              <w:spacing w:line="240" w:lineRule="auto"/>
              <w:jc w:val="left"/>
              <w:rPr>
                <w:rFonts w:hint="default" w:ascii="Times New Roman" w:hAnsi="Times New Roman" w:cs="Times New Roman"/>
                <w:sz w:val="20"/>
              </w:rPr>
            </w:pPr>
            <w:r>
              <w:rPr>
                <w:rFonts w:hint="default" w:ascii="Times New Roman" w:hAnsi="Times New Roman" w:cs="Times New Roman"/>
                <w:sz w:val="20"/>
              </w:rPr>
              <w:t>注：以厂区中心为坐标原点。</w:t>
            </w:r>
          </w:p>
          <w:p>
            <w:pPr>
              <w:spacing w:line="360" w:lineRule="auto"/>
              <w:ind w:firstLine="482" w:firstLineChars="200"/>
              <w:jc w:val="both"/>
              <w:rPr>
                <w:rFonts w:hint="default" w:ascii="Times New Roman" w:hAnsi="Times New Roman" w:cs="Times New Roman"/>
                <w:b/>
                <w:bCs/>
                <w:color w:val="000000"/>
                <w:sz w:val="24"/>
              </w:rPr>
            </w:pPr>
            <w:r>
              <w:rPr>
                <w:rFonts w:hint="default" w:ascii="Times New Roman" w:hAnsi="Times New Roman" w:cs="Times New Roman"/>
                <w:b/>
                <w:bCs/>
                <w:color w:val="000000"/>
                <w:sz w:val="24"/>
              </w:rPr>
              <w:t>3.2噪声影响及达标排放</w:t>
            </w:r>
          </w:p>
          <w:p>
            <w:pPr>
              <w:spacing w:line="360" w:lineRule="auto"/>
              <w:ind w:firstLine="480" w:firstLineChars="200"/>
              <w:jc w:val="both"/>
              <w:rPr>
                <w:rFonts w:hint="default" w:ascii="Times New Roman" w:hAnsi="Times New Roman" w:cs="Times New Roman"/>
                <w:color w:val="000000"/>
                <w:sz w:val="24"/>
              </w:rPr>
            </w:pPr>
            <w:r>
              <w:rPr>
                <w:rFonts w:hint="default" w:ascii="Times New Roman" w:hAnsi="Times New Roman" w:cs="Times New Roman"/>
                <w:color w:val="000000"/>
                <w:sz w:val="24"/>
              </w:rPr>
              <w:t>选用《环境影响评价技术导则</w:t>
            </w:r>
            <w:r>
              <w:rPr>
                <w:rFonts w:hint="default" w:ascii="Times New Roman" w:hAnsi="Times New Roman" w:eastAsia="宋体" w:cs="Times New Roman"/>
                <w:color w:val="000000"/>
                <w:sz w:val="24"/>
                <w:lang w:val="en-US" w:eastAsia="zh-CN"/>
              </w:rPr>
              <w:t xml:space="preserve"> </w:t>
            </w:r>
            <w:r>
              <w:rPr>
                <w:rFonts w:hint="default" w:ascii="Times New Roman" w:hAnsi="Times New Roman" w:cs="Times New Roman"/>
                <w:color w:val="000000"/>
                <w:sz w:val="24"/>
              </w:rPr>
              <w:t>声环境》（HJ2.4-2021）中的工业噪声预测模式。根据声环境评价导则的规定，选用预测模式，应用过程中将根据具体情况作必要简化。本项目车间墙面采用钢结构结构，隔声量约20dB(A)、车间门采用普通隔声单扇门，隔声量约15dB(A)。</w:t>
            </w:r>
          </w:p>
          <w:p>
            <w:pPr>
              <w:spacing w:line="360" w:lineRule="auto"/>
              <w:ind w:firstLine="480" w:firstLineChars="200"/>
              <w:jc w:val="both"/>
              <w:rPr>
                <w:rFonts w:hint="default" w:ascii="Times New Roman" w:hAnsi="Times New Roman" w:cs="Times New Roman"/>
                <w:color w:val="000000"/>
                <w:sz w:val="24"/>
              </w:rPr>
            </w:pPr>
            <w:r>
              <w:rPr>
                <w:rFonts w:hint="default" w:ascii="Times New Roman" w:hAnsi="Times New Roman" w:cs="Times New Roman"/>
                <w:color w:val="000000"/>
                <w:sz w:val="24"/>
              </w:rPr>
              <w:t>（1）预测模型</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选用《环境影响评价技术导则 声环境》（HJ2.4-2021）中的工业噪声预测模式。根据声环境评价导则的规定，选用预测模式，应用过程中将根据具体情况作必要简化。</w:t>
            </w:r>
          </w:p>
          <w:p>
            <w:pPr>
              <w:spacing w:line="360" w:lineRule="auto"/>
              <w:ind w:firstLine="456"/>
              <w:jc w:val="both"/>
              <w:rPr>
                <w:rFonts w:hint="default" w:ascii="Times New Roman" w:hAnsi="Times New Roman" w:cs="Times New Roman"/>
                <w:sz w:val="24"/>
                <w:szCs w:val="24"/>
              </w:rPr>
            </w:pPr>
            <w:bookmarkStart w:id="4" w:name="_Toc27695"/>
            <w:bookmarkStart w:id="5" w:name="_Toc15866"/>
            <w:bookmarkStart w:id="6" w:name="_Toc11887"/>
            <w:r>
              <w:rPr>
                <w:rFonts w:hint="default" w:ascii="Times New Roman" w:hAnsi="Times New Roman" w:cs="Times New Roman"/>
                <w:sz w:val="24"/>
                <w:szCs w:val="24"/>
              </w:rPr>
              <w:t>1）单个室外的点声源在预测点产生的声级计算基本公式</w:t>
            </w:r>
            <w:bookmarkEnd w:id="4"/>
            <w:bookmarkEnd w:id="5"/>
            <w:bookmarkEnd w:id="6"/>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①如已知声源的倍频带声功率级（从63Hz到8KHz标称频带中心频率的8个倍频带），预测点位置的倍频带声压级可按公式（A.1）计算：</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p</w:t>
            </w:r>
            <w:r>
              <w:rPr>
                <w:rFonts w:hint="default" w:ascii="Times New Roman" w:hAnsi="Times New Roman" w:cs="Times New Roman"/>
                <w:sz w:val="24"/>
                <w:szCs w:val="24"/>
              </w:rPr>
              <w:t>(r)＝L</w:t>
            </w:r>
            <w:r>
              <w:rPr>
                <w:rFonts w:hint="default" w:ascii="Times New Roman" w:hAnsi="Times New Roman" w:cs="Times New Roman"/>
                <w:sz w:val="24"/>
                <w:szCs w:val="24"/>
                <w:vertAlign w:val="subscript"/>
              </w:rPr>
              <w:t>w</w:t>
            </w:r>
            <w:r>
              <w:rPr>
                <w:rFonts w:hint="default" w:ascii="Times New Roman" w:hAnsi="Times New Roman" w:cs="Times New Roman"/>
                <w:sz w:val="24"/>
                <w:szCs w:val="24"/>
              </w:rPr>
              <w:t>+D</w:t>
            </w:r>
            <w:r>
              <w:rPr>
                <w:rFonts w:hint="default" w:ascii="Times New Roman" w:hAnsi="Times New Roman" w:cs="Times New Roman"/>
                <w:sz w:val="24"/>
                <w:szCs w:val="24"/>
                <w:vertAlign w:val="subscript"/>
              </w:rPr>
              <w:t>C</w:t>
            </w:r>
            <w:r>
              <w:rPr>
                <w:rFonts w:hint="default" w:ascii="Times New Roman" w:hAnsi="Times New Roman" w:cs="Times New Roman"/>
                <w:sz w:val="24"/>
                <w:szCs w:val="24"/>
              </w:rPr>
              <w:t>－(A</w:t>
            </w:r>
            <w:r>
              <w:rPr>
                <w:rFonts w:hint="default" w:ascii="Times New Roman" w:hAnsi="Times New Roman" w:cs="Times New Roman"/>
                <w:sz w:val="24"/>
                <w:szCs w:val="24"/>
                <w:vertAlign w:val="subscript"/>
              </w:rPr>
              <w:t>div</w:t>
            </w:r>
            <w:r>
              <w:rPr>
                <w:rFonts w:hint="default" w:ascii="Times New Roman" w:hAnsi="Times New Roman" w:cs="Times New Roman"/>
                <w:sz w:val="24"/>
                <w:szCs w:val="24"/>
              </w:rPr>
              <w:t>＋A</w:t>
            </w:r>
            <w:r>
              <w:rPr>
                <w:rFonts w:hint="default" w:ascii="Times New Roman" w:hAnsi="Times New Roman" w:cs="Times New Roman"/>
                <w:sz w:val="24"/>
                <w:szCs w:val="24"/>
                <w:vertAlign w:val="subscript"/>
              </w:rPr>
              <w:t>atm</w:t>
            </w:r>
            <w:r>
              <w:rPr>
                <w:rFonts w:hint="default" w:ascii="Times New Roman" w:hAnsi="Times New Roman" w:cs="Times New Roman"/>
                <w:sz w:val="24"/>
                <w:szCs w:val="24"/>
              </w:rPr>
              <w:t>＋A</w:t>
            </w:r>
            <w:r>
              <w:rPr>
                <w:rFonts w:hint="default" w:ascii="Times New Roman" w:hAnsi="Times New Roman" w:cs="Times New Roman"/>
                <w:sz w:val="24"/>
                <w:szCs w:val="24"/>
                <w:vertAlign w:val="subscript"/>
              </w:rPr>
              <w:t>gr</w:t>
            </w:r>
            <w:r>
              <w:rPr>
                <w:rFonts w:hint="default" w:ascii="Times New Roman" w:hAnsi="Times New Roman" w:cs="Times New Roman"/>
                <w:sz w:val="24"/>
                <w:szCs w:val="24"/>
              </w:rPr>
              <w:t>＋A</w:t>
            </w:r>
            <w:r>
              <w:rPr>
                <w:rFonts w:hint="default" w:ascii="Times New Roman" w:hAnsi="Times New Roman" w:cs="Times New Roman"/>
                <w:sz w:val="24"/>
                <w:szCs w:val="24"/>
                <w:vertAlign w:val="subscript"/>
              </w:rPr>
              <w:t>bar</w:t>
            </w:r>
            <w:r>
              <w:rPr>
                <w:rFonts w:hint="default" w:ascii="Times New Roman" w:hAnsi="Times New Roman" w:cs="Times New Roman"/>
                <w:sz w:val="24"/>
                <w:szCs w:val="24"/>
              </w:rPr>
              <w:t>＋A</w:t>
            </w:r>
            <w:r>
              <w:rPr>
                <w:rFonts w:hint="default" w:ascii="Times New Roman" w:hAnsi="Times New Roman" w:cs="Times New Roman"/>
                <w:sz w:val="24"/>
                <w:szCs w:val="24"/>
                <w:vertAlign w:val="subscript"/>
              </w:rPr>
              <w:t>misc</w:t>
            </w:r>
            <w:r>
              <w:rPr>
                <w:rFonts w:hint="default" w:ascii="Times New Roman" w:hAnsi="Times New Roman" w:cs="Times New Roman"/>
                <w:sz w:val="24"/>
                <w:szCs w:val="24"/>
              </w:rPr>
              <w:t>)    （A.1）</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式中：L</w:t>
            </w:r>
            <w:r>
              <w:rPr>
                <w:rFonts w:hint="default" w:ascii="Times New Roman" w:hAnsi="Times New Roman" w:cs="Times New Roman"/>
                <w:sz w:val="24"/>
                <w:szCs w:val="24"/>
                <w:vertAlign w:val="subscript"/>
              </w:rPr>
              <w:t>w</w:t>
            </w:r>
            <w:r>
              <w:rPr>
                <w:rFonts w:hint="default" w:ascii="Times New Roman" w:hAnsi="Times New Roman" w:cs="Times New Roman"/>
                <w:sz w:val="24"/>
                <w:szCs w:val="24"/>
              </w:rPr>
              <w:t>—由点声源产生的声功率级（A计权或倍频带），dB；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Dc—指向性校正，dB；它描述点声源的等效连续声压级与产生声功率级的全向点声源在规定方向的级的偏差程度。指向性校正等于点声源的指向性指数DI加上计到小于4π球面度（sr）立体角内的声传播指数DΩ。对辐射到自由空间的全向点声源，Dc=0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p</w:t>
            </w:r>
            <w:r>
              <w:rPr>
                <w:rFonts w:hint="default" w:ascii="Times New Roman" w:hAnsi="Times New Roman" w:cs="Times New Roman"/>
                <w:sz w:val="24"/>
                <w:szCs w:val="24"/>
              </w:rPr>
              <w:t>(r)—预测点处声压级，dB；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A</w:t>
            </w:r>
            <w:r>
              <w:rPr>
                <w:rFonts w:hint="default" w:ascii="Times New Roman" w:hAnsi="Times New Roman" w:cs="Times New Roman"/>
                <w:sz w:val="24"/>
                <w:szCs w:val="24"/>
                <w:vertAlign w:val="subscript"/>
              </w:rPr>
              <w:t>div</w:t>
            </w:r>
            <w:r>
              <w:rPr>
                <w:rFonts w:hint="default" w:ascii="Times New Roman" w:hAnsi="Times New Roman" w:cs="Times New Roman"/>
                <w:sz w:val="24"/>
                <w:szCs w:val="24"/>
              </w:rPr>
              <w:t>—几何发散引起的倍频带衰减，dB；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A</w:t>
            </w:r>
            <w:r>
              <w:rPr>
                <w:rFonts w:hint="default" w:ascii="Times New Roman" w:hAnsi="Times New Roman" w:cs="Times New Roman"/>
                <w:sz w:val="24"/>
                <w:szCs w:val="24"/>
                <w:vertAlign w:val="subscript"/>
              </w:rPr>
              <w:t>atm</w:t>
            </w:r>
            <w:r>
              <w:rPr>
                <w:rFonts w:hint="default" w:ascii="Times New Roman" w:hAnsi="Times New Roman" w:cs="Times New Roman"/>
                <w:sz w:val="24"/>
                <w:szCs w:val="24"/>
              </w:rPr>
              <w:t>—大气吸收引起的倍频带衰减，dB；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A</w:t>
            </w:r>
            <w:r>
              <w:rPr>
                <w:rFonts w:hint="default" w:ascii="Times New Roman" w:hAnsi="Times New Roman" w:cs="Times New Roman"/>
                <w:sz w:val="24"/>
                <w:szCs w:val="24"/>
                <w:vertAlign w:val="subscript"/>
              </w:rPr>
              <w:t>gr</w:t>
            </w:r>
            <w:r>
              <w:rPr>
                <w:rFonts w:hint="default" w:ascii="Times New Roman" w:hAnsi="Times New Roman" w:cs="Times New Roman"/>
                <w:sz w:val="24"/>
                <w:szCs w:val="24"/>
              </w:rPr>
              <w:t>—地面效应引起的倍频带衰减，dB；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A</w:t>
            </w:r>
            <w:r>
              <w:rPr>
                <w:rFonts w:hint="default" w:ascii="Times New Roman" w:hAnsi="Times New Roman" w:cs="Times New Roman"/>
                <w:sz w:val="24"/>
                <w:szCs w:val="24"/>
                <w:vertAlign w:val="subscript"/>
              </w:rPr>
              <w:t>bar</w:t>
            </w:r>
            <w:r>
              <w:rPr>
                <w:rFonts w:hint="default" w:ascii="Times New Roman" w:hAnsi="Times New Roman" w:cs="Times New Roman"/>
                <w:sz w:val="24"/>
                <w:szCs w:val="24"/>
              </w:rPr>
              <w:t>—声屏障引起的倍频带衰减，dB；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A</w:t>
            </w:r>
            <w:r>
              <w:rPr>
                <w:rFonts w:hint="default" w:ascii="Times New Roman" w:hAnsi="Times New Roman" w:cs="Times New Roman"/>
                <w:sz w:val="24"/>
                <w:szCs w:val="24"/>
                <w:vertAlign w:val="subscript"/>
              </w:rPr>
              <w:t>misc</w:t>
            </w:r>
            <w:r>
              <w:rPr>
                <w:rFonts w:hint="default" w:ascii="Times New Roman" w:hAnsi="Times New Roman" w:cs="Times New Roman"/>
                <w:sz w:val="24"/>
                <w:szCs w:val="24"/>
              </w:rPr>
              <w:t>—其他多方面效应引起的倍频带衰减，dB。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②预测点的A声级L</w:t>
            </w:r>
            <w:r>
              <w:rPr>
                <w:rFonts w:hint="default" w:ascii="Times New Roman" w:hAnsi="Times New Roman" w:cs="Times New Roman"/>
                <w:sz w:val="24"/>
                <w:szCs w:val="24"/>
                <w:vertAlign w:val="subscript"/>
              </w:rPr>
              <w:t>A</w:t>
            </w:r>
            <w:r>
              <w:rPr>
                <w:rFonts w:hint="default" w:ascii="Times New Roman" w:hAnsi="Times New Roman" w:cs="Times New Roman"/>
                <w:sz w:val="24"/>
                <w:szCs w:val="24"/>
              </w:rPr>
              <w:t>(r)，可利用8个倍频带的声压级按公式（A.3）计算：</w:t>
            </w:r>
          </w:p>
          <w:p>
            <w:pPr>
              <w:spacing w:line="360" w:lineRule="auto"/>
              <w:ind w:firstLine="480"/>
              <w:jc w:val="both"/>
              <w:rPr>
                <w:rFonts w:hint="default" w:ascii="Times New Roman" w:hAnsi="Times New Roman" w:cs="Times New Roman"/>
                <w:sz w:val="24"/>
                <w:szCs w:val="24"/>
              </w:rPr>
            </w:pPr>
            <m:oMath>
              <m:sSub>
                <m:sSubPr>
                  <m:ctrlPr>
                    <w:rPr>
                      <w:rFonts w:hint="default" w:ascii="Cambria Math" w:hAnsi="Cambria Math" w:cs="Times New Roman"/>
                      <w:i/>
                      <w:sz w:val="24"/>
                      <w:szCs w:val="24"/>
                    </w:rPr>
                  </m:ctrlPr>
                </m:sSubPr>
                <m:e>
                  <m:r>
                    <m:rPr/>
                    <w:rPr>
                      <w:rFonts w:hint="default" w:ascii="Cambria Math" w:hAnsi="Cambria Math" w:cs="Times New Roman"/>
                      <w:sz w:val="24"/>
                      <w:szCs w:val="24"/>
                    </w:rPr>
                    <m:t>L</m:t>
                  </m:r>
                  <m:ctrlPr>
                    <w:rPr>
                      <w:rFonts w:hint="default" w:ascii="Cambria Math" w:hAnsi="Cambria Math" w:cs="Times New Roman"/>
                      <w:i/>
                      <w:sz w:val="24"/>
                      <w:szCs w:val="24"/>
                    </w:rPr>
                  </m:ctrlPr>
                </m:e>
                <m:sub>
                  <m:r>
                    <m:rPr/>
                    <w:rPr>
                      <w:rFonts w:hint="default" w:ascii="Cambria Math" w:hAnsi="Cambria Math" w:cs="Times New Roman"/>
                      <w:sz w:val="24"/>
                      <w:szCs w:val="24"/>
                    </w:rPr>
                    <m:t>A（r）</m:t>
                  </m:r>
                  <m:ctrlPr>
                    <w:rPr>
                      <w:rFonts w:hint="default" w:ascii="Cambria Math" w:hAnsi="Cambria Math" w:cs="Times New Roman"/>
                      <w:i/>
                      <w:sz w:val="24"/>
                      <w:szCs w:val="24"/>
                    </w:rPr>
                  </m:ctrlPr>
                </m:sub>
              </m:sSub>
            </m:oMath>
            <w:r>
              <w:rPr>
                <w:rFonts w:hint="default" w:ascii="Times New Roman" w:hAnsi="Times New Roman" w:cs="Times New Roman"/>
                <w:sz w:val="24"/>
                <w:szCs w:val="24"/>
              </w:rPr>
              <w:t>=</w:t>
            </w:r>
            <m:oMath>
              <m:r>
                <m:rPr>
                  <m:sty m:val="p"/>
                </m:rPr>
                <w:rPr>
                  <w:rFonts w:hint="default" w:ascii="Cambria Math" w:hAnsi="Cambria Math" w:cs="Times New Roman"/>
                  <w:sz w:val="24"/>
                  <w:szCs w:val="24"/>
                </w:rPr>
                <m:t>10lg</m:t>
              </m:r>
              <m:d>
                <m:dPr>
                  <m:begChr m:val="{"/>
                  <m:endChr m:val="}"/>
                  <m:ctrlPr>
                    <w:rPr>
                      <w:rFonts w:hint="default" w:ascii="Cambria Math" w:hAnsi="Cambria Math" w:cs="Times New Roman"/>
                      <w:sz w:val="24"/>
                      <w:szCs w:val="24"/>
                    </w:rPr>
                  </m:ctrlPr>
                </m:dPr>
                <m:e>
                  <m:nary>
                    <m:naryPr>
                      <m:chr m:val="∑"/>
                      <m:limLoc m:val="undOvr"/>
                      <m:ctrlPr>
                        <w:rPr>
                          <w:rFonts w:hint="default" w:ascii="Cambria Math" w:hAnsi="Cambria Math" w:cs="Times New Roman"/>
                          <w:sz w:val="24"/>
                          <w:szCs w:val="24"/>
                        </w:rPr>
                      </m:ctrlPr>
                    </m:naryPr>
                    <m:sub>
                      <m:r>
                        <m:rPr>
                          <m:sty m:val="p"/>
                        </m:rPr>
                        <w:rPr>
                          <w:rFonts w:hint="default" w:ascii="Cambria Math" w:hAnsi="Cambria Math" w:cs="Times New Roman"/>
                          <w:sz w:val="24"/>
                          <w:szCs w:val="24"/>
                        </w:rPr>
                        <m:t>i=1</m:t>
                      </m:r>
                      <m:ctrlPr>
                        <w:rPr>
                          <w:rFonts w:hint="default" w:ascii="Cambria Math" w:hAnsi="Cambria Math" w:cs="Times New Roman"/>
                          <w:sz w:val="24"/>
                          <w:szCs w:val="24"/>
                        </w:rPr>
                      </m:ctrlPr>
                    </m:sub>
                    <m:sup>
                      <m:r>
                        <m:rPr>
                          <m:sty m:val="p"/>
                        </m:rPr>
                        <w:rPr>
                          <w:rFonts w:hint="default" w:ascii="Cambria Math" w:hAnsi="Cambria Math" w:cs="Times New Roman"/>
                          <w:sz w:val="24"/>
                          <w:szCs w:val="24"/>
                        </w:rPr>
                        <m:t>8</m:t>
                      </m:r>
                      <m:ctrlPr>
                        <w:rPr>
                          <w:rFonts w:hint="default" w:ascii="Cambria Math" w:hAnsi="Cambria Math" w:cs="Times New Roman"/>
                          <w:sz w:val="24"/>
                          <w:szCs w:val="24"/>
                        </w:rPr>
                      </m:ctrlPr>
                    </m:sup>
                    <m:e>
                      <m:sSup>
                        <m:sSupPr>
                          <m:ctrlPr>
                            <w:rPr>
                              <w:rFonts w:hint="default" w:ascii="Cambria Math" w:hAnsi="Cambria Math" w:cs="Times New Roman"/>
                              <w:sz w:val="24"/>
                              <w:szCs w:val="24"/>
                            </w:rPr>
                          </m:ctrlPr>
                        </m:sSupPr>
                        <m:e>
                          <m:r>
                            <m:rPr>
                              <m:sty m:val="p"/>
                            </m:rPr>
                            <w:rPr>
                              <w:rFonts w:hint="default" w:ascii="Cambria Math" w:hAnsi="Cambria Math" w:cs="Times New Roman"/>
                              <w:sz w:val="24"/>
                              <w:szCs w:val="24"/>
                            </w:rPr>
                            <m:t>10</m:t>
                          </m:r>
                          <m:ctrlPr>
                            <w:rPr>
                              <w:rFonts w:hint="default" w:ascii="Cambria Math" w:hAnsi="Cambria Math" w:cs="Times New Roman"/>
                              <w:sz w:val="24"/>
                              <w:szCs w:val="24"/>
                            </w:rPr>
                          </m:ctrlPr>
                        </m:e>
                        <m:sup>
                          <m:d>
                            <m:dPr>
                              <m:begChr m:val="["/>
                              <m:endChr m:val="]"/>
                              <m:ctrlPr>
                                <w:rPr>
                                  <w:rFonts w:hint="default" w:ascii="Cambria Math" w:hAnsi="Cambria Math" w:cs="Times New Roman"/>
                                  <w:sz w:val="24"/>
                                  <w:szCs w:val="24"/>
                                </w:rPr>
                              </m:ctrlPr>
                            </m:dPr>
                            <m:e>
                              <m:r>
                                <m:rPr>
                                  <m:sty m:val="p"/>
                                </m:rPr>
                                <w:rPr>
                                  <w:rFonts w:hint="default" w:ascii="Cambria Math" w:hAnsi="Cambria Math" w:cs="Times New Roman"/>
                                  <w:sz w:val="24"/>
                                  <w:szCs w:val="24"/>
                                </w:rPr>
                                <m:t>0.1Lpi(r)−∆L i</m:t>
                              </m:r>
                              <m:ctrlPr>
                                <w:rPr>
                                  <w:rFonts w:hint="default" w:ascii="Cambria Math" w:hAnsi="Cambria Math" w:cs="Times New Roman"/>
                                  <w:sz w:val="24"/>
                                  <w:szCs w:val="24"/>
                                </w:rPr>
                              </m:ctrlPr>
                            </m:e>
                          </m:d>
                          <m:ctrlPr>
                            <w:rPr>
                              <w:rFonts w:hint="default" w:ascii="Cambria Math" w:hAnsi="Cambria Math" w:cs="Times New Roman"/>
                              <w:sz w:val="24"/>
                              <w:szCs w:val="24"/>
                            </w:rPr>
                          </m:ctrlPr>
                        </m:sup>
                      </m:sSup>
                      <m:ctrlPr>
                        <w:rPr>
                          <w:rFonts w:hint="default" w:ascii="Cambria Math" w:hAnsi="Cambria Math" w:cs="Times New Roman"/>
                          <w:sz w:val="24"/>
                          <w:szCs w:val="24"/>
                        </w:rPr>
                      </m:ctrlPr>
                    </m:e>
                  </m:nary>
                  <m:ctrlPr>
                    <w:rPr>
                      <w:rFonts w:hint="default" w:ascii="Cambria Math" w:hAnsi="Cambria Math" w:cs="Times New Roman"/>
                      <w:sz w:val="24"/>
                      <w:szCs w:val="24"/>
                    </w:rPr>
                  </m:ctrlPr>
                </m:e>
              </m:d>
            </m:oMath>
            <w:r>
              <w:rPr>
                <w:rFonts w:hint="default" w:ascii="Times New Roman" w:hAnsi="Times New Roman" w:cs="Times New Roman"/>
                <w:sz w:val="24"/>
                <w:szCs w:val="24"/>
              </w:rPr>
              <w:t xml:space="preserve">               （A.3）</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式中：L</w:t>
            </w:r>
            <w:r>
              <w:rPr>
                <w:rFonts w:hint="default" w:ascii="Times New Roman" w:hAnsi="Times New Roman" w:cs="Times New Roman"/>
                <w:sz w:val="24"/>
                <w:szCs w:val="24"/>
                <w:vertAlign w:val="subscript"/>
              </w:rPr>
              <w:t>pi</w:t>
            </w:r>
            <w:r>
              <w:rPr>
                <w:rFonts w:hint="default" w:ascii="Times New Roman" w:hAnsi="Times New Roman" w:cs="Times New Roman"/>
                <w:sz w:val="24"/>
                <w:szCs w:val="24"/>
              </w:rPr>
              <w:t>(r)—预测点(r)处，第i倍频带声压级，dB；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ΔL</w:t>
            </w:r>
            <w:r>
              <w:rPr>
                <w:rFonts w:hint="default" w:ascii="Times New Roman" w:hAnsi="Times New Roman" w:cs="Times New Roman"/>
                <w:sz w:val="24"/>
                <w:szCs w:val="24"/>
                <w:vertAlign w:val="subscript"/>
              </w:rPr>
              <w:t>i</w:t>
            </w:r>
            <w:r>
              <w:rPr>
                <w:rFonts w:hint="default" w:ascii="Times New Roman" w:hAnsi="Times New Roman" w:cs="Times New Roman"/>
                <w:sz w:val="24"/>
                <w:szCs w:val="24"/>
              </w:rPr>
              <w:t>—第i倍频带的 A 计权网络修正值，dB。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③在只考虑几何发散衰减时，可按式（A.4）计算。</w:t>
            </w:r>
          </w:p>
          <w:p>
            <w:pPr>
              <w:spacing w:line="360" w:lineRule="auto"/>
              <w:ind w:left="231" w:leftChars="105" w:firstLine="240" w:firstLineChars="100"/>
              <w:jc w:val="center"/>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A</w:t>
            </w:r>
            <w:r>
              <w:rPr>
                <w:rFonts w:hint="default" w:ascii="Times New Roman" w:hAnsi="Times New Roman" w:cs="Times New Roman"/>
                <w:sz w:val="24"/>
                <w:szCs w:val="24"/>
              </w:rPr>
              <w:t>(r)=L</w:t>
            </w:r>
            <w:r>
              <w:rPr>
                <w:rFonts w:hint="default" w:ascii="Times New Roman" w:hAnsi="Times New Roman" w:cs="Times New Roman"/>
                <w:sz w:val="24"/>
                <w:szCs w:val="24"/>
                <w:vertAlign w:val="subscript"/>
              </w:rPr>
              <w:t>A</w:t>
            </w:r>
            <w:r>
              <w:rPr>
                <w:rFonts w:hint="default" w:ascii="Times New Roman" w:hAnsi="Times New Roman" w:cs="Times New Roman"/>
                <w:sz w:val="24"/>
                <w:szCs w:val="24"/>
              </w:rPr>
              <w:t>(r</w:t>
            </w:r>
            <w:r>
              <w:rPr>
                <w:rFonts w:hint="default" w:ascii="Times New Roman" w:hAnsi="Times New Roman" w:cs="Times New Roman"/>
                <w:sz w:val="24"/>
                <w:szCs w:val="24"/>
                <w:vertAlign w:val="subscript"/>
              </w:rPr>
              <w:t>0</w:t>
            </w:r>
            <w:r>
              <w:rPr>
                <w:rFonts w:hint="default" w:ascii="Times New Roman" w:hAnsi="Times New Roman" w:cs="Times New Roman"/>
                <w:sz w:val="24"/>
                <w:szCs w:val="24"/>
              </w:rPr>
              <w:t>)-A</w:t>
            </w:r>
            <w:r>
              <w:rPr>
                <w:rFonts w:hint="default" w:ascii="Times New Roman" w:hAnsi="Times New Roman" w:cs="Times New Roman"/>
                <w:sz w:val="24"/>
                <w:szCs w:val="24"/>
                <w:vertAlign w:val="subscript"/>
              </w:rPr>
              <w:t xml:space="preserve">div            </w:t>
            </w:r>
            <w:r>
              <w:rPr>
                <w:rFonts w:hint="default" w:ascii="Times New Roman" w:hAnsi="Times New Roman" w:cs="Times New Roman"/>
                <w:sz w:val="24"/>
                <w:szCs w:val="24"/>
              </w:rPr>
              <w:t>（A.4）</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式中：L</w:t>
            </w:r>
            <w:r>
              <w:rPr>
                <w:rFonts w:hint="default" w:ascii="Times New Roman" w:hAnsi="Times New Roman" w:cs="Times New Roman"/>
                <w:sz w:val="24"/>
                <w:szCs w:val="24"/>
                <w:vertAlign w:val="subscript"/>
              </w:rPr>
              <w:t>A</w:t>
            </w:r>
            <w:r>
              <w:rPr>
                <w:rFonts w:hint="default" w:ascii="Times New Roman" w:hAnsi="Times New Roman" w:cs="Times New Roman"/>
                <w:sz w:val="24"/>
                <w:szCs w:val="24"/>
              </w:rPr>
              <w:t>(r)—距声源r处的A声级，dB(A)；</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A</w:t>
            </w:r>
            <w:r>
              <w:rPr>
                <w:rFonts w:hint="default" w:ascii="Times New Roman" w:hAnsi="Times New Roman" w:cs="Times New Roman"/>
                <w:sz w:val="24"/>
                <w:szCs w:val="24"/>
              </w:rPr>
              <w:t>(r</w:t>
            </w:r>
            <w:r>
              <w:rPr>
                <w:rFonts w:hint="default" w:ascii="Times New Roman" w:hAnsi="Times New Roman" w:cs="Times New Roman"/>
                <w:sz w:val="24"/>
                <w:szCs w:val="24"/>
                <w:vertAlign w:val="subscript"/>
              </w:rPr>
              <w:t>0</w:t>
            </w:r>
            <w:r>
              <w:rPr>
                <w:rFonts w:hint="default" w:ascii="Times New Roman" w:hAnsi="Times New Roman" w:cs="Times New Roman"/>
                <w:sz w:val="24"/>
                <w:szCs w:val="24"/>
              </w:rPr>
              <w:t>)—参考位置r</w:t>
            </w:r>
            <w:r>
              <w:rPr>
                <w:rFonts w:hint="default" w:ascii="Times New Roman" w:hAnsi="Times New Roman" w:cs="Times New Roman"/>
                <w:sz w:val="24"/>
                <w:szCs w:val="24"/>
                <w:vertAlign w:val="subscript"/>
              </w:rPr>
              <w:t>0</w:t>
            </w:r>
            <w:r>
              <w:rPr>
                <w:rFonts w:hint="default" w:ascii="Times New Roman" w:hAnsi="Times New Roman" w:cs="Times New Roman"/>
                <w:sz w:val="24"/>
                <w:szCs w:val="24"/>
              </w:rPr>
              <w:t>处的A声级，dB(A)；</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A</w:t>
            </w:r>
            <w:r>
              <w:rPr>
                <w:rFonts w:hint="default" w:ascii="Times New Roman" w:hAnsi="Times New Roman" w:cs="Times New Roman"/>
                <w:sz w:val="24"/>
                <w:szCs w:val="24"/>
                <w:vertAlign w:val="subscript"/>
              </w:rPr>
              <w:t>div</w:t>
            </w:r>
            <w:r>
              <w:rPr>
                <w:rFonts w:hint="default" w:ascii="Times New Roman" w:hAnsi="Times New Roman" w:cs="Times New Roman"/>
                <w:sz w:val="24"/>
                <w:szCs w:val="24"/>
              </w:rPr>
              <w:t>—几何发散引起的衰减，dB。</w:t>
            </w:r>
          </w:p>
          <w:p>
            <w:pPr>
              <w:spacing w:line="360" w:lineRule="auto"/>
              <w:ind w:firstLine="456"/>
              <w:jc w:val="both"/>
              <w:rPr>
                <w:rFonts w:hint="default" w:ascii="Times New Roman" w:hAnsi="Times New Roman" w:cs="Times New Roman"/>
                <w:sz w:val="24"/>
                <w:szCs w:val="24"/>
              </w:rPr>
            </w:pPr>
            <w:bookmarkStart w:id="7" w:name="_Toc28625"/>
            <w:r>
              <w:rPr>
                <w:rFonts w:hint="default" w:ascii="Times New Roman" w:hAnsi="Times New Roman" w:cs="Times New Roman"/>
                <w:sz w:val="24"/>
                <w:szCs w:val="24"/>
              </w:rPr>
              <w:t>2）室内声源等效室外声源声功率级计算方法</w:t>
            </w:r>
            <w:bookmarkEnd w:id="7"/>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声源位于室内，室内声源可采用等效室外声源声功率级法进行计算。设靠近开口处（或窗户）室内、室外某倍频带的声压级分别为L</w:t>
            </w:r>
            <w:r>
              <w:rPr>
                <w:rFonts w:hint="default" w:ascii="Times New Roman" w:hAnsi="Times New Roman" w:cs="Times New Roman"/>
                <w:sz w:val="24"/>
                <w:szCs w:val="24"/>
                <w:vertAlign w:val="subscript"/>
              </w:rPr>
              <w:t>p1</w:t>
            </w:r>
            <w:r>
              <w:rPr>
                <w:rFonts w:hint="default" w:ascii="Times New Roman" w:hAnsi="Times New Roman" w:cs="Times New Roman"/>
                <w:sz w:val="24"/>
                <w:szCs w:val="24"/>
              </w:rPr>
              <w:t>和L</w:t>
            </w:r>
            <w:r>
              <w:rPr>
                <w:rFonts w:hint="default" w:ascii="Times New Roman" w:hAnsi="Times New Roman" w:cs="Times New Roman"/>
                <w:sz w:val="24"/>
                <w:szCs w:val="24"/>
                <w:vertAlign w:val="subscript"/>
              </w:rPr>
              <w:t>p2</w:t>
            </w:r>
            <w:r>
              <w:rPr>
                <w:rFonts w:hint="default" w:ascii="Times New Roman" w:hAnsi="Times New Roman" w:cs="Times New Roman"/>
                <w:sz w:val="24"/>
                <w:szCs w:val="24"/>
              </w:rPr>
              <w:t>。若声源所在室内声场为近似扩散声场，则室外的倍频带声压级可按公式（B.1）近似求出：</w:t>
            </w:r>
          </w:p>
          <w:p>
            <w:pPr>
              <w:spacing w:line="360" w:lineRule="auto"/>
              <w:ind w:firstLine="456"/>
              <w:jc w:val="center"/>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p2</w:t>
            </w: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p1</w:t>
            </w:r>
            <w:r>
              <w:rPr>
                <w:rFonts w:hint="default" w:ascii="Times New Roman" w:hAnsi="Times New Roman" w:cs="Times New Roman"/>
                <w:sz w:val="24"/>
                <w:szCs w:val="24"/>
              </w:rPr>
              <w:t>-（TL+6）    （B.1）</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式中：L</w:t>
            </w:r>
            <w:r>
              <w:rPr>
                <w:rFonts w:hint="default" w:ascii="Times New Roman" w:hAnsi="Times New Roman" w:cs="Times New Roman"/>
                <w:sz w:val="24"/>
                <w:szCs w:val="24"/>
                <w:vertAlign w:val="subscript"/>
              </w:rPr>
              <w:t>p1</w:t>
            </w:r>
            <w:r>
              <w:rPr>
                <w:rFonts w:hint="default" w:ascii="Times New Roman" w:hAnsi="Times New Roman" w:cs="Times New Roman"/>
                <w:sz w:val="24"/>
                <w:szCs w:val="24"/>
              </w:rPr>
              <w:t xml:space="preserve">—靠近开口处（或窗户）室内某倍频带的声压级或A声级，dB； </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p2</w:t>
            </w:r>
            <w:r>
              <w:rPr>
                <w:rFonts w:hint="default" w:ascii="Times New Roman" w:hAnsi="Times New Roman" w:cs="Times New Roman"/>
                <w:sz w:val="24"/>
                <w:szCs w:val="24"/>
              </w:rPr>
              <w:t>—靠近开口处（或窗户）室外某倍频带的声压级或A声级，dB；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TL—隔墙（或窗户）倍频带的隔声量，dB。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也可按公式（B.2）计算某一室内声源靠近围护结构处产生的倍频带声压级：</w:t>
            </w:r>
          </w:p>
          <w:p>
            <w:pPr>
              <w:spacing w:line="360" w:lineRule="auto"/>
              <w:ind w:firstLine="456"/>
              <w:jc w:val="center"/>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p1</w:t>
            </w: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w</w:t>
            </w:r>
            <w:r>
              <w:rPr>
                <w:rFonts w:hint="default" w:ascii="Times New Roman" w:hAnsi="Times New Roman" w:cs="Times New Roman"/>
                <w:sz w:val="24"/>
                <w:szCs w:val="24"/>
              </w:rPr>
              <w:t>+10lg（</w:t>
            </w:r>
            <m:oMath>
              <m:box>
                <m:boxPr>
                  <m:ctrlPr>
                    <w:rPr>
                      <w:rFonts w:hint="default" w:ascii="Cambria Math" w:hAnsi="Cambria Math" w:cs="Times New Roman"/>
                      <w:sz w:val="24"/>
                      <w:szCs w:val="24"/>
                    </w:rPr>
                  </m:ctrlPr>
                </m:boxPr>
                <m:e>
                  <m:argPr>
                    <m:argSz m:val="-1"/>
                  </m:argPr>
                  <m:f>
                    <m:fPr>
                      <m:ctrlPr>
                        <w:rPr>
                          <w:rFonts w:hint="default" w:ascii="Cambria Math" w:hAnsi="Cambria Math" w:cs="Times New Roman"/>
                          <w:sz w:val="24"/>
                          <w:szCs w:val="24"/>
                        </w:rPr>
                      </m:ctrlPr>
                    </m:fPr>
                    <m:num>
                      <m:r>
                        <m:rPr>
                          <m:sty m:val="p"/>
                        </m:rPr>
                        <w:rPr>
                          <w:rFonts w:hint="default" w:ascii="Cambria Math" w:hAnsi="Cambria Math" w:cs="Times New Roman"/>
                          <w:sz w:val="24"/>
                          <w:szCs w:val="24"/>
                        </w:rPr>
                        <m:t>Q</m:t>
                      </m:r>
                      <m:ctrlPr>
                        <w:rPr>
                          <w:rFonts w:hint="default" w:ascii="Cambria Math" w:hAnsi="Cambria Math" w:cs="Times New Roman"/>
                          <w:sz w:val="24"/>
                          <w:szCs w:val="24"/>
                        </w:rPr>
                      </m:ctrlPr>
                    </m:num>
                    <m:den>
                      <m:r>
                        <m:rPr>
                          <m:sty m:val="p"/>
                        </m:rPr>
                        <w:rPr>
                          <w:rFonts w:hint="default" w:ascii="Cambria Math" w:hAnsi="Cambria Math" w:cs="Times New Roman"/>
                          <w:sz w:val="24"/>
                          <w:szCs w:val="24"/>
                        </w:rPr>
                        <m:t>4π</m:t>
                      </m:r>
                      <m:sSup>
                        <m:sSupPr>
                          <m:ctrlPr>
                            <w:rPr>
                              <w:rFonts w:hint="default" w:ascii="Cambria Math" w:hAnsi="Cambria Math" w:cs="Times New Roman"/>
                              <w:sz w:val="24"/>
                              <w:szCs w:val="24"/>
                            </w:rPr>
                          </m:ctrlPr>
                        </m:sSupPr>
                        <m:e>
                          <m:r>
                            <m:rPr>
                              <m:sty m:val="p"/>
                            </m:rPr>
                            <w:rPr>
                              <w:rFonts w:hint="default" w:ascii="Cambria Math" w:hAnsi="Cambria Math" w:cs="Times New Roman"/>
                              <w:sz w:val="24"/>
                              <w:szCs w:val="24"/>
                            </w:rPr>
                            <m:t>r</m:t>
                          </m:r>
                          <m:ctrlPr>
                            <w:rPr>
                              <w:rFonts w:hint="default" w:ascii="Cambria Math" w:hAnsi="Cambria Math" w:cs="Times New Roman"/>
                              <w:sz w:val="24"/>
                              <w:szCs w:val="24"/>
                            </w:rPr>
                          </m:ctrlPr>
                        </m:e>
                        <m:sup>
                          <m:r>
                            <m:rPr>
                              <m:sty m:val="p"/>
                            </m:rPr>
                            <w:rPr>
                              <w:rFonts w:hint="default" w:ascii="Cambria Math" w:hAnsi="Cambria Math" w:cs="Times New Roman"/>
                              <w:sz w:val="24"/>
                              <w:szCs w:val="24"/>
                            </w:rPr>
                            <m:t>2</m:t>
                          </m:r>
                          <m:ctrlPr>
                            <w:rPr>
                              <w:rFonts w:hint="default" w:ascii="Cambria Math" w:hAnsi="Cambria Math" w:cs="Times New Roman"/>
                              <w:sz w:val="24"/>
                              <w:szCs w:val="24"/>
                            </w:rPr>
                          </m:ctrlPr>
                        </m:sup>
                      </m:sSup>
                      <m:ctrlPr>
                        <w:rPr>
                          <w:rFonts w:hint="default" w:ascii="Cambria Math" w:hAnsi="Cambria Math" w:cs="Times New Roman"/>
                          <w:sz w:val="24"/>
                          <w:szCs w:val="24"/>
                        </w:rPr>
                      </m:ctrlPr>
                    </m:den>
                  </m:f>
                  <m:ctrlPr>
                    <w:rPr>
                      <w:rFonts w:hint="default" w:ascii="Cambria Math" w:hAnsi="Cambria Math" w:cs="Times New Roman"/>
                      <w:sz w:val="24"/>
                      <w:szCs w:val="24"/>
                    </w:rPr>
                  </m:ctrlPr>
                </m:e>
              </m:box>
            </m:oMath>
            <w:r>
              <w:rPr>
                <w:rFonts w:hint="default" w:ascii="Times New Roman" w:hAnsi="Times New Roman" w:cs="Times New Roman"/>
                <w:sz w:val="24"/>
                <w:szCs w:val="24"/>
              </w:rPr>
              <w:t>+</w:t>
            </w:r>
            <m:oMath>
              <m:box>
                <m:boxPr>
                  <m:ctrlPr>
                    <w:rPr>
                      <w:rFonts w:hint="default" w:ascii="Cambria Math" w:hAnsi="Cambria Math" w:cs="Times New Roman"/>
                      <w:sz w:val="24"/>
                      <w:szCs w:val="24"/>
                    </w:rPr>
                  </m:ctrlPr>
                </m:boxPr>
                <m:e>
                  <m:argPr>
                    <m:argSz m:val="-1"/>
                  </m:argPr>
                  <m:f>
                    <m:fPr>
                      <m:ctrlPr>
                        <w:rPr>
                          <w:rFonts w:hint="default" w:ascii="Cambria Math" w:hAnsi="Cambria Math" w:cs="Times New Roman"/>
                          <w:sz w:val="24"/>
                          <w:szCs w:val="24"/>
                        </w:rPr>
                      </m:ctrlPr>
                    </m:fPr>
                    <m:num>
                      <m:r>
                        <m:rPr>
                          <m:sty m:val="p"/>
                        </m:rPr>
                        <w:rPr>
                          <w:rFonts w:hint="default" w:ascii="Cambria Math" w:hAnsi="Cambria Math" w:cs="Times New Roman"/>
                          <w:sz w:val="24"/>
                          <w:szCs w:val="24"/>
                        </w:rPr>
                        <m:t>4</m:t>
                      </m:r>
                      <m:ctrlPr>
                        <w:rPr>
                          <w:rFonts w:hint="default" w:ascii="Cambria Math" w:hAnsi="Cambria Math" w:cs="Times New Roman"/>
                          <w:sz w:val="24"/>
                          <w:szCs w:val="24"/>
                        </w:rPr>
                      </m:ctrlPr>
                    </m:num>
                    <m:den>
                      <m:r>
                        <m:rPr>
                          <m:sty m:val="p"/>
                        </m:rPr>
                        <w:rPr>
                          <w:rFonts w:hint="default" w:ascii="Cambria Math" w:hAnsi="Cambria Math" w:cs="Times New Roman"/>
                          <w:sz w:val="24"/>
                          <w:szCs w:val="24"/>
                        </w:rPr>
                        <m:t>R</m:t>
                      </m:r>
                      <m:ctrlPr>
                        <w:rPr>
                          <w:rFonts w:hint="default" w:ascii="Cambria Math" w:hAnsi="Cambria Math" w:cs="Times New Roman"/>
                          <w:sz w:val="24"/>
                          <w:szCs w:val="24"/>
                        </w:rPr>
                      </m:ctrlPr>
                    </m:den>
                  </m:f>
                  <m:ctrlPr>
                    <w:rPr>
                      <w:rFonts w:hint="default" w:ascii="Cambria Math" w:hAnsi="Cambria Math" w:cs="Times New Roman"/>
                      <w:sz w:val="24"/>
                      <w:szCs w:val="24"/>
                    </w:rPr>
                  </m:ctrlPr>
                </m:e>
              </m:box>
            </m:oMath>
            <w:r>
              <w:rPr>
                <w:rFonts w:hint="default" w:ascii="Times New Roman" w:hAnsi="Times New Roman" w:cs="Times New Roman"/>
                <w:sz w:val="24"/>
                <w:szCs w:val="24"/>
              </w:rPr>
              <w:t>）    （B.2）</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式中：Q—指向性因数；通常对无指向性声源，当声源放在房间中心时，Q=1；当放在一面墙的中心时，Q=2；当放在两面墙夹角处时，Q=4；当放在三面墙夹角处时，Q=8。</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R—房间常数；R=Sα/(1-α)，S为房间内表面面积，m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；α为平均吸声系数。</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r—声源到靠近围护结构某点处的距离，m。</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然后按公式（B.3）计算出所有室内声源在围护结构处产生的i倍频带叠加声压级：</w:t>
            </w:r>
          </w:p>
          <w:p>
            <w:pPr>
              <w:pStyle w:val="7"/>
              <w:spacing w:line="360" w:lineRule="auto"/>
              <w:ind w:firstLine="456"/>
              <w:jc w:val="center"/>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pli</w:t>
            </w:r>
            <w:r>
              <w:rPr>
                <w:rFonts w:hint="default" w:ascii="Times New Roman" w:hAnsi="Times New Roman" w:cs="Times New Roman"/>
                <w:sz w:val="24"/>
                <w:szCs w:val="24"/>
              </w:rPr>
              <w:t>(T)=10lg(</w:t>
            </w:r>
            <m:oMath>
              <m:nary>
                <m:naryPr>
                  <m:chr m:val="∑"/>
                  <m:limLoc m:val="undOvr"/>
                  <m:ctrlPr>
                    <w:rPr>
                      <w:rFonts w:hint="default" w:ascii="Cambria Math" w:hAnsi="Cambria Math" w:cs="Times New Roman"/>
                      <w:i/>
                      <w:sz w:val="24"/>
                      <w:szCs w:val="24"/>
                    </w:rPr>
                  </m:ctrlPr>
                </m:naryPr>
                <m:sub>
                  <m:r>
                    <m:rPr/>
                    <w:rPr>
                      <w:rFonts w:hint="default" w:ascii="Cambria Math" w:hAnsi="Cambria Math" w:cs="Times New Roman"/>
                      <w:sz w:val="24"/>
                      <w:szCs w:val="24"/>
                    </w:rPr>
                    <m:t>j=1</m:t>
                  </m:r>
                  <m:ctrlPr>
                    <w:rPr>
                      <w:rFonts w:hint="default" w:ascii="Cambria Math" w:hAnsi="Cambria Math" w:cs="Times New Roman"/>
                      <w:i/>
                      <w:sz w:val="24"/>
                      <w:szCs w:val="24"/>
                    </w:rPr>
                  </m:ctrlPr>
                </m:sub>
                <m:sup>
                  <m:r>
                    <m:rPr/>
                    <w:rPr>
                      <w:rFonts w:hint="default" w:ascii="Cambria Math" w:hAnsi="Cambria Math" w:cs="Times New Roman"/>
                      <w:sz w:val="24"/>
                      <w:szCs w:val="24"/>
                    </w:rPr>
                    <m:t>N</m:t>
                  </m:r>
                  <m:ctrlPr>
                    <w:rPr>
                      <w:rFonts w:hint="default" w:ascii="Cambria Math" w:hAnsi="Cambria Math" w:cs="Times New Roman"/>
                      <w:i/>
                      <w:sz w:val="24"/>
                      <w:szCs w:val="24"/>
                    </w:rPr>
                  </m:ctrlPr>
                </m:sup>
                <m:e>
                  <m:sSup>
                    <m:sSupPr>
                      <m:ctrlPr>
                        <w:rPr>
                          <w:rFonts w:hint="default" w:ascii="Cambria Math" w:hAnsi="Cambria Math" w:cs="Times New Roman"/>
                          <w:i/>
                          <w:sz w:val="24"/>
                          <w:szCs w:val="24"/>
                        </w:rPr>
                      </m:ctrlPr>
                    </m:sSupPr>
                    <m:e>
                      <m:r>
                        <m:rPr/>
                        <w:rPr>
                          <w:rFonts w:hint="default" w:ascii="Cambria Math" w:hAnsi="Cambria Math" w:cs="Times New Roman"/>
                          <w:sz w:val="24"/>
                          <w:szCs w:val="24"/>
                        </w:rPr>
                        <m:t>10</m:t>
                      </m:r>
                      <m:ctrlPr>
                        <w:rPr>
                          <w:rFonts w:hint="default" w:ascii="Cambria Math" w:hAnsi="Cambria Math" w:cs="Times New Roman"/>
                          <w:i/>
                          <w:sz w:val="24"/>
                          <w:szCs w:val="24"/>
                        </w:rPr>
                      </m:ctrlPr>
                    </m:e>
                    <m:sup>
                      <m:r>
                        <m:rPr/>
                        <w:rPr>
                          <w:rFonts w:hint="default" w:ascii="Cambria Math" w:hAnsi="Cambria Math" w:cs="Times New Roman"/>
                          <w:sz w:val="24"/>
                          <w:szCs w:val="24"/>
                        </w:rPr>
                        <m:t>0.1Lplij</m:t>
                      </m:r>
                      <m:ctrlPr>
                        <w:rPr>
                          <w:rFonts w:hint="default" w:ascii="Cambria Math" w:hAnsi="Cambria Math" w:cs="Times New Roman"/>
                          <w:i/>
                          <w:sz w:val="24"/>
                          <w:szCs w:val="24"/>
                        </w:rPr>
                      </m:ctrlPr>
                    </m:sup>
                  </m:sSup>
                  <m:ctrlPr>
                    <w:rPr>
                      <w:rFonts w:hint="default" w:ascii="Cambria Math" w:hAnsi="Cambria Math" w:cs="Times New Roman"/>
                      <w:i/>
                      <w:sz w:val="24"/>
                      <w:szCs w:val="24"/>
                    </w:rPr>
                  </m:ctrlPr>
                </m:e>
              </m:nary>
            </m:oMath>
            <w:r>
              <w:rPr>
                <w:rFonts w:hint="default" w:ascii="Times New Roman" w:hAnsi="Times New Roman" w:cs="Times New Roman"/>
                <w:sz w:val="24"/>
                <w:szCs w:val="24"/>
              </w:rPr>
              <w:t>)       （B.3）</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式中：L</w:t>
            </w:r>
            <w:r>
              <w:rPr>
                <w:rFonts w:hint="default" w:ascii="Times New Roman" w:hAnsi="Times New Roman" w:cs="Times New Roman"/>
                <w:sz w:val="24"/>
                <w:szCs w:val="24"/>
                <w:vertAlign w:val="subscript"/>
              </w:rPr>
              <w:t>pli</w:t>
            </w:r>
            <w:r>
              <w:rPr>
                <w:rFonts w:hint="default" w:ascii="Times New Roman" w:hAnsi="Times New Roman" w:cs="Times New Roman"/>
                <w:sz w:val="24"/>
                <w:szCs w:val="24"/>
              </w:rPr>
              <w:t>(T)—靠近围护结构处室内N个声源i倍频带的叠加声压级，dB；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plij</w:t>
            </w:r>
            <w:r>
              <w:rPr>
                <w:rFonts w:hint="default" w:ascii="Times New Roman" w:hAnsi="Times New Roman" w:cs="Times New Roman"/>
                <w:sz w:val="24"/>
                <w:szCs w:val="24"/>
              </w:rPr>
              <w:t>—室内j声源i倍频带的声压级，dB；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N—室内声源总数。</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在室内近似为扩散声场时，按公式（B.4）计算出靠近室外围护结构处的声压级：</w:t>
            </w:r>
          </w:p>
          <w:p>
            <w:pPr>
              <w:pStyle w:val="7"/>
              <w:spacing w:line="360" w:lineRule="auto"/>
              <w:ind w:firstLine="456"/>
              <w:jc w:val="center"/>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p2i</w:t>
            </w:r>
            <w:r>
              <w:rPr>
                <w:rFonts w:hint="default" w:ascii="Times New Roman" w:hAnsi="Times New Roman" w:cs="Times New Roman"/>
                <w:sz w:val="24"/>
                <w:szCs w:val="24"/>
              </w:rPr>
              <w:t>(T)=L</w:t>
            </w:r>
            <w:r>
              <w:rPr>
                <w:rFonts w:hint="default" w:ascii="Times New Roman" w:hAnsi="Times New Roman" w:cs="Times New Roman"/>
                <w:sz w:val="24"/>
                <w:szCs w:val="24"/>
                <w:vertAlign w:val="subscript"/>
              </w:rPr>
              <w:t>p1i</w:t>
            </w:r>
            <w:r>
              <w:rPr>
                <w:rFonts w:hint="default" w:ascii="Times New Roman" w:hAnsi="Times New Roman" w:cs="Times New Roman"/>
                <w:sz w:val="24"/>
                <w:szCs w:val="24"/>
              </w:rPr>
              <w:t>(T)-(TL</w:t>
            </w:r>
            <w:r>
              <w:rPr>
                <w:rFonts w:hint="default" w:ascii="Times New Roman" w:hAnsi="Times New Roman" w:cs="Times New Roman"/>
                <w:sz w:val="24"/>
                <w:szCs w:val="24"/>
                <w:vertAlign w:val="subscript"/>
              </w:rPr>
              <w:t>i</w:t>
            </w:r>
            <w:r>
              <w:rPr>
                <w:rFonts w:hint="default" w:ascii="Times New Roman" w:hAnsi="Times New Roman" w:cs="Times New Roman"/>
                <w:sz w:val="24"/>
                <w:szCs w:val="24"/>
              </w:rPr>
              <w:t>+6)       （B.4）</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式中：L</w:t>
            </w:r>
            <w:r>
              <w:rPr>
                <w:rFonts w:hint="default" w:ascii="Times New Roman" w:hAnsi="Times New Roman" w:cs="Times New Roman"/>
                <w:sz w:val="24"/>
                <w:szCs w:val="24"/>
                <w:vertAlign w:val="subscript"/>
              </w:rPr>
              <w:t>p2i</w:t>
            </w:r>
            <w:r>
              <w:rPr>
                <w:rFonts w:hint="default" w:ascii="Times New Roman" w:hAnsi="Times New Roman" w:cs="Times New Roman"/>
                <w:sz w:val="24"/>
                <w:szCs w:val="24"/>
              </w:rPr>
              <w:t>(T)—靠近围护结构处室外N个声源i倍频带的叠加声压级，dB；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p1i</w:t>
            </w:r>
            <w:r>
              <w:rPr>
                <w:rFonts w:hint="default" w:ascii="Times New Roman" w:hAnsi="Times New Roman" w:cs="Times New Roman"/>
                <w:sz w:val="24"/>
                <w:szCs w:val="24"/>
              </w:rPr>
              <w:t>(T)—靠近围护结构处室外N个声源i倍频带的叠加声压级，dB；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TL</w:t>
            </w:r>
            <w:r>
              <w:rPr>
                <w:rFonts w:hint="default" w:ascii="Times New Roman" w:hAnsi="Times New Roman" w:cs="Times New Roman"/>
                <w:sz w:val="24"/>
                <w:szCs w:val="24"/>
                <w:vertAlign w:val="subscript"/>
              </w:rPr>
              <w:t>i</w:t>
            </w:r>
            <w:r>
              <w:rPr>
                <w:rFonts w:hint="default" w:ascii="Times New Roman" w:hAnsi="Times New Roman" w:cs="Times New Roman"/>
                <w:sz w:val="24"/>
                <w:szCs w:val="24"/>
              </w:rPr>
              <w:t>—围护结构i倍频带的隔声量，dB。</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然后按公式（B.5）将室外声源的声压级和透过面积换算成等效的室外声源，计算出中心位置位于透声面积（S）处的等效声源的倍频带声功率级。</w:t>
            </w:r>
          </w:p>
          <w:p>
            <w:pPr>
              <w:spacing w:line="360" w:lineRule="auto"/>
              <w:ind w:firstLine="456"/>
              <w:jc w:val="center"/>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w</w:t>
            </w: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p2</w:t>
            </w:r>
            <w:r>
              <w:rPr>
                <w:rFonts w:hint="default" w:ascii="Times New Roman" w:hAnsi="Times New Roman" w:cs="Times New Roman"/>
                <w:sz w:val="24"/>
                <w:szCs w:val="24"/>
              </w:rPr>
              <w:t>(T)+10lgS       （B.5）</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式中：L</w:t>
            </w:r>
            <w:r>
              <w:rPr>
                <w:rFonts w:hint="default" w:ascii="Times New Roman" w:hAnsi="Times New Roman" w:cs="Times New Roman"/>
                <w:sz w:val="24"/>
                <w:szCs w:val="24"/>
                <w:vertAlign w:val="subscript"/>
              </w:rPr>
              <w:t>w</w:t>
            </w:r>
            <w:r>
              <w:rPr>
                <w:rFonts w:hint="default" w:ascii="Times New Roman" w:hAnsi="Times New Roman" w:cs="Times New Roman"/>
                <w:sz w:val="24"/>
                <w:szCs w:val="24"/>
              </w:rPr>
              <w:t xml:space="preserve"> —中心位置位于透声面积（S）处的等效声源的倍频带声功率级，dB； </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p2</w:t>
            </w:r>
            <w:r>
              <w:rPr>
                <w:rFonts w:hint="default" w:ascii="Times New Roman" w:hAnsi="Times New Roman" w:cs="Times New Roman"/>
                <w:sz w:val="24"/>
                <w:szCs w:val="24"/>
              </w:rPr>
              <w:t xml:space="preserve">(T)—靠近围护结构处室外声源的声压级，dB； </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S—透声面积，m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 xml:space="preserve">。 </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然后按室外声源预测方法计算预测点处的A声级。</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3）工业企业厂界噪声贡献值计算</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设第i个室外声源在预测点产生的A声级为L</w:t>
            </w:r>
            <w:r>
              <w:rPr>
                <w:rFonts w:hint="default" w:ascii="Times New Roman" w:hAnsi="Times New Roman" w:cs="Times New Roman"/>
                <w:sz w:val="24"/>
                <w:szCs w:val="24"/>
                <w:vertAlign w:val="subscript"/>
              </w:rPr>
              <w:t>Ai</w:t>
            </w:r>
            <w:r>
              <w:rPr>
                <w:rFonts w:hint="default" w:ascii="Times New Roman" w:hAnsi="Times New Roman" w:cs="Times New Roman"/>
                <w:sz w:val="24"/>
                <w:szCs w:val="24"/>
              </w:rPr>
              <w:t>，在T时间内该声源工作时间为t</w:t>
            </w:r>
            <w:r>
              <w:rPr>
                <w:rFonts w:hint="default" w:ascii="Times New Roman" w:hAnsi="Times New Roman" w:cs="Times New Roman"/>
                <w:sz w:val="24"/>
                <w:szCs w:val="24"/>
                <w:vertAlign w:val="subscript"/>
              </w:rPr>
              <w:t>i</w:t>
            </w:r>
            <w:r>
              <w:rPr>
                <w:rFonts w:hint="default" w:ascii="Times New Roman" w:hAnsi="Times New Roman" w:cs="Times New Roman"/>
                <w:sz w:val="24"/>
                <w:szCs w:val="24"/>
              </w:rPr>
              <w:t>；第j个等效室外声源在预测点产生的A声级为L</w:t>
            </w:r>
            <w:r>
              <w:rPr>
                <w:rFonts w:hint="default" w:ascii="Times New Roman" w:hAnsi="Times New Roman" w:cs="Times New Roman"/>
                <w:sz w:val="24"/>
                <w:szCs w:val="24"/>
                <w:vertAlign w:val="subscript"/>
              </w:rPr>
              <w:t>Aj</w:t>
            </w:r>
            <w:r>
              <w:rPr>
                <w:rFonts w:hint="default" w:ascii="Times New Roman" w:hAnsi="Times New Roman" w:cs="Times New Roman"/>
                <w:sz w:val="24"/>
                <w:szCs w:val="24"/>
              </w:rPr>
              <w:t>，在T时间内该声源工作时间为t</w:t>
            </w:r>
            <w:r>
              <w:rPr>
                <w:rFonts w:hint="default" w:ascii="Times New Roman" w:hAnsi="Times New Roman" w:cs="Times New Roman"/>
                <w:sz w:val="24"/>
                <w:szCs w:val="24"/>
                <w:vertAlign w:val="subscript"/>
              </w:rPr>
              <w:t>j</w:t>
            </w:r>
            <w:r>
              <w:rPr>
                <w:rFonts w:hint="default" w:ascii="Times New Roman" w:hAnsi="Times New Roman" w:cs="Times New Roman"/>
                <w:sz w:val="24"/>
                <w:szCs w:val="24"/>
              </w:rPr>
              <w:t>，则拟建工程声源对预测点产生的贡献值（L</w:t>
            </w:r>
            <w:r>
              <w:rPr>
                <w:rFonts w:hint="default" w:ascii="Times New Roman" w:hAnsi="Times New Roman" w:cs="Times New Roman"/>
                <w:sz w:val="24"/>
                <w:szCs w:val="24"/>
                <w:vertAlign w:val="subscript"/>
              </w:rPr>
              <w:t>eqg</w:t>
            </w:r>
            <w:r>
              <w:rPr>
                <w:rFonts w:hint="default" w:ascii="Times New Roman" w:hAnsi="Times New Roman" w:cs="Times New Roman"/>
                <w:sz w:val="24"/>
                <w:szCs w:val="24"/>
              </w:rPr>
              <w:t>）为：</w:t>
            </w:r>
          </w:p>
          <w:p>
            <w:pPr>
              <w:pStyle w:val="7"/>
              <w:spacing w:line="360" w:lineRule="auto"/>
              <w:ind w:firstLine="456"/>
              <w:jc w:val="center"/>
              <w:rPr>
                <w:rFonts w:hint="default" w:ascii="Times New Roman" w:hAnsi="Times New Roman" w:cs="Times New Roman"/>
                <w:sz w:val="24"/>
                <w:szCs w:val="24"/>
              </w:rPr>
            </w:pP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eqg</w:t>
            </w:r>
            <w:r>
              <w:rPr>
                <w:rFonts w:hint="default" w:ascii="Times New Roman" w:hAnsi="Times New Roman" w:cs="Times New Roman"/>
                <w:sz w:val="24"/>
                <w:szCs w:val="24"/>
              </w:rPr>
              <w:t>=10lg</w:t>
            </w:r>
            <m:oMath>
              <m:d>
                <m:dPr>
                  <m:begChr m:val="["/>
                  <m:endChr m:val="]"/>
                  <m:ctrlPr>
                    <w:rPr>
                      <w:rFonts w:hint="default" w:ascii="Cambria Math" w:hAnsi="Cambria Math" w:cs="Times New Roman"/>
                      <w:i/>
                      <w:sz w:val="24"/>
                      <w:szCs w:val="24"/>
                    </w:rPr>
                  </m:ctrlPr>
                </m:dPr>
                <m:e>
                  <m:f>
                    <m:fPr>
                      <m:ctrlPr>
                        <w:rPr>
                          <w:rFonts w:hint="default" w:ascii="Cambria Math" w:hAnsi="Cambria Math" w:cs="Times New Roman"/>
                          <w:i/>
                          <w:sz w:val="24"/>
                          <w:szCs w:val="24"/>
                        </w:rPr>
                      </m:ctrlPr>
                    </m:fPr>
                    <m:num>
                      <m:r>
                        <m:rPr/>
                        <w:rPr>
                          <w:rFonts w:hint="default" w:ascii="Cambria Math" w:hAnsi="Cambria Math" w:cs="Times New Roman"/>
                          <w:sz w:val="24"/>
                          <w:szCs w:val="24"/>
                        </w:rPr>
                        <m:t>1</m:t>
                      </m:r>
                      <m:ctrlPr>
                        <w:rPr>
                          <w:rFonts w:hint="default" w:ascii="Cambria Math" w:hAnsi="Cambria Math" w:cs="Times New Roman"/>
                          <w:i/>
                          <w:sz w:val="24"/>
                          <w:szCs w:val="24"/>
                        </w:rPr>
                      </m:ctrlPr>
                    </m:num>
                    <m:den>
                      <m:r>
                        <m:rPr/>
                        <w:rPr>
                          <w:rFonts w:hint="default" w:ascii="Cambria Math" w:hAnsi="Cambria Math" w:cs="Times New Roman"/>
                          <w:sz w:val="24"/>
                          <w:szCs w:val="24"/>
                        </w:rPr>
                        <m:t>T</m:t>
                      </m:r>
                      <m:ctrlPr>
                        <w:rPr>
                          <w:rFonts w:hint="default" w:ascii="Cambria Math" w:hAnsi="Cambria Math" w:cs="Times New Roman"/>
                          <w:i/>
                          <w:sz w:val="24"/>
                          <w:szCs w:val="24"/>
                        </w:rPr>
                      </m:ctrlPr>
                    </m:den>
                  </m:f>
                  <m:d>
                    <m:dPr>
                      <m:ctrlPr>
                        <w:rPr>
                          <w:rFonts w:hint="default" w:ascii="Cambria Math" w:hAnsi="Cambria Math" w:cs="Times New Roman"/>
                          <w:i/>
                          <w:sz w:val="24"/>
                          <w:szCs w:val="24"/>
                        </w:rPr>
                      </m:ctrlPr>
                    </m:dPr>
                    <m:e>
                      <m:nary>
                        <m:naryPr>
                          <m:chr m:val="∑"/>
                          <m:limLoc m:val="undOvr"/>
                          <m:ctrlPr>
                            <w:rPr>
                              <w:rFonts w:hint="default" w:ascii="Cambria Math" w:hAnsi="Cambria Math" w:cs="Times New Roman"/>
                              <w:i/>
                              <w:sz w:val="24"/>
                              <w:szCs w:val="24"/>
                            </w:rPr>
                          </m:ctrlPr>
                        </m:naryPr>
                        <m:sub>
                          <m:r>
                            <m:rPr/>
                            <w:rPr>
                              <w:rFonts w:hint="default" w:ascii="Cambria Math" w:hAnsi="Cambria Math" w:cs="Times New Roman"/>
                              <w:sz w:val="24"/>
                              <w:szCs w:val="24"/>
                            </w:rPr>
                            <m:t>i=1</m:t>
                          </m:r>
                          <m:ctrlPr>
                            <w:rPr>
                              <w:rFonts w:hint="default" w:ascii="Cambria Math" w:hAnsi="Cambria Math" w:cs="Times New Roman"/>
                              <w:i/>
                              <w:sz w:val="24"/>
                              <w:szCs w:val="24"/>
                            </w:rPr>
                          </m:ctrlPr>
                        </m:sub>
                        <m:sup>
                          <m:r>
                            <m:rPr/>
                            <w:rPr>
                              <w:rFonts w:hint="default" w:ascii="Cambria Math" w:hAnsi="Cambria Math" w:cs="Times New Roman"/>
                              <w:sz w:val="24"/>
                              <w:szCs w:val="24"/>
                            </w:rPr>
                            <m:t>N</m:t>
                          </m:r>
                          <m:ctrlPr>
                            <w:rPr>
                              <w:rFonts w:hint="default" w:ascii="Cambria Math" w:hAnsi="Cambria Math" w:cs="Times New Roman"/>
                              <w:i/>
                              <w:sz w:val="24"/>
                              <w:szCs w:val="24"/>
                            </w:rPr>
                          </m:ctrlPr>
                        </m:sup>
                        <m:e>
                          <m:sSub>
                            <m:sSubPr>
                              <m:ctrlPr>
                                <w:rPr>
                                  <w:rFonts w:hint="default" w:ascii="Cambria Math" w:hAnsi="Cambria Math" w:cs="Times New Roman"/>
                                  <w:i/>
                                  <w:sz w:val="24"/>
                                  <w:szCs w:val="24"/>
                                </w:rPr>
                              </m:ctrlPr>
                            </m:sSubPr>
                            <m:e>
                              <m:r>
                                <m:rPr/>
                                <w:rPr>
                                  <w:rFonts w:hint="default" w:ascii="Cambria Math" w:hAnsi="Cambria Math" w:cs="Times New Roman"/>
                                  <w:sz w:val="24"/>
                                  <w:szCs w:val="24"/>
                                </w:rPr>
                                <m:t>t</m:t>
                              </m:r>
                              <m:ctrlPr>
                                <w:rPr>
                                  <w:rFonts w:hint="default" w:ascii="Cambria Math" w:hAnsi="Cambria Math" w:cs="Times New Roman"/>
                                  <w:i/>
                                  <w:sz w:val="24"/>
                                  <w:szCs w:val="24"/>
                                </w:rPr>
                              </m:ctrlPr>
                            </m:e>
                            <m:sub>
                              <m:r>
                                <m:rPr/>
                                <w:rPr>
                                  <w:rFonts w:hint="default" w:ascii="Cambria Math" w:hAnsi="Cambria Math" w:cs="Times New Roman"/>
                                  <w:sz w:val="24"/>
                                  <w:szCs w:val="24"/>
                                </w:rPr>
                                <m:t>i</m:t>
                              </m:r>
                              <m:ctrlPr>
                                <w:rPr>
                                  <w:rFonts w:hint="default" w:ascii="Cambria Math" w:hAnsi="Cambria Math" w:cs="Times New Roman"/>
                                  <w:i/>
                                  <w:sz w:val="24"/>
                                  <w:szCs w:val="24"/>
                                </w:rPr>
                              </m:ctrlPr>
                            </m:sub>
                          </m:sSub>
                          <m:sSup>
                            <m:sSupPr>
                              <m:ctrlPr>
                                <w:rPr>
                                  <w:rFonts w:hint="default" w:ascii="Cambria Math" w:hAnsi="Cambria Math" w:cs="Times New Roman"/>
                                  <w:i/>
                                  <w:sz w:val="24"/>
                                  <w:szCs w:val="24"/>
                                </w:rPr>
                              </m:ctrlPr>
                            </m:sSupPr>
                            <m:e>
                              <m:r>
                                <m:rPr/>
                                <w:rPr>
                                  <w:rFonts w:hint="default" w:ascii="Cambria Math" w:hAnsi="Cambria Math" w:cs="Times New Roman"/>
                                  <w:sz w:val="24"/>
                                  <w:szCs w:val="24"/>
                                </w:rPr>
                                <m:t>10</m:t>
                              </m:r>
                              <m:ctrlPr>
                                <w:rPr>
                                  <w:rFonts w:hint="default" w:ascii="Cambria Math" w:hAnsi="Cambria Math" w:cs="Times New Roman"/>
                                  <w:i/>
                                  <w:sz w:val="24"/>
                                  <w:szCs w:val="24"/>
                                </w:rPr>
                              </m:ctrlPr>
                            </m:e>
                            <m:sup>
                              <m:r>
                                <m:rPr/>
                                <w:rPr>
                                  <w:rFonts w:hint="default" w:ascii="Cambria Math" w:hAnsi="Cambria Math" w:cs="Times New Roman"/>
                                  <w:sz w:val="24"/>
                                  <w:szCs w:val="24"/>
                                </w:rPr>
                                <m:t>0.1</m:t>
                              </m:r>
                              <m:sSub>
                                <m:sSubPr>
                                  <m:ctrlPr>
                                    <w:rPr>
                                      <w:rFonts w:hint="default" w:ascii="Cambria Math" w:hAnsi="Cambria Math" w:cs="Times New Roman"/>
                                      <w:i/>
                                      <w:sz w:val="24"/>
                                      <w:szCs w:val="24"/>
                                    </w:rPr>
                                  </m:ctrlPr>
                                </m:sSubPr>
                                <m:e>
                                  <m:r>
                                    <m:rPr/>
                                    <w:rPr>
                                      <w:rFonts w:hint="default" w:ascii="Cambria Math" w:hAnsi="Cambria Math" w:cs="Times New Roman"/>
                                      <w:sz w:val="24"/>
                                      <w:szCs w:val="24"/>
                                    </w:rPr>
                                    <m:t>L</m:t>
                                  </m:r>
                                  <m:ctrlPr>
                                    <w:rPr>
                                      <w:rFonts w:hint="default" w:ascii="Cambria Math" w:hAnsi="Cambria Math" w:cs="Times New Roman"/>
                                      <w:i/>
                                      <w:sz w:val="24"/>
                                      <w:szCs w:val="24"/>
                                    </w:rPr>
                                  </m:ctrlPr>
                                </m:e>
                                <m:sub>
                                  <m:r>
                                    <m:rPr/>
                                    <w:rPr>
                                      <w:rFonts w:hint="default" w:ascii="Cambria Math" w:hAnsi="Cambria Math" w:cs="Times New Roman"/>
                                      <w:sz w:val="24"/>
                                      <w:szCs w:val="24"/>
                                    </w:rPr>
                                    <m:t>Ai</m:t>
                                  </m:r>
                                  <m:ctrlPr>
                                    <w:rPr>
                                      <w:rFonts w:hint="default" w:ascii="Cambria Math" w:hAnsi="Cambria Math" w:cs="Times New Roman"/>
                                      <w:i/>
                                      <w:sz w:val="24"/>
                                      <w:szCs w:val="24"/>
                                    </w:rPr>
                                  </m:ctrlPr>
                                </m:sub>
                              </m:sSub>
                              <m:ctrlPr>
                                <w:rPr>
                                  <w:rFonts w:hint="default" w:ascii="Cambria Math" w:hAnsi="Cambria Math" w:cs="Times New Roman"/>
                                  <w:i/>
                                  <w:sz w:val="24"/>
                                  <w:szCs w:val="24"/>
                                </w:rPr>
                              </m:ctrlPr>
                            </m:sup>
                          </m:sSup>
                          <m:ctrlPr>
                            <w:rPr>
                              <w:rFonts w:hint="default" w:ascii="Cambria Math" w:hAnsi="Cambria Math" w:cs="Times New Roman"/>
                              <w:i/>
                              <w:sz w:val="24"/>
                              <w:szCs w:val="24"/>
                            </w:rPr>
                          </m:ctrlPr>
                        </m:e>
                      </m:nary>
                      <m:r>
                        <m:rPr/>
                        <w:rPr>
                          <w:rFonts w:hint="default" w:ascii="Cambria Math" w:hAnsi="Cambria Math" w:cs="Times New Roman"/>
                          <w:sz w:val="24"/>
                          <w:szCs w:val="24"/>
                        </w:rPr>
                        <m:t>+</m:t>
                      </m:r>
                      <m:nary>
                        <m:naryPr>
                          <m:chr m:val="∑"/>
                          <m:limLoc m:val="undOvr"/>
                          <m:ctrlPr>
                            <w:rPr>
                              <w:rFonts w:hint="default" w:ascii="Cambria Math" w:hAnsi="Cambria Math" w:cs="Times New Roman"/>
                              <w:i/>
                              <w:sz w:val="24"/>
                              <w:szCs w:val="24"/>
                            </w:rPr>
                          </m:ctrlPr>
                        </m:naryPr>
                        <m:sub>
                          <m:r>
                            <m:rPr/>
                            <w:rPr>
                              <w:rFonts w:hint="default" w:ascii="Cambria Math" w:hAnsi="Cambria Math" w:cs="Times New Roman"/>
                              <w:sz w:val="24"/>
                              <w:szCs w:val="24"/>
                            </w:rPr>
                            <m:t>j=1</m:t>
                          </m:r>
                          <m:ctrlPr>
                            <w:rPr>
                              <w:rFonts w:hint="default" w:ascii="Cambria Math" w:hAnsi="Cambria Math" w:cs="Times New Roman"/>
                              <w:i/>
                              <w:sz w:val="24"/>
                              <w:szCs w:val="24"/>
                            </w:rPr>
                          </m:ctrlPr>
                        </m:sub>
                        <m:sup>
                          <m:r>
                            <m:rPr/>
                            <w:rPr>
                              <w:rFonts w:hint="default" w:ascii="Cambria Math" w:hAnsi="Cambria Math" w:cs="Times New Roman"/>
                              <w:sz w:val="24"/>
                              <w:szCs w:val="24"/>
                            </w:rPr>
                            <m:t>M</m:t>
                          </m:r>
                          <m:ctrlPr>
                            <w:rPr>
                              <w:rFonts w:hint="default" w:ascii="Cambria Math" w:hAnsi="Cambria Math" w:cs="Times New Roman"/>
                              <w:i/>
                              <w:sz w:val="24"/>
                              <w:szCs w:val="24"/>
                            </w:rPr>
                          </m:ctrlPr>
                        </m:sup>
                        <m:e>
                          <m:sSub>
                            <m:sSubPr>
                              <m:ctrlPr>
                                <w:rPr>
                                  <w:rFonts w:hint="default" w:ascii="Cambria Math" w:hAnsi="Cambria Math" w:cs="Times New Roman"/>
                                  <w:i/>
                                  <w:sz w:val="24"/>
                                  <w:szCs w:val="24"/>
                                </w:rPr>
                              </m:ctrlPr>
                            </m:sSubPr>
                            <m:e>
                              <m:r>
                                <m:rPr/>
                                <w:rPr>
                                  <w:rFonts w:hint="default" w:ascii="Cambria Math" w:hAnsi="Cambria Math" w:cs="Times New Roman"/>
                                  <w:sz w:val="24"/>
                                  <w:szCs w:val="24"/>
                                </w:rPr>
                                <m:t>t</m:t>
                              </m:r>
                              <m:ctrlPr>
                                <w:rPr>
                                  <w:rFonts w:hint="default" w:ascii="Cambria Math" w:hAnsi="Cambria Math" w:cs="Times New Roman"/>
                                  <w:i/>
                                  <w:sz w:val="24"/>
                                  <w:szCs w:val="24"/>
                                </w:rPr>
                              </m:ctrlPr>
                            </m:e>
                            <m:sub>
                              <m:r>
                                <m:rPr/>
                                <w:rPr>
                                  <w:rFonts w:hint="default" w:ascii="Cambria Math" w:hAnsi="Cambria Math" w:cs="Times New Roman"/>
                                  <w:sz w:val="24"/>
                                  <w:szCs w:val="24"/>
                                </w:rPr>
                                <m:t>j</m:t>
                              </m:r>
                              <m:ctrlPr>
                                <w:rPr>
                                  <w:rFonts w:hint="default" w:ascii="Cambria Math" w:hAnsi="Cambria Math" w:cs="Times New Roman"/>
                                  <w:i/>
                                  <w:sz w:val="24"/>
                                  <w:szCs w:val="24"/>
                                </w:rPr>
                              </m:ctrlPr>
                            </m:sub>
                          </m:sSub>
                          <m:sSup>
                            <m:sSupPr>
                              <m:ctrlPr>
                                <w:rPr>
                                  <w:rFonts w:hint="default" w:ascii="Cambria Math" w:hAnsi="Cambria Math" w:cs="Times New Roman"/>
                                  <w:i/>
                                  <w:sz w:val="24"/>
                                  <w:szCs w:val="24"/>
                                </w:rPr>
                              </m:ctrlPr>
                            </m:sSupPr>
                            <m:e>
                              <m:r>
                                <m:rPr/>
                                <w:rPr>
                                  <w:rFonts w:hint="default" w:ascii="Cambria Math" w:hAnsi="Cambria Math" w:cs="Times New Roman"/>
                                  <w:sz w:val="24"/>
                                  <w:szCs w:val="24"/>
                                </w:rPr>
                                <m:t>10</m:t>
                              </m:r>
                              <m:ctrlPr>
                                <w:rPr>
                                  <w:rFonts w:hint="default" w:ascii="Cambria Math" w:hAnsi="Cambria Math" w:cs="Times New Roman"/>
                                  <w:i/>
                                  <w:sz w:val="24"/>
                                  <w:szCs w:val="24"/>
                                </w:rPr>
                              </m:ctrlPr>
                            </m:e>
                            <m:sup>
                              <m:r>
                                <m:rPr/>
                                <w:rPr>
                                  <w:rFonts w:hint="default" w:ascii="Cambria Math" w:hAnsi="Cambria Math" w:cs="Times New Roman"/>
                                  <w:sz w:val="24"/>
                                  <w:szCs w:val="24"/>
                                </w:rPr>
                                <m:t>0.1</m:t>
                              </m:r>
                              <m:sSub>
                                <m:sSubPr>
                                  <m:ctrlPr>
                                    <w:rPr>
                                      <w:rFonts w:hint="default" w:ascii="Cambria Math" w:hAnsi="Cambria Math" w:cs="Times New Roman"/>
                                      <w:i/>
                                      <w:sz w:val="24"/>
                                      <w:szCs w:val="24"/>
                                    </w:rPr>
                                  </m:ctrlPr>
                                </m:sSubPr>
                                <m:e>
                                  <m:r>
                                    <m:rPr/>
                                    <w:rPr>
                                      <w:rFonts w:hint="default" w:ascii="Cambria Math" w:hAnsi="Cambria Math" w:cs="Times New Roman"/>
                                      <w:sz w:val="24"/>
                                      <w:szCs w:val="24"/>
                                    </w:rPr>
                                    <m:t>L</m:t>
                                  </m:r>
                                  <m:ctrlPr>
                                    <w:rPr>
                                      <w:rFonts w:hint="default" w:ascii="Cambria Math" w:hAnsi="Cambria Math" w:cs="Times New Roman"/>
                                      <w:i/>
                                      <w:sz w:val="24"/>
                                      <w:szCs w:val="24"/>
                                    </w:rPr>
                                  </m:ctrlPr>
                                </m:e>
                                <m:sub>
                                  <m:r>
                                    <m:rPr/>
                                    <w:rPr>
                                      <w:rFonts w:hint="default" w:ascii="Cambria Math" w:hAnsi="Cambria Math" w:cs="Times New Roman"/>
                                      <w:sz w:val="24"/>
                                      <w:szCs w:val="24"/>
                                    </w:rPr>
                                    <m:t>Aj</m:t>
                                  </m:r>
                                  <m:ctrlPr>
                                    <w:rPr>
                                      <w:rFonts w:hint="default" w:ascii="Cambria Math" w:hAnsi="Cambria Math" w:cs="Times New Roman"/>
                                      <w:i/>
                                      <w:sz w:val="24"/>
                                      <w:szCs w:val="24"/>
                                    </w:rPr>
                                  </m:ctrlPr>
                                </m:sub>
                              </m:sSub>
                              <m:ctrlPr>
                                <w:rPr>
                                  <w:rFonts w:hint="default" w:ascii="Cambria Math" w:hAnsi="Cambria Math" w:cs="Times New Roman"/>
                                  <w:i/>
                                  <w:sz w:val="24"/>
                                  <w:szCs w:val="24"/>
                                </w:rPr>
                              </m:ctrlPr>
                            </m:sup>
                          </m:sSup>
                          <m:ctrlPr>
                            <w:rPr>
                              <w:rFonts w:hint="default" w:ascii="Cambria Math" w:hAnsi="Cambria Math" w:cs="Times New Roman"/>
                              <w:i/>
                              <w:sz w:val="24"/>
                              <w:szCs w:val="24"/>
                            </w:rPr>
                          </m:ctrlPr>
                        </m:e>
                      </m:nary>
                      <m:ctrlPr>
                        <w:rPr>
                          <w:rFonts w:hint="default" w:ascii="Cambria Math" w:hAnsi="Cambria Math" w:cs="Times New Roman"/>
                          <w:i/>
                          <w:sz w:val="24"/>
                          <w:szCs w:val="24"/>
                        </w:rPr>
                      </m:ctrlPr>
                    </m:e>
                  </m:d>
                  <m:ctrlPr>
                    <w:rPr>
                      <w:rFonts w:hint="default" w:ascii="Cambria Math" w:hAnsi="Cambria Math" w:cs="Times New Roman"/>
                      <w:i/>
                      <w:sz w:val="24"/>
                      <w:szCs w:val="24"/>
                    </w:rPr>
                  </m:ctrlPr>
                </m:e>
              </m:d>
            </m:oMath>
            <w:r>
              <w:rPr>
                <w:rFonts w:hint="default" w:ascii="Times New Roman" w:hAnsi="Times New Roman" w:cs="Times New Roman"/>
                <w:sz w:val="24"/>
                <w:szCs w:val="24"/>
              </w:rPr>
              <w:t xml:space="preserve">      （B.6）</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式中：L</w:t>
            </w:r>
            <w:r>
              <w:rPr>
                <w:rFonts w:hint="default" w:ascii="Times New Roman" w:hAnsi="Times New Roman" w:cs="Times New Roman"/>
                <w:sz w:val="24"/>
                <w:szCs w:val="24"/>
                <w:vertAlign w:val="subscript"/>
              </w:rPr>
              <w:t>eqg</w:t>
            </w:r>
            <w:r>
              <w:rPr>
                <w:rFonts w:hint="default" w:ascii="Times New Roman" w:hAnsi="Times New Roman" w:cs="Times New Roman"/>
                <w:sz w:val="24"/>
                <w:szCs w:val="24"/>
              </w:rPr>
              <w:t xml:space="preserve">—建设项目声源在预测点产生的噪声贡献值，dB； </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 xml:space="preserve">T —用于计算等效声级的时间，s； </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 xml:space="preserve">N —室外声源个数； </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t</w:t>
            </w:r>
            <w:r>
              <w:rPr>
                <w:rFonts w:hint="default" w:ascii="Times New Roman" w:hAnsi="Times New Roman" w:cs="Times New Roman"/>
                <w:sz w:val="24"/>
                <w:szCs w:val="24"/>
                <w:vertAlign w:val="subscript"/>
              </w:rPr>
              <w:t>i</w:t>
            </w:r>
            <w:r>
              <w:rPr>
                <w:rFonts w:hint="default" w:ascii="Times New Roman" w:hAnsi="Times New Roman" w:cs="Times New Roman"/>
                <w:sz w:val="24"/>
                <w:szCs w:val="24"/>
              </w:rPr>
              <w:t xml:space="preserve">—在T时间内i声源工作时间，s； </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 xml:space="preserve">M—等效室外声源个数； </w:t>
            </w:r>
          </w:p>
          <w:p>
            <w:pPr>
              <w:spacing w:line="360" w:lineRule="auto"/>
              <w:ind w:firstLine="456"/>
              <w:jc w:val="both"/>
              <w:rPr>
                <w:rFonts w:hint="default" w:ascii="Times New Roman" w:hAnsi="Times New Roman" w:cs="Times New Roman"/>
                <w:sz w:val="24"/>
                <w:szCs w:val="24"/>
              </w:rPr>
            </w:pPr>
            <w:r>
              <w:rPr>
                <w:rFonts w:hint="default" w:ascii="Times New Roman" w:hAnsi="Times New Roman" w:cs="Times New Roman"/>
                <w:sz w:val="24"/>
                <w:szCs w:val="24"/>
              </w:rPr>
              <w:t>t</w:t>
            </w:r>
            <w:r>
              <w:rPr>
                <w:rFonts w:hint="default" w:ascii="Times New Roman" w:hAnsi="Times New Roman" w:cs="Times New Roman"/>
                <w:sz w:val="24"/>
                <w:szCs w:val="24"/>
                <w:vertAlign w:val="subscript"/>
              </w:rPr>
              <w:t>j</w:t>
            </w:r>
            <w:r>
              <w:rPr>
                <w:rFonts w:hint="default" w:ascii="Times New Roman" w:hAnsi="Times New Roman" w:cs="Times New Roman"/>
                <w:sz w:val="24"/>
                <w:szCs w:val="24"/>
              </w:rPr>
              <w:t xml:space="preserve">—在T时间内j声源工作时间，s。 </w:t>
            </w:r>
          </w:p>
          <w:p>
            <w:pPr>
              <w:spacing w:line="360" w:lineRule="auto"/>
              <w:ind w:firstLine="480" w:firstLineChars="200"/>
              <w:jc w:val="both"/>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（2）预测结果与评价</w:t>
            </w:r>
          </w:p>
          <w:p>
            <w:pPr>
              <w:spacing w:line="360" w:lineRule="auto"/>
              <w:ind w:firstLine="480" w:firstLineChars="200"/>
              <w:jc w:val="both"/>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噪声在室外空间的传播，由于受到遮挡物的隔断，各种介质的吸收与反射，以及空气介质的吸收等物理作用而逐渐减弱。为了简化计算条件并能考虑到最不利因素，计算时只考虑噪声控制措施及噪声随距离的衰减时噪声源对外环境影响情况。</w:t>
            </w:r>
          </w:p>
          <w:p>
            <w:pPr>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rPr>
              <w:t>本项目对厂界噪声贡献值详见表4-</w:t>
            </w:r>
            <w:r>
              <w:rPr>
                <w:rFonts w:hint="eastAsia" w:ascii="Times New Roman" w:hAnsi="Times New Roman" w:cs="Times New Roman"/>
                <w:sz w:val="24"/>
                <w:szCs w:val="24"/>
                <w:lang w:val="en-US" w:eastAsia="zh-CN"/>
              </w:rPr>
              <w:t>11</w:t>
            </w:r>
            <w:r>
              <w:rPr>
                <w:rFonts w:hint="default" w:ascii="Times New Roman" w:hAnsi="Times New Roman" w:cs="Times New Roman"/>
                <w:sz w:val="24"/>
                <w:szCs w:val="24"/>
              </w:rPr>
              <w:t>。</w:t>
            </w:r>
          </w:p>
          <w:p>
            <w:pPr>
              <w:spacing w:line="240" w:lineRule="auto"/>
              <w:ind w:left="422" w:hanging="422"/>
              <w:jc w:val="center"/>
              <w:rPr>
                <w:rFonts w:hint="default" w:ascii="Times New Roman" w:hAnsi="Times New Roman" w:cs="Times New Roman"/>
                <w:b/>
                <w:sz w:val="21"/>
                <w:szCs w:val="21"/>
              </w:rPr>
            </w:pPr>
            <w:r>
              <w:rPr>
                <w:rFonts w:hint="default" w:ascii="Times New Roman" w:hAnsi="Times New Roman" w:eastAsia="宋体" w:cs="Times New Roman"/>
                <w:b/>
                <w:sz w:val="21"/>
                <w:szCs w:val="21"/>
                <w:lang w:eastAsia="zh-CN"/>
              </w:rPr>
              <w:t>表4-</w:t>
            </w:r>
            <w:r>
              <w:rPr>
                <w:rFonts w:hint="eastAsia" w:ascii="Times New Roman" w:hAnsi="Times New Roman" w:cs="Times New Roman"/>
                <w:b/>
                <w:sz w:val="21"/>
                <w:szCs w:val="21"/>
                <w:lang w:val="en-US" w:eastAsia="zh-CN"/>
              </w:rPr>
              <w:t>11</w:t>
            </w:r>
            <w:r>
              <w:rPr>
                <w:rFonts w:hint="default" w:ascii="Times New Roman" w:hAnsi="Times New Roman" w:eastAsia="宋体" w:cs="Times New Roman"/>
                <w:b/>
                <w:sz w:val="21"/>
                <w:szCs w:val="21"/>
                <w:lang w:eastAsia="zh-CN"/>
              </w:rPr>
              <w:t xml:space="preserve">  声环境影响预测结果（dB（A））</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4"/>
              <w:gridCol w:w="1354"/>
              <w:gridCol w:w="1354"/>
              <w:gridCol w:w="1355"/>
              <w:gridCol w:w="1354"/>
              <w:gridCol w:w="1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66" w:type="pct"/>
                  <w:gridSpan w:val="2"/>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方位</w:t>
                  </w:r>
                </w:p>
              </w:tc>
              <w:tc>
                <w:tcPr>
                  <w:tcW w:w="833" w:type="pct"/>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东厂界</w:t>
                  </w:r>
                </w:p>
              </w:tc>
              <w:tc>
                <w:tcPr>
                  <w:tcW w:w="833" w:type="pct"/>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南厂界</w:t>
                  </w:r>
                </w:p>
              </w:tc>
              <w:tc>
                <w:tcPr>
                  <w:tcW w:w="833" w:type="pct"/>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西厂界</w:t>
                  </w:r>
                </w:p>
              </w:tc>
              <w:tc>
                <w:tcPr>
                  <w:tcW w:w="833" w:type="pct"/>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北厂界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3" w:type="pct"/>
                  <w:vMerge w:val="restart"/>
                  <w:vAlign w:val="center"/>
                </w:tcPr>
                <w:p>
                  <w:pPr>
                    <w:widowControl/>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生产车间2</w:t>
                  </w:r>
                </w:p>
              </w:tc>
              <w:tc>
                <w:tcPr>
                  <w:tcW w:w="833" w:type="pct"/>
                  <w:vAlign w:val="center"/>
                </w:tcPr>
                <w:p>
                  <w:pPr>
                    <w:adjustRightInd w:val="0"/>
                    <w:snapToGrid w:val="0"/>
                    <w:jc w:val="center"/>
                    <w:rPr>
                      <w:rFonts w:hint="default" w:ascii="Times New Roman" w:hAnsi="Times New Roman" w:cs="Times New Roman"/>
                      <w:b/>
                      <w:bCs/>
                      <w:sz w:val="21"/>
                      <w:szCs w:val="21"/>
                    </w:rPr>
                  </w:pPr>
                  <w:r>
                    <w:rPr>
                      <w:rFonts w:hint="default" w:ascii="Times New Roman" w:hAnsi="Times New Roman" w:eastAsia="宋体" w:cs="Times New Roman"/>
                      <w:color w:val="auto"/>
                      <w:sz w:val="21"/>
                      <w:szCs w:val="21"/>
                      <w:lang w:val="en-US" w:eastAsia="zh-CN"/>
                    </w:rPr>
                    <w:t>涂膜机</w:t>
                  </w:r>
                </w:p>
              </w:tc>
              <w:tc>
                <w:tcPr>
                  <w:tcW w:w="833" w:type="pct"/>
                  <w:vAlign w:val="center"/>
                </w:tcPr>
                <w:p>
                  <w:pPr>
                    <w:widowControl/>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26.94</w:t>
                  </w:r>
                </w:p>
              </w:tc>
              <w:tc>
                <w:tcPr>
                  <w:tcW w:w="833" w:type="pct"/>
                  <w:vAlign w:val="center"/>
                </w:tcPr>
                <w:p>
                  <w:pPr>
                    <w:widowControl/>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24.17</w:t>
                  </w:r>
                </w:p>
              </w:tc>
              <w:tc>
                <w:tcPr>
                  <w:tcW w:w="833" w:type="pct"/>
                  <w:vAlign w:val="center"/>
                </w:tcPr>
                <w:p>
                  <w:pPr>
                    <w:widowControl/>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37.04</w:t>
                  </w:r>
                </w:p>
              </w:tc>
              <w:tc>
                <w:tcPr>
                  <w:tcW w:w="833" w:type="pct"/>
                  <w:vAlign w:val="center"/>
                </w:tcPr>
                <w:p>
                  <w:pPr>
                    <w:widowControl/>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38.97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3" w:type="pct"/>
                  <w:vMerge w:val="continue"/>
                  <w:vAlign w:val="center"/>
                </w:tcPr>
                <w:p>
                  <w:pPr>
                    <w:widowControl/>
                    <w:jc w:val="center"/>
                    <w:rPr>
                      <w:rFonts w:hint="default" w:ascii="Times New Roman" w:hAnsi="Times New Roman" w:cs="Times New Roman"/>
                      <w:b/>
                      <w:bCs/>
                      <w:sz w:val="21"/>
                      <w:szCs w:val="21"/>
                    </w:rPr>
                  </w:pPr>
                </w:p>
              </w:tc>
              <w:tc>
                <w:tcPr>
                  <w:tcW w:w="833" w:type="pct"/>
                  <w:vAlign w:val="center"/>
                </w:tcPr>
                <w:p>
                  <w:pPr>
                    <w:adjustRightInd w:val="0"/>
                    <w:snapToGrid w:val="0"/>
                    <w:jc w:val="center"/>
                    <w:rPr>
                      <w:rFonts w:hint="default" w:ascii="Times New Roman" w:hAnsi="Times New Roman" w:cs="Times New Roman"/>
                      <w:b/>
                      <w:bCs/>
                      <w:sz w:val="21"/>
                      <w:szCs w:val="21"/>
                    </w:rPr>
                  </w:pPr>
                  <w:r>
                    <w:rPr>
                      <w:rFonts w:hint="default" w:ascii="Times New Roman" w:hAnsi="Times New Roman" w:eastAsia="宋体" w:cs="Times New Roman"/>
                      <w:color w:val="auto"/>
                      <w:sz w:val="21"/>
                      <w:szCs w:val="21"/>
                      <w:lang w:val="en-US" w:eastAsia="zh-CN"/>
                    </w:rPr>
                    <w:t>吨包切印一体机</w:t>
                  </w:r>
                </w:p>
              </w:tc>
              <w:tc>
                <w:tcPr>
                  <w:tcW w:w="833" w:type="pct"/>
                  <w:vAlign w:val="center"/>
                </w:tcPr>
                <w:p>
                  <w:pPr>
                    <w:widowControl/>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32.95</w:t>
                  </w:r>
                </w:p>
              </w:tc>
              <w:tc>
                <w:tcPr>
                  <w:tcW w:w="833" w:type="pct"/>
                  <w:vAlign w:val="center"/>
                </w:tcPr>
                <w:p>
                  <w:pPr>
                    <w:widowControl/>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25</w:t>
                  </w:r>
                </w:p>
              </w:tc>
              <w:tc>
                <w:tcPr>
                  <w:tcW w:w="833" w:type="pct"/>
                  <w:vAlign w:val="center"/>
                </w:tcPr>
                <w:p>
                  <w:pPr>
                    <w:widowControl/>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28.09</w:t>
                  </w:r>
                </w:p>
              </w:tc>
              <w:tc>
                <w:tcPr>
                  <w:tcW w:w="833" w:type="pct"/>
                  <w:vAlign w:val="center"/>
                </w:tcPr>
                <w:p>
                  <w:pPr>
                    <w:widowControl/>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35.45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3" w:type="pct"/>
                  <w:vMerge w:val="continue"/>
                  <w:vAlign w:val="center"/>
                </w:tcPr>
                <w:p>
                  <w:pPr>
                    <w:widowControl/>
                    <w:jc w:val="center"/>
                    <w:rPr>
                      <w:rFonts w:hint="default" w:ascii="Times New Roman" w:hAnsi="Times New Roman" w:cs="Times New Roman"/>
                      <w:b/>
                      <w:bCs/>
                      <w:sz w:val="21"/>
                      <w:szCs w:val="21"/>
                    </w:rPr>
                  </w:pPr>
                </w:p>
              </w:tc>
              <w:tc>
                <w:tcPr>
                  <w:tcW w:w="833" w:type="pct"/>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Cs w:val="21"/>
                    </w:rPr>
                    <w:t>废气处理风机</w:t>
                  </w:r>
                </w:p>
              </w:tc>
              <w:tc>
                <w:tcPr>
                  <w:tcW w:w="833" w:type="pct"/>
                  <w:vAlign w:val="center"/>
                </w:tcPr>
                <w:p>
                  <w:pPr>
                    <w:widowControl/>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26.93</w:t>
                  </w:r>
                </w:p>
              </w:tc>
              <w:tc>
                <w:tcPr>
                  <w:tcW w:w="833" w:type="pct"/>
                  <w:vAlign w:val="center"/>
                </w:tcPr>
                <w:p>
                  <w:pPr>
                    <w:widowControl/>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lang w:val="en-US" w:eastAsia="zh-CN"/>
                    </w:rPr>
                    <w:t>23.41</w:t>
                  </w:r>
                </w:p>
              </w:tc>
              <w:tc>
                <w:tcPr>
                  <w:tcW w:w="1354" w:type="dxa"/>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en-US" w:eastAsia="zh-CN"/>
                    </w:rPr>
                    <w:t>37.04</w:t>
                  </w:r>
                </w:p>
              </w:tc>
              <w:tc>
                <w:tcPr>
                  <w:tcW w:w="1355" w:type="dxa"/>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66" w:type="pct"/>
                  <w:gridSpan w:val="2"/>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贡献值</w:t>
                  </w:r>
                </w:p>
              </w:tc>
              <w:tc>
                <w:tcPr>
                  <w:tcW w:w="833" w:type="pct"/>
                  <w:vAlign w:val="center"/>
                </w:tcPr>
                <w:p>
                  <w:pPr>
                    <w:pStyle w:val="39"/>
                    <w:spacing w:beforeLines="0" w:afterLines="0"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34.71</w:t>
                  </w:r>
                </w:p>
              </w:tc>
              <w:tc>
                <w:tcPr>
                  <w:tcW w:w="833" w:type="pct"/>
                  <w:vAlign w:val="center"/>
                </w:tcPr>
                <w:p>
                  <w:pPr>
                    <w:widowControl/>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29.01</w:t>
                  </w:r>
                </w:p>
              </w:tc>
              <w:tc>
                <w:tcPr>
                  <w:tcW w:w="833" w:type="pct"/>
                  <w:vAlign w:val="center"/>
                </w:tcPr>
                <w:p>
                  <w:pPr>
                    <w:pStyle w:val="39"/>
                    <w:spacing w:beforeLines="0" w:afterLines="0"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40.32</w:t>
                  </w:r>
                </w:p>
              </w:tc>
              <w:tc>
                <w:tcPr>
                  <w:tcW w:w="833" w:type="pct"/>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46.34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3" w:type="pct"/>
                  <w:vMerge w:val="restart"/>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标准值</w:t>
                  </w:r>
                </w:p>
              </w:tc>
              <w:tc>
                <w:tcPr>
                  <w:tcW w:w="833" w:type="pct"/>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昼间</w:t>
                  </w:r>
                </w:p>
              </w:tc>
              <w:tc>
                <w:tcPr>
                  <w:tcW w:w="833" w:type="pct"/>
                  <w:vAlign w:val="center"/>
                </w:tcPr>
                <w:p>
                  <w:pPr>
                    <w:pStyle w:val="39"/>
                    <w:spacing w:beforeLines="0" w:afterLines="0"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65</w:t>
                  </w:r>
                </w:p>
              </w:tc>
              <w:tc>
                <w:tcPr>
                  <w:tcW w:w="833" w:type="pct"/>
                  <w:vAlign w:val="center"/>
                </w:tcPr>
                <w:p>
                  <w:pPr>
                    <w:pStyle w:val="39"/>
                    <w:spacing w:beforeLines="0" w:afterLines="0" w:line="240" w:lineRule="auto"/>
                    <w:jc w:val="center"/>
                    <w:rPr>
                      <w:rFonts w:hint="default" w:ascii="Times New Roman" w:hAnsi="Times New Roman" w:cs="Times New Roman"/>
                      <w:sz w:val="21"/>
                      <w:szCs w:val="21"/>
                    </w:rPr>
                  </w:pPr>
                  <w:r>
                    <w:rPr>
                      <w:rFonts w:hint="default" w:ascii="Times New Roman" w:hAnsi="Times New Roman" w:eastAsia="宋体" w:cs="Times New Roman"/>
                      <w:sz w:val="21"/>
                      <w:szCs w:val="21"/>
                      <w:lang w:val="en-US" w:eastAsia="zh-CN"/>
                    </w:rPr>
                    <w:t>65</w:t>
                  </w:r>
                </w:p>
              </w:tc>
              <w:tc>
                <w:tcPr>
                  <w:tcW w:w="833" w:type="pct"/>
                  <w:vAlign w:val="center"/>
                </w:tcPr>
                <w:p>
                  <w:pPr>
                    <w:pStyle w:val="39"/>
                    <w:spacing w:beforeLines="0" w:afterLines="0" w:line="240" w:lineRule="auto"/>
                    <w:jc w:val="center"/>
                    <w:rPr>
                      <w:rFonts w:hint="default" w:ascii="Times New Roman" w:hAnsi="Times New Roman" w:cs="Times New Roman"/>
                      <w:sz w:val="21"/>
                      <w:szCs w:val="21"/>
                    </w:rPr>
                  </w:pPr>
                  <w:r>
                    <w:rPr>
                      <w:rFonts w:hint="default" w:ascii="Times New Roman" w:hAnsi="Times New Roman" w:eastAsia="宋体" w:cs="Times New Roman"/>
                      <w:sz w:val="21"/>
                      <w:szCs w:val="21"/>
                      <w:lang w:val="en-US" w:eastAsia="zh-CN"/>
                    </w:rPr>
                    <w:t>65</w:t>
                  </w:r>
                </w:p>
              </w:tc>
              <w:tc>
                <w:tcPr>
                  <w:tcW w:w="833" w:type="pct"/>
                  <w:vAlign w:val="center"/>
                </w:tcPr>
                <w:p>
                  <w:pPr>
                    <w:pStyle w:val="39"/>
                    <w:spacing w:beforeLines="0" w:afterLines="0" w:line="240" w:lineRule="auto"/>
                    <w:jc w:val="center"/>
                    <w:rPr>
                      <w:rFonts w:hint="default" w:ascii="Times New Roman" w:hAnsi="Times New Roman" w:cs="Times New Roman"/>
                      <w:sz w:val="21"/>
                      <w:szCs w:val="21"/>
                    </w:rPr>
                  </w:pPr>
                  <w:r>
                    <w:rPr>
                      <w:rFonts w:hint="default" w:ascii="Times New Roman" w:hAnsi="Times New Roman" w:eastAsia="宋体" w:cs="Times New Roman"/>
                      <w:sz w:val="21"/>
                      <w:szCs w:val="21"/>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33" w:type="pct"/>
                  <w:vMerge w:val="continue"/>
                  <w:vAlign w:val="center"/>
                </w:tcPr>
                <w:p>
                  <w:pPr>
                    <w:widowControl/>
                    <w:jc w:val="center"/>
                    <w:rPr>
                      <w:rFonts w:hint="default" w:ascii="Times New Roman" w:hAnsi="Times New Roman" w:cs="Times New Roman"/>
                      <w:sz w:val="21"/>
                      <w:szCs w:val="21"/>
                    </w:rPr>
                  </w:pPr>
                </w:p>
              </w:tc>
              <w:tc>
                <w:tcPr>
                  <w:tcW w:w="833" w:type="pct"/>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夜间</w:t>
                  </w:r>
                </w:p>
              </w:tc>
              <w:tc>
                <w:tcPr>
                  <w:tcW w:w="833" w:type="pct"/>
                  <w:vAlign w:val="center"/>
                </w:tcPr>
                <w:p>
                  <w:pPr>
                    <w:pStyle w:val="39"/>
                    <w:spacing w:beforeLines="0" w:afterLines="0"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55</w:t>
                  </w:r>
                </w:p>
              </w:tc>
              <w:tc>
                <w:tcPr>
                  <w:tcW w:w="833" w:type="pct"/>
                  <w:vAlign w:val="center"/>
                </w:tcPr>
                <w:p>
                  <w:pPr>
                    <w:pStyle w:val="39"/>
                    <w:spacing w:beforeLines="0" w:afterLines="0"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55</w:t>
                  </w:r>
                </w:p>
              </w:tc>
              <w:tc>
                <w:tcPr>
                  <w:tcW w:w="833" w:type="pct"/>
                  <w:vAlign w:val="center"/>
                </w:tcPr>
                <w:p>
                  <w:pPr>
                    <w:pStyle w:val="39"/>
                    <w:spacing w:beforeLines="0" w:afterLines="0"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55</w:t>
                  </w:r>
                </w:p>
              </w:tc>
              <w:tc>
                <w:tcPr>
                  <w:tcW w:w="833" w:type="pct"/>
                  <w:vAlign w:val="center"/>
                </w:tcPr>
                <w:p>
                  <w:pPr>
                    <w:pStyle w:val="39"/>
                    <w:spacing w:beforeLines="0" w:afterLines="0"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66" w:type="pct"/>
                  <w:gridSpan w:val="2"/>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达标情况</w:t>
                  </w:r>
                </w:p>
              </w:tc>
              <w:tc>
                <w:tcPr>
                  <w:tcW w:w="833" w:type="pct"/>
                  <w:vAlign w:val="center"/>
                </w:tcPr>
                <w:p>
                  <w:pPr>
                    <w:pStyle w:val="39"/>
                    <w:spacing w:beforeLines="0" w:afterLines="0"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达标</w:t>
                  </w:r>
                </w:p>
              </w:tc>
              <w:tc>
                <w:tcPr>
                  <w:tcW w:w="833" w:type="pct"/>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达标</w:t>
                  </w:r>
                </w:p>
              </w:tc>
              <w:tc>
                <w:tcPr>
                  <w:tcW w:w="833" w:type="pct"/>
                  <w:vAlign w:val="center"/>
                </w:tcPr>
                <w:p>
                  <w:pPr>
                    <w:pStyle w:val="39"/>
                    <w:spacing w:beforeLines="0" w:afterLines="0"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达标</w:t>
                  </w:r>
                </w:p>
              </w:tc>
              <w:tc>
                <w:tcPr>
                  <w:tcW w:w="833" w:type="pct"/>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达标</w:t>
                  </w:r>
                </w:p>
              </w:tc>
            </w:tr>
          </w:tbl>
          <w:p>
            <w:pPr>
              <w:spacing w:line="500" w:lineRule="exact"/>
              <w:ind w:firstLine="480" w:firstLineChars="200"/>
              <w:jc w:val="both"/>
              <w:rPr>
                <w:rFonts w:hint="default" w:ascii="Times New Roman" w:hAnsi="Times New Roman" w:cs="Times New Roman"/>
                <w:color w:val="000000"/>
                <w:sz w:val="24"/>
              </w:rPr>
            </w:pPr>
            <w:r>
              <w:rPr>
                <w:rFonts w:hint="default" w:ascii="Times New Roman" w:hAnsi="Times New Roman" w:cs="Times New Roman"/>
                <w:color w:val="000000"/>
                <w:sz w:val="24"/>
              </w:rPr>
              <w:t>项目设备简单，通过对车间设备合理布局，在做好厂房的隔声降噪工作，充分利用距离衰减和屏障效应等措施降低噪声。</w:t>
            </w:r>
            <w:r>
              <w:rPr>
                <w:rFonts w:hint="default" w:ascii="Times New Roman" w:hAnsi="Times New Roman" w:eastAsia="宋体" w:cs="Times New Roman"/>
                <w:sz w:val="24"/>
                <w:lang w:val="en-US" w:eastAsia="zh-CN"/>
              </w:rPr>
              <w:t>本</w:t>
            </w:r>
            <w:r>
              <w:rPr>
                <w:rFonts w:hint="default" w:ascii="Times New Roman" w:hAnsi="Times New Roman" w:cs="Times New Roman"/>
                <w:sz w:val="24"/>
              </w:rPr>
              <w:t>项目车间周边5</w:t>
            </w:r>
            <w:r>
              <w:rPr>
                <w:rFonts w:hint="default" w:ascii="Times New Roman" w:hAnsi="Times New Roman" w:eastAsia="宋体" w:cs="Times New Roman"/>
                <w:sz w:val="24"/>
                <w:lang w:val="en-US" w:eastAsia="zh-CN"/>
              </w:rPr>
              <w:t>0m</w:t>
            </w:r>
            <w:r>
              <w:rPr>
                <w:rFonts w:hint="default" w:ascii="Times New Roman" w:hAnsi="Times New Roman" w:cs="Times New Roman"/>
                <w:sz w:val="24"/>
              </w:rPr>
              <w:t>范围内无噪声敏感目标，</w:t>
            </w:r>
            <w:r>
              <w:rPr>
                <w:rFonts w:hint="default" w:ascii="Times New Roman" w:hAnsi="Times New Roman" w:eastAsia="宋体" w:cs="Times New Roman"/>
                <w:sz w:val="24"/>
                <w:lang w:val="en-US" w:eastAsia="zh-CN"/>
              </w:rPr>
              <w:t>各</w:t>
            </w:r>
            <w:r>
              <w:rPr>
                <w:rFonts w:hint="default" w:ascii="Times New Roman" w:hAnsi="Times New Roman" w:cs="Times New Roman"/>
                <w:sz w:val="24"/>
              </w:rPr>
              <w:t>厂界噪声</w:t>
            </w:r>
            <w:r>
              <w:rPr>
                <w:rFonts w:hint="default" w:ascii="Times New Roman" w:hAnsi="Times New Roman" w:eastAsia="宋体" w:cs="Times New Roman"/>
                <w:sz w:val="24"/>
                <w:lang w:val="en-US" w:eastAsia="zh-CN"/>
              </w:rPr>
              <w:t>可</w:t>
            </w:r>
            <w:r>
              <w:rPr>
                <w:rFonts w:hint="default" w:ascii="Times New Roman" w:hAnsi="Times New Roman" w:cs="Times New Roman"/>
                <w:sz w:val="24"/>
              </w:rPr>
              <w:t>达到《工业企业厂界环境噪声排放标准》（GB12348-2008）中的</w:t>
            </w:r>
            <w:r>
              <w:rPr>
                <w:rFonts w:hint="default" w:ascii="Times New Roman" w:hAnsi="Times New Roman" w:eastAsia="宋体" w:cs="Times New Roman"/>
                <w:sz w:val="24"/>
                <w:lang w:val="en-US" w:eastAsia="zh-CN"/>
              </w:rPr>
              <w:t>3</w:t>
            </w:r>
            <w:r>
              <w:rPr>
                <w:rFonts w:hint="default" w:ascii="Times New Roman" w:hAnsi="Times New Roman" w:cs="Times New Roman"/>
                <w:sz w:val="24"/>
              </w:rPr>
              <w:t>类标准，</w:t>
            </w:r>
            <w:r>
              <w:rPr>
                <w:rFonts w:hint="default" w:ascii="Times New Roman" w:hAnsi="Times New Roman" w:cs="Times New Roman"/>
                <w:color w:val="000000"/>
                <w:sz w:val="24"/>
              </w:rPr>
              <w:t>预计达标排放的噪声对周围环境影响不大。</w:t>
            </w:r>
          </w:p>
          <w:p>
            <w:pPr>
              <w:spacing w:line="460" w:lineRule="exact"/>
              <w:ind w:firstLine="482" w:firstLineChars="200"/>
              <w:jc w:val="both"/>
              <w:rPr>
                <w:rFonts w:hint="default" w:ascii="Times New Roman" w:hAnsi="Times New Roman" w:cs="Times New Roman"/>
                <w:b/>
                <w:bCs/>
                <w:color w:val="000000"/>
                <w:sz w:val="24"/>
              </w:rPr>
            </w:pPr>
            <w:r>
              <w:rPr>
                <w:rFonts w:hint="default" w:ascii="Times New Roman" w:hAnsi="Times New Roman" w:cs="Times New Roman"/>
                <w:b/>
                <w:bCs/>
                <w:color w:val="000000"/>
                <w:sz w:val="24"/>
              </w:rPr>
              <w:t>3.3噪声污染防治措施可行性分析</w:t>
            </w:r>
          </w:p>
          <w:p>
            <w:pPr>
              <w:spacing w:line="500" w:lineRule="exact"/>
              <w:ind w:firstLine="480" w:firstLineChars="200"/>
              <w:jc w:val="both"/>
              <w:rPr>
                <w:rFonts w:hint="default" w:ascii="Times New Roman" w:hAnsi="Times New Roman" w:cs="Times New Roman"/>
                <w:color w:val="000000"/>
                <w:sz w:val="24"/>
              </w:rPr>
            </w:pPr>
            <w:r>
              <w:rPr>
                <w:rFonts w:hint="default" w:ascii="Times New Roman" w:hAnsi="Times New Roman" w:cs="Times New Roman"/>
                <w:color w:val="000000"/>
                <w:sz w:val="24"/>
              </w:rPr>
              <w:t>①生产设备噪声源合理布置在生产车间内，同时企业加强生产区域门窗的隔声性能，考虑到车间建筑门窗基本关闭情况，该车间的整体降噪能力可达25dB(A)以上。</w:t>
            </w:r>
          </w:p>
          <w:p>
            <w:pPr>
              <w:spacing w:line="500" w:lineRule="exact"/>
              <w:ind w:firstLine="480" w:firstLineChars="200"/>
              <w:jc w:val="both"/>
              <w:rPr>
                <w:rFonts w:hint="default" w:ascii="Times New Roman" w:hAnsi="Times New Roman" w:cs="Times New Roman"/>
                <w:color w:val="000000"/>
                <w:sz w:val="24"/>
              </w:rPr>
            </w:pPr>
            <w:r>
              <w:rPr>
                <w:rFonts w:hint="default" w:ascii="Times New Roman" w:hAnsi="Times New Roman" w:cs="Times New Roman"/>
                <w:color w:val="000000"/>
                <w:sz w:val="24"/>
              </w:rPr>
              <w:t>②选用低噪声设备，从源头控制噪声。</w:t>
            </w:r>
          </w:p>
          <w:p>
            <w:pPr>
              <w:spacing w:line="46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sz w:val="24"/>
              </w:rPr>
              <w:t>③</w:t>
            </w:r>
            <w:r>
              <w:rPr>
                <w:rFonts w:hint="default" w:ascii="Times New Roman" w:hAnsi="Times New Roman" w:cs="Times New Roman"/>
                <w:color w:val="000000" w:themeColor="text1"/>
                <w:sz w:val="24"/>
                <w14:textFill>
                  <w14:solidFill>
                    <w14:schemeClr w14:val="tx1"/>
                  </w14:solidFill>
                </w14:textFill>
              </w:rPr>
              <w:t>废气处理风机外安装隔声罩，下方加装减振垫，隔声量可达25dB(A)。</w:t>
            </w:r>
          </w:p>
          <w:p>
            <w:pPr>
              <w:spacing w:line="500" w:lineRule="exact"/>
              <w:ind w:firstLine="480" w:firstLineChars="200"/>
              <w:jc w:val="both"/>
              <w:rPr>
                <w:rFonts w:hint="default" w:ascii="Times New Roman" w:hAnsi="Times New Roman" w:cs="Times New Roman"/>
                <w:color w:val="000000"/>
                <w:sz w:val="24"/>
              </w:rPr>
            </w:pPr>
            <w:r>
              <w:rPr>
                <w:rFonts w:hint="default" w:ascii="Times New Roman" w:hAnsi="Times New Roman" w:cs="Times New Roman"/>
                <w:color w:val="000000"/>
                <w:sz w:val="24"/>
              </w:rPr>
              <w:t>以上噪声治理措施容易实施，技术成熟可靠，投资费用较少，在经济上是可行的。</w:t>
            </w:r>
          </w:p>
          <w:p>
            <w:pPr>
              <w:spacing w:line="500" w:lineRule="exact"/>
              <w:ind w:firstLine="482" w:firstLineChars="200"/>
              <w:jc w:val="both"/>
              <w:rPr>
                <w:rFonts w:hint="default" w:ascii="Times New Roman" w:hAnsi="Times New Roman" w:cs="Times New Roman"/>
                <w:bCs/>
                <w:color w:val="000000"/>
                <w:sz w:val="24"/>
                <w:szCs w:val="22"/>
              </w:rPr>
            </w:pPr>
            <w:r>
              <w:rPr>
                <w:rFonts w:hint="default" w:ascii="Times New Roman" w:hAnsi="Times New Roman" w:cs="Times New Roman"/>
                <w:b/>
                <w:bCs/>
                <w:color w:val="000000"/>
                <w:sz w:val="24"/>
              </w:rPr>
              <w:t>3.4监测要求</w:t>
            </w:r>
          </w:p>
          <w:p>
            <w:pPr>
              <w:adjustRightInd w:val="0"/>
              <w:snapToGrid w:val="0"/>
              <w:spacing w:line="500" w:lineRule="exact"/>
              <w:ind w:firstLine="480" w:firstLineChars="200"/>
              <w:jc w:val="left"/>
              <w:rPr>
                <w:rFonts w:hint="default" w:ascii="Times New Roman" w:hAnsi="Times New Roman" w:cs="Times New Roman"/>
                <w:b/>
                <w:color w:val="000000"/>
                <w:sz w:val="24"/>
              </w:rPr>
            </w:pPr>
            <w:r>
              <w:rPr>
                <w:rFonts w:hint="default" w:ascii="Times New Roman" w:hAnsi="Times New Roman" w:cs="Times New Roman"/>
                <w:color w:val="000000"/>
                <w:sz w:val="24"/>
              </w:rPr>
              <w:t>根据《排污许可申请与核发技术规范 总则》（HJ1031-2019）和《排污单位自行监测技术指南 总则》（HJ819-2017），项目建成后需对噪声源进行监测，监测方案详见下表4-</w:t>
            </w:r>
            <w:r>
              <w:rPr>
                <w:rFonts w:hint="eastAsia" w:ascii="Times New Roman" w:hAnsi="Times New Roman" w:cs="Times New Roman"/>
                <w:color w:val="000000"/>
                <w:sz w:val="24"/>
                <w:lang w:val="en-US" w:eastAsia="zh-CN"/>
              </w:rPr>
              <w:t>12</w:t>
            </w:r>
            <w:r>
              <w:rPr>
                <w:rFonts w:hint="default" w:ascii="Times New Roman" w:hAnsi="Times New Roman" w:cs="Times New Roman"/>
                <w:color w:val="000000"/>
                <w:sz w:val="24"/>
              </w:rPr>
              <w:t>。</w:t>
            </w:r>
          </w:p>
          <w:p>
            <w:pPr>
              <w:jc w:val="center"/>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表4-</w:t>
            </w:r>
            <w:r>
              <w:rPr>
                <w:rFonts w:hint="eastAsia" w:ascii="Times New Roman" w:hAnsi="Times New Roman" w:cs="Times New Roman"/>
                <w:b/>
                <w:color w:val="000000" w:themeColor="text1"/>
                <w:kern w:val="0"/>
                <w:sz w:val="21"/>
                <w:szCs w:val="21"/>
                <w:lang w:val="en-US" w:eastAsia="zh-CN"/>
                <w14:textFill>
                  <w14:solidFill>
                    <w14:schemeClr w14:val="tx1"/>
                  </w14:solidFill>
                </w14:textFill>
              </w:rPr>
              <w:t>12</w:t>
            </w:r>
            <w:r>
              <w:rPr>
                <w:rFonts w:hint="default" w:ascii="Times New Roman" w:hAnsi="Times New Roman" w:cs="Times New Roman"/>
                <w:b/>
                <w:color w:val="000000" w:themeColor="text1"/>
                <w:kern w:val="0"/>
                <w:sz w:val="21"/>
                <w:szCs w:val="21"/>
                <w14:textFill>
                  <w14:solidFill>
                    <w14:schemeClr w14:val="tx1"/>
                  </w14:solidFill>
                </w14:textFill>
              </w:rPr>
              <w:t xml:space="preserve"> 项目噪声污染源监测方案</w:t>
            </w:r>
          </w:p>
          <w:tbl>
            <w:tblPr>
              <w:tblStyle w:val="23"/>
              <w:tblW w:w="498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4"/>
              <w:gridCol w:w="2466"/>
              <w:gridCol w:w="2667"/>
              <w:gridCol w:w="1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817" w:type="pct"/>
                  <w:vAlign w:val="center"/>
                </w:tcPr>
                <w:p>
                  <w:pPr>
                    <w:autoSpaceDE w:val="0"/>
                    <w:autoSpaceDN w:val="0"/>
                    <w:adjustRightInd w:val="0"/>
                    <w:spacing w:line="320" w:lineRule="exact"/>
                    <w:jc w:val="center"/>
                    <w:rPr>
                      <w:rFonts w:hint="default" w:ascii="Times New Roman" w:hAnsi="Times New Roman" w:cs="Times New Roman"/>
                      <w:b/>
                      <w:color w:val="000000"/>
                      <w:kern w:val="0"/>
                      <w:sz w:val="21"/>
                      <w:szCs w:val="21"/>
                    </w:rPr>
                  </w:pPr>
                  <w:r>
                    <w:rPr>
                      <w:rFonts w:hint="default" w:ascii="Times New Roman" w:hAnsi="Times New Roman" w:cs="Times New Roman"/>
                      <w:b/>
                      <w:color w:val="000000"/>
                      <w:kern w:val="0"/>
                      <w:sz w:val="21"/>
                      <w:szCs w:val="21"/>
                    </w:rPr>
                    <w:t>类别</w:t>
                  </w:r>
                </w:p>
              </w:tc>
              <w:tc>
                <w:tcPr>
                  <w:tcW w:w="1522" w:type="pct"/>
                  <w:vAlign w:val="center"/>
                </w:tcPr>
                <w:p>
                  <w:pPr>
                    <w:autoSpaceDE w:val="0"/>
                    <w:autoSpaceDN w:val="0"/>
                    <w:adjustRightInd w:val="0"/>
                    <w:spacing w:line="320" w:lineRule="exact"/>
                    <w:jc w:val="center"/>
                    <w:rPr>
                      <w:rFonts w:hint="default" w:ascii="Times New Roman" w:hAnsi="Times New Roman" w:cs="Times New Roman"/>
                      <w:b/>
                      <w:color w:val="000000"/>
                      <w:kern w:val="0"/>
                      <w:sz w:val="21"/>
                      <w:szCs w:val="21"/>
                    </w:rPr>
                  </w:pPr>
                  <w:r>
                    <w:rPr>
                      <w:rFonts w:hint="default" w:ascii="Times New Roman" w:hAnsi="Times New Roman" w:cs="Times New Roman"/>
                      <w:b/>
                      <w:color w:val="000000"/>
                      <w:kern w:val="0"/>
                      <w:sz w:val="21"/>
                      <w:szCs w:val="21"/>
                    </w:rPr>
                    <w:t>监测点位</w:t>
                  </w:r>
                </w:p>
              </w:tc>
              <w:tc>
                <w:tcPr>
                  <w:tcW w:w="1646" w:type="pct"/>
                  <w:vAlign w:val="center"/>
                </w:tcPr>
                <w:p>
                  <w:pPr>
                    <w:autoSpaceDE w:val="0"/>
                    <w:autoSpaceDN w:val="0"/>
                    <w:adjustRightInd w:val="0"/>
                    <w:spacing w:line="320" w:lineRule="exact"/>
                    <w:jc w:val="center"/>
                    <w:rPr>
                      <w:rFonts w:hint="default" w:ascii="Times New Roman" w:hAnsi="Times New Roman" w:cs="Times New Roman"/>
                      <w:b/>
                      <w:color w:val="000000"/>
                      <w:kern w:val="0"/>
                      <w:sz w:val="21"/>
                      <w:szCs w:val="21"/>
                    </w:rPr>
                  </w:pPr>
                  <w:r>
                    <w:rPr>
                      <w:rFonts w:hint="default" w:ascii="Times New Roman" w:hAnsi="Times New Roman" w:cs="Times New Roman"/>
                      <w:b/>
                      <w:color w:val="000000"/>
                      <w:kern w:val="0"/>
                      <w:sz w:val="21"/>
                      <w:szCs w:val="21"/>
                    </w:rPr>
                    <w:t>监测项目</w:t>
                  </w:r>
                </w:p>
              </w:tc>
              <w:tc>
                <w:tcPr>
                  <w:tcW w:w="1013" w:type="pct"/>
                  <w:vAlign w:val="center"/>
                </w:tcPr>
                <w:p>
                  <w:pPr>
                    <w:autoSpaceDE w:val="0"/>
                    <w:autoSpaceDN w:val="0"/>
                    <w:adjustRightInd w:val="0"/>
                    <w:spacing w:line="320" w:lineRule="exact"/>
                    <w:jc w:val="center"/>
                    <w:rPr>
                      <w:rFonts w:hint="default" w:ascii="Times New Roman" w:hAnsi="Times New Roman" w:cs="Times New Roman"/>
                      <w:b/>
                      <w:color w:val="000000"/>
                      <w:kern w:val="0"/>
                      <w:sz w:val="21"/>
                      <w:szCs w:val="21"/>
                    </w:rPr>
                  </w:pPr>
                  <w:r>
                    <w:rPr>
                      <w:rFonts w:hint="default" w:ascii="Times New Roman" w:hAnsi="Times New Roman" w:cs="Times New Roman"/>
                      <w:b/>
                      <w:color w:val="000000"/>
                      <w:kern w:val="0"/>
                      <w:sz w:val="21"/>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17" w:type="pct"/>
                  <w:vAlign w:val="center"/>
                </w:tcPr>
                <w:p>
                  <w:pPr>
                    <w:autoSpaceDE w:val="0"/>
                    <w:autoSpaceDN w:val="0"/>
                    <w:adjustRightInd w:val="0"/>
                    <w:spacing w:line="320" w:lineRule="exact"/>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噪声</w:t>
                  </w:r>
                </w:p>
              </w:tc>
              <w:tc>
                <w:tcPr>
                  <w:tcW w:w="1522" w:type="pct"/>
                  <w:vAlign w:val="center"/>
                </w:tcPr>
                <w:p>
                  <w:pPr>
                    <w:autoSpaceDE w:val="0"/>
                    <w:autoSpaceDN w:val="0"/>
                    <w:adjustRightInd w:val="0"/>
                    <w:spacing w:line="320" w:lineRule="exact"/>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厂区四周，厂界外1m</w:t>
                  </w:r>
                </w:p>
              </w:tc>
              <w:tc>
                <w:tcPr>
                  <w:tcW w:w="1646" w:type="pct"/>
                  <w:vAlign w:val="center"/>
                </w:tcPr>
                <w:p>
                  <w:pPr>
                    <w:autoSpaceDE w:val="0"/>
                    <w:autoSpaceDN w:val="0"/>
                    <w:adjustRightInd w:val="0"/>
                    <w:spacing w:line="320" w:lineRule="exact"/>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lang w:val="en-US" w:eastAsia="zh-CN"/>
                    </w:rPr>
                    <w:t>昼、夜间</w:t>
                  </w:r>
                  <w:r>
                    <w:rPr>
                      <w:rFonts w:hint="default" w:ascii="Times New Roman" w:hAnsi="Times New Roman" w:cs="Times New Roman"/>
                      <w:color w:val="000000"/>
                      <w:kern w:val="0"/>
                      <w:sz w:val="21"/>
                      <w:szCs w:val="21"/>
                    </w:rPr>
                    <w:t>等效连续A声级</w:t>
                  </w:r>
                </w:p>
              </w:tc>
              <w:tc>
                <w:tcPr>
                  <w:tcW w:w="1013" w:type="pct"/>
                  <w:vAlign w:val="center"/>
                </w:tcPr>
                <w:p>
                  <w:pPr>
                    <w:autoSpaceDE w:val="0"/>
                    <w:autoSpaceDN w:val="0"/>
                    <w:adjustRightInd w:val="0"/>
                    <w:spacing w:line="320" w:lineRule="exact"/>
                    <w:jc w:val="center"/>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每季度一次</w:t>
                  </w:r>
                </w:p>
              </w:tc>
            </w:tr>
          </w:tbl>
          <w:p>
            <w:pPr>
              <w:spacing w:line="500" w:lineRule="exact"/>
              <w:ind w:firstLine="482" w:firstLineChars="200"/>
              <w:jc w:val="both"/>
              <w:rPr>
                <w:rFonts w:hint="default" w:ascii="Times New Roman" w:hAnsi="Times New Roman" w:cs="Times New Roman"/>
                <w:b/>
                <w:color w:val="000000"/>
                <w:sz w:val="24"/>
              </w:rPr>
            </w:pPr>
            <w:r>
              <w:rPr>
                <w:rFonts w:hint="default" w:ascii="Times New Roman" w:hAnsi="Times New Roman" w:cs="Times New Roman"/>
                <w:b/>
                <w:color w:val="000000"/>
                <w:sz w:val="24"/>
              </w:rPr>
              <w:t>4、固体废物</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default" w:ascii="Times New Roman" w:hAnsi="Times New Roman" w:eastAsia="宋体" w:cs="Times New Roman"/>
                <w:color w:val="auto"/>
                <w:sz w:val="24"/>
                <w:szCs w:val="28"/>
                <w:lang w:val="en-US" w:eastAsia="zh-CN"/>
              </w:rPr>
            </w:pPr>
            <w:r>
              <w:rPr>
                <w:rFonts w:hint="default" w:ascii="Times New Roman" w:hAnsi="Times New Roman" w:cs="Times New Roman" w:eastAsiaTheme="majorEastAsia"/>
                <w:b/>
                <w:bCs/>
                <w:color w:val="auto"/>
                <w:sz w:val="24"/>
                <w:szCs w:val="24"/>
                <w:lang w:val="en-US" w:eastAsia="zh-CN"/>
              </w:rPr>
              <w:t>4.1固体废物产生情况</w:t>
            </w:r>
          </w:p>
          <w:p>
            <w:pPr>
              <w:pStyle w:val="32"/>
              <w:keepNext w:val="0"/>
              <w:keepLines w:val="0"/>
              <w:pageBreakBefore w:val="0"/>
              <w:widowControl w:val="0"/>
              <w:kinsoku/>
              <w:wordWrap/>
              <w:overflowPunct/>
              <w:topLinePunct w:val="0"/>
              <w:autoSpaceDE w:val="0"/>
              <w:autoSpaceDN w:val="0"/>
              <w:bidi w:val="0"/>
              <w:adjustRightInd w:val="0"/>
              <w:snapToGrid/>
              <w:spacing w:line="460" w:lineRule="exact"/>
              <w:ind w:firstLine="480" w:firstLineChars="200"/>
              <w:jc w:val="both"/>
              <w:textAlignment w:val="auto"/>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本项目固体废弃物主要为废包装物、</w:t>
            </w:r>
            <w:r>
              <w:rPr>
                <w:rFonts w:hint="default" w:ascii="Times New Roman" w:hAnsi="Times New Roman" w:cs="Times New Roman"/>
                <w:color w:val="auto"/>
                <w:sz w:val="24"/>
                <w:szCs w:val="28"/>
                <w:lang w:val="en-US" w:eastAsia="zh-CN"/>
              </w:rPr>
              <w:t>废</w:t>
            </w:r>
            <w:r>
              <w:rPr>
                <w:rFonts w:hint="default" w:ascii="Times New Roman" w:hAnsi="Times New Roman" w:eastAsia="宋体" w:cs="Times New Roman"/>
                <w:color w:val="auto"/>
                <w:sz w:val="24"/>
                <w:szCs w:val="28"/>
                <w:lang w:val="en-US" w:eastAsia="zh-CN"/>
              </w:rPr>
              <w:t>边角料、</w:t>
            </w:r>
            <w:r>
              <w:rPr>
                <w:rFonts w:hint="default" w:ascii="Times New Roman" w:hAnsi="Times New Roman" w:cs="Times New Roman"/>
                <w:color w:val="auto"/>
                <w:sz w:val="24"/>
                <w:szCs w:val="28"/>
                <w:lang w:val="en-US" w:eastAsia="zh-CN"/>
              </w:rPr>
              <w:t>不合格产品、</w:t>
            </w:r>
            <w:r>
              <w:rPr>
                <w:rFonts w:hint="default" w:ascii="Times New Roman" w:hAnsi="Times New Roman" w:eastAsia="宋体" w:cs="Times New Roman"/>
                <w:color w:val="auto"/>
                <w:sz w:val="24"/>
                <w:szCs w:val="28"/>
                <w:lang w:val="en-US" w:eastAsia="zh-CN"/>
              </w:rPr>
              <w:t>废</w:t>
            </w:r>
            <w:r>
              <w:rPr>
                <w:rFonts w:hint="default" w:ascii="Times New Roman" w:hAnsi="Times New Roman" w:cs="Times New Roman"/>
                <w:color w:val="auto"/>
                <w:sz w:val="24"/>
                <w:szCs w:val="28"/>
                <w:lang w:val="en-US" w:eastAsia="zh-CN"/>
              </w:rPr>
              <w:t>水性</w:t>
            </w:r>
            <w:r>
              <w:rPr>
                <w:rFonts w:hint="default" w:ascii="Times New Roman" w:hAnsi="Times New Roman" w:eastAsia="宋体" w:cs="Times New Roman"/>
                <w:color w:val="auto"/>
                <w:sz w:val="24"/>
                <w:szCs w:val="28"/>
                <w:lang w:val="en-US" w:eastAsia="zh-CN"/>
              </w:rPr>
              <w:t>油墨桶</w:t>
            </w:r>
            <w:r>
              <w:rPr>
                <w:rFonts w:hint="default" w:ascii="Times New Roman" w:hAnsi="Times New Roman" w:cs="Times New Roman"/>
                <w:color w:val="auto"/>
                <w:sz w:val="24"/>
                <w:szCs w:val="28"/>
                <w:lang w:val="en-US" w:eastAsia="zh-CN"/>
              </w:rPr>
              <w:t>和</w:t>
            </w:r>
            <w:r>
              <w:rPr>
                <w:rFonts w:hint="default" w:ascii="Times New Roman" w:hAnsi="Times New Roman" w:eastAsia="宋体" w:cs="Times New Roman"/>
                <w:color w:val="auto"/>
                <w:sz w:val="24"/>
                <w:szCs w:val="28"/>
                <w:lang w:val="en-US" w:eastAsia="zh-CN"/>
              </w:rPr>
              <w:t xml:space="preserve">废活性炭。 </w:t>
            </w:r>
          </w:p>
          <w:p>
            <w:pPr>
              <w:pStyle w:val="32"/>
              <w:keepNext w:val="0"/>
              <w:keepLines w:val="0"/>
              <w:pageBreakBefore w:val="0"/>
              <w:widowControl w:val="0"/>
              <w:kinsoku/>
              <w:wordWrap/>
              <w:overflowPunct/>
              <w:topLinePunct w:val="0"/>
              <w:autoSpaceDE w:val="0"/>
              <w:autoSpaceDN w:val="0"/>
              <w:bidi w:val="0"/>
              <w:adjustRightInd w:val="0"/>
              <w:snapToGrid/>
              <w:spacing w:line="460" w:lineRule="exact"/>
              <w:ind w:firstLine="480" w:firstLineChars="200"/>
              <w:jc w:val="both"/>
              <w:textAlignment w:val="auto"/>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①废包装物：</w:t>
            </w:r>
            <w:r>
              <w:rPr>
                <w:rFonts w:hint="default" w:ascii="Times New Roman" w:hAnsi="Times New Roman" w:cs="Times New Roman"/>
                <w:color w:val="auto"/>
                <w:sz w:val="24"/>
                <w:szCs w:val="28"/>
                <w:lang w:val="en-US" w:eastAsia="zh-CN"/>
              </w:rPr>
              <w:t>涂膜料</w:t>
            </w:r>
            <w:r>
              <w:rPr>
                <w:rFonts w:hint="default" w:ascii="Times New Roman" w:hAnsi="Times New Roman" w:eastAsia="宋体" w:cs="Times New Roman"/>
                <w:color w:val="auto"/>
                <w:sz w:val="24"/>
                <w:szCs w:val="28"/>
                <w:lang w:val="en-US" w:eastAsia="zh-CN"/>
              </w:rPr>
              <w:t>原材料包装，会产生废塑料编织袋，根据厂家提供的</w:t>
            </w:r>
            <w:r>
              <w:rPr>
                <w:rFonts w:hint="default" w:ascii="Times New Roman" w:hAnsi="Times New Roman" w:cs="Times New Roman"/>
                <w:color w:val="auto"/>
                <w:sz w:val="24"/>
                <w:szCs w:val="28"/>
                <w:lang w:val="en-US" w:eastAsia="zh-CN"/>
              </w:rPr>
              <w:t>技术资料</w:t>
            </w:r>
            <w:r>
              <w:rPr>
                <w:rFonts w:hint="default" w:ascii="Times New Roman" w:hAnsi="Times New Roman" w:eastAsia="宋体" w:cs="Times New Roman"/>
                <w:color w:val="auto"/>
                <w:sz w:val="24"/>
                <w:szCs w:val="28"/>
                <w:lang w:val="en-US" w:eastAsia="zh-CN"/>
              </w:rPr>
              <w:t>，年产生量约为</w:t>
            </w:r>
            <w:r>
              <w:rPr>
                <w:rFonts w:hint="default" w:ascii="Times New Roman" w:hAnsi="Times New Roman" w:cs="Times New Roman"/>
                <w:color w:val="auto"/>
                <w:sz w:val="24"/>
                <w:szCs w:val="28"/>
                <w:lang w:val="en-US" w:eastAsia="zh-CN"/>
              </w:rPr>
              <w:t>0.01</w:t>
            </w:r>
            <w:r>
              <w:rPr>
                <w:rFonts w:hint="default" w:ascii="Times New Roman" w:hAnsi="Times New Roman" w:eastAsia="宋体" w:cs="Times New Roman"/>
                <w:color w:val="auto"/>
                <w:sz w:val="24"/>
                <w:szCs w:val="28"/>
                <w:lang w:val="en-US" w:eastAsia="zh-CN"/>
              </w:rPr>
              <w:t>t</w:t>
            </w:r>
            <w:r>
              <w:rPr>
                <w:rFonts w:hint="default" w:ascii="Times New Roman" w:hAnsi="Times New Roman" w:cs="Times New Roman"/>
                <w:color w:val="auto"/>
                <w:sz w:val="24"/>
                <w:szCs w:val="28"/>
                <w:lang w:val="en-US" w:eastAsia="zh-CN"/>
              </w:rPr>
              <w:t>/</w:t>
            </w:r>
            <w:r>
              <w:rPr>
                <w:rFonts w:hint="default" w:ascii="Times New Roman" w:hAnsi="Times New Roman" w:eastAsia="宋体" w:cs="Times New Roman"/>
                <w:color w:val="auto"/>
                <w:sz w:val="24"/>
                <w:szCs w:val="28"/>
                <w:lang w:val="en-US" w:eastAsia="zh-CN"/>
              </w:rPr>
              <w:t>a，收集</w:t>
            </w:r>
            <w:r>
              <w:rPr>
                <w:rFonts w:hint="default" w:ascii="Times New Roman" w:hAnsi="Times New Roman" w:cs="Times New Roman"/>
                <w:color w:val="auto"/>
                <w:sz w:val="24"/>
                <w:szCs w:val="28"/>
                <w:lang w:val="en-US" w:eastAsia="zh-CN"/>
              </w:rPr>
              <w:t>后</w:t>
            </w:r>
            <w:r>
              <w:rPr>
                <w:rFonts w:hint="default" w:ascii="Times New Roman" w:hAnsi="Times New Roman" w:eastAsia="宋体" w:cs="Times New Roman"/>
                <w:color w:val="auto"/>
                <w:sz w:val="24"/>
                <w:szCs w:val="28"/>
                <w:lang w:val="en-US" w:eastAsia="zh-CN"/>
              </w:rPr>
              <w:t>外售</w:t>
            </w:r>
            <w:r>
              <w:rPr>
                <w:rFonts w:hint="default" w:ascii="Times New Roman" w:hAnsi="Times New Roman" w:cs="Times New Roman"/>
                <w:color w:val="auto"/>
                <w:sz w:val="24"/>
                <w:szCs w:val="28"/>
                <w:lang w:val="en-US" w:eastAsia="zh-CN"/>
              </w:rPr>
              <w:t>综合</w:t>
            </w:r>
            <w:r>
              <w:rPr>
                <w:rFonts w:hint="default" w:ascii="Times New Roman" w:hAnsi="Times New Roman" w:eastAsia="宋体" w:cs="Times New Roman"/>
                <w:color w:val="auto"/>
                <w:sz w:val="24"/>
                <w:szCs w:val="28"/>
                <w:lang w:val="en-US" w:eastAsia="zh-CN"/>
              </w:rPr>
              <w:t xml:space="preserve">利用； </w:t>
            </w:r>
          </w:p>
          <w:p>
            <w:pPr>
              <w:pStyle w:val="32"/>
              <w:keepNext w:val="0"/>
              <w:keepLines w:val="0"/>
              <w:pageBreakBefore w:val="0"/>
              <w:widowControl w:val="0"/>
              <w:kinsoku/>
              <w:wordWrap/>
              <w:overflowPunct/>
              <w:topLinePunct w:val="0"/>
              <w:autoSpaceDE w:val="0"/>
              <w:autoSpaceDN w:val="0"/>
              <w:bidi w:val="0"/>
              <w:adjustRightInd w:val="0"/>
              <w:snapToGrid/>
              <w:spacing w:line="460" w:lineRule="exact"/>
              <w:ind w:firstLine="480" w:firstLineChars="200"/>
              <w:jc w:val="both"/>
              <w:textAlignment w:val="auto"/>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②</w:t>
            </w:r>
            <w:r>
              <w:rPr>
                <w:rFonts w:hint="default" w:ascii="Times New Roman" w:hAnsi="Times New Roman" w:cs="Times New Roman"/>
                <w:color w:val="auto"/>
                <w:sz w:val="24"/>
                <w:szCs w:val="28"/>
                <w:lang w:val="en-US" w:eastAsia="zh-CN"/>
              </w:rPr>
              <w:t>废</w:t>
            </w:r>
            <w:r>
              <w:rPr>
                <w:rFonts w:hint="default" w:ascii="Times New Roman" w:hAnsi="Times New Roman" w:eastAsia="宋体" w:cs="Times New Roman"/>
                <w:color w:val="auto"/>
                <w:sz w:val="24"/>
                <w:szCs w:val="28"/>
                <w:lang w:val="en-US" w:eastAsia="zh-CN"/>
              </w:rPr>
              <w:t>边角料；</w:t>
            </w:r>
            <w:r>
              <w:rPr>
                <w:rFonts w:hint="default" w:ascii="Times New Roman" w:hAnsi="Times New Roman" w:cs="Times New Roman"/>
                <w:color w:val="auto"/>
                <w:sz w:val="24"/>
                <w:szCs w:val="28"/>
                <w:lang w:val="en-US" w:eastAsia="zh-CN"/>
              </w:rPr>
              <w:t>项目裁剪</w:t>
            </w:r>
            <w:r>
              <w:rPr>
                <w:rFonts w:hint="default" w:ascii="Times New Roman" w:hAnsi="Times New Roman" w:eastAsia="宋体" w:cs="Times New Roman"/>
                <w:color w:val="auto"/>
                <w:sz w:val="24"/>
                <w:szCs w:val="28"/>
                <w:lang w:val="en-US" w:eastAsia="zh-CN"/>
              </w:rPr>
              <w:t>工序会产生废边角料，根据厂家提供的</w:t>
            </w:r>
            <w:r>
              <w:rPr>
                <w:rFonts w:hint="default" w:ascii="Times New Roman" w:hAnsi="Times New Roman" w:cs="Times New Roman"/>
                <w:color w:val="auto"/>
                <w:sz w:val="24"/>
                <w:szCs w:val="28"/>
                <w:lang w:val="en-US" w:eastAsia="zh-CN"/>
              </w:rPr>
              <w:t>技术资料，裁剪工段产生废边角料</w:t>
            </w:r>
            <w:r>
              <w:rPr>
                <w:rFonts w:hint="default" w:ascii="Times New Roman" w:hAnsi="Times New Roman" w:eastAsia="宋体" w:cs="Times New Roman"/>
                <w:color w:val="auto"/>
                <w:sz w:val="24"/>
                <w:szCs w:val="28"/>
                <w:lang w:val="en-US" w:eastAsia="zh-CN"/>
              </w:rPr>
              <w:t>约为 0.</w:t>
            </w:r>
            <w:r>
              <w:rPr>
                <w:rFonts w:hint="default" w:ascii="Times New Roman" w:hAnsi="Times New Roman" w:cs="Times New Roman"/>
                <w:color w:val="auto"/>
                <w:sz w:val="24"/>
                <w:szCs w:val="28"/>
                <w:lang w:val="en-US" w:eastAsia="zh-CN"/>
              </w:rPr>
              <w:t>05</w:t>
            </w:r>
            <w:r>
              <w:rPr>
                <w:rFonts w:hint="default" w:ascii="Times New Roman" w:hAnsi="Times New Roman" w:eastAsia="宋体" w:cs="Times New Roman"/>
                <w:color w:val="auto"/>
                <w:sz w:val="24"/>
                <w:szCs w:val="28"/>
                <w:lang w:val="en-US" w:eastAsia="zh-CN"/>
              </w:rPr>
              <w:t>t/a，收集</w:t>
            </w:r>
            <w:r>
              <w:rPr>
                <w:rFonts w:hint="default" w:ascii="Times New Roman" w:hAnsi="Times New Roman" w:cs="Times New Roman"/>
                <w:color w:val="auto"/>
                <w:sz w:val="24"/>
                <w:szCs w:val="28"/>
                <w:lang w:val="en-US" w:eastAsia="zh-CN"/>
              </w:rPr>
              <w:t>后</w:t>
            </w:r>
            <w:r>
              <w:rPr>
                <w:rFonts w:hint="default" w:ascii="Times New Roman" w:hAnsi="Times New Roman" w:eastAsia="宋体" w:cs="Times New Roman"/>
                <w:color w:val="auto"/>
                <w:sz w:val="24"/>
                <w:szCs w:val="28"/>
                <w:lang w:val="en-US" w:eastAsia="zh-CN"/>
              </w:rPr>
              <w:t>外售</w:t>
            </w:r>
            <w:r>
              <w:rPr>
                <w:rFonts w:hint="default" w:ascii="Times New Roman" w:hAnsi="Times New Roman" w:cs="Times New Roman"/>
                <w:color w:val="auto"/>
                <w:sz w:val="24"/>
                <w:szCs w:val="28"/>
                <w:lang w:val="en-US" w:eastAsia="zh-CN"/>
              </w:rPr>
              <w:t>综合</w:t>
            </w:r>
            <w:r>
              <w:rPr>
                <w:rFonts w:hint="default" w:ascii="Times New Roman" w:hAnsi="Times New Roman" w:eastAsia="宋体" w:cs="Times New Roman"/>
                <w:color w:val="auto"/>
                <w:sz w:val="24"/>
                <w:szCs w:val="28"/>
                <w:lang w:val="en-US" w:eastAsia="zh-CN"/>
              </w:rPr>
              <w:t xml:space="preserve">利用； </w:t>
            </w:r>
          </w:p>
          <w:p>
            <w:pPr>
              <w:pStyle w:val="32"/>
              <w:keepNext w:val="0"/>
              <w:keepLines w:val="0"/>
              <w:pageBreakBefore w:val="0"/>
              <w:widowControl w:val="0"/>
              <w:kinsoku/>
              <w:wordWrap/>
              <w:overflowPunct/>
              <w:topLinePunct w:val="0"/>
              <w:autoSpaceDE w:val="0"/>
              <w:autoSpaceDN w:val="0"/>
              <w:bidi w:val="0"/>
              <w:adjustRightInd w:val="0"/>
              <w:snapToGrid/>
              <w:spacing w:line="460" w:lineRule="exact"/>
              <w:ind w:firstLine="480" w:firstLineChars="200"/>
              <w:jc w:val="both"/>
              <w:textAlignment w:val="auto"/>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③</w:t>
            </w:r>
            <w:r>
              <w:rPr>
                <w:rFonts w:hint="default" w:ascii="Times New Roman" w:hAnsi="Times New Roman" w:cs="Times New Roman"/>
                <w:color w:val="auto"/>
                <w:sz w:val="24"/>
                <w:szCs w:val="28"/>
                <w:lang w:val="en-US" w:eastAsia="zh-CN"/>
              </w:rPr>
              <w:t>不合格产品：项目检验</w:t>
            </w:r>
            <w:r>
              <w:rPr>
                <w:rFonts w:hint="default" w:ascii="Times New Roman" w:hAnsi="Times New Roman" w:eastAsia="宋体" w:cs="Times New Roman"/>
                <w:color w:val="auto"/>
                <w:sz w:val="24"/>
                <w:szCs w:val="28"/>
                <w:lang w:val="en-US" w:eastAsia="zh-CN"/>
              </w:rPr>
              <w:t>工序会产生</w:t>
            </w:r>
            <w:r>
              <w:rPr>
                <w:rFonts w:hint="default" w:ascii="Times New Roman" w:hAnsi="Times New Roman" w:cs="Times New Roman"/>
                <w:color w:val="auto"/>
                <w:sz w:val="24"/>
                <w:szCs w:val="28"/>
                <w:lang w:val="en-US" w:eastAsia="zh-CN"/>
              </w:rPr>
              <w:t>不合格产品</w:t>
            </w:r>
            <w:r>
              <w:rPr>
                <w:rFonts w:hint="default" w:ascii="Times New Roman" w:hAnsi="Times New Roman" w:eastAsia="宋体" w:cs="Times New Roman"/>
                <w:color w:val="auto"/>
                <w:sz w:val="24"/>
                <w:szCs w:val="28"/>
                <w:lang w:val="en-US" w:eastAsia="zh-CN"/>
              </w:rPr>
              <w:t>，根据厂家提供的</w:t>
            </w:r>
            <w:r>
              <w:rPr>
                <w:rFonts w:hint="default" w:ascii="Times New Roman" w:hAnsi="Times New Roman" w:cs="Times New Roman"/>
                <w:color w:val="auto"/>
                <w:sz w:val="24"/>
                <w:szCs w:val="28"/>
                <w:lang w:val="en-US" w:eastAsia="zh-CN"/>
              </w:rPr>
              <w:t>技术资料，年产生量</w:t>
            </w:r>
            <w:r>
              <w:rPr>
                <w:rFonts w:hint="default" w:ascii="Times New Roman" w:hAnsi="Times New Roman" w:eastAsia="宋体" w:cs="Times New Roman"/>
                <w:color w:val="auto"/>
                <w:sz w:val="24"/>
                <w:szCs w:val="28"/>
                <w:lang w:val="en-US" w:eastAsia="zh-CN"/>
              </w:rPr>
              <w:t>约为 0.</w:t>
            </w:r>
            <w:r>
              <w:rPr>
                <w:rFonts w:hint="default" w:ascii="Times New Roman" w:hAnsi="Times New Roman" w:cs="Times New Roman"/>
                <w:color w:val="auto"/>
                <w:sz w:val="24"/>
                <w:szCs w:val="28"/>
                <w:lang w:val="en-US" w:eastAsia="zh-CN"/>
              </w:rPr>
              <w:t>02</w:t>
            </w:r>
            <w:r>
              <w:rPr>
                <w:rFonts w:hint="default" w:ascii="Times New Roman" w:hAnsi="Times New Roman" w:eastAsia="宋体" w:cs="Times New Roman"/>
                <w:color w:val="auto"/>
                <w:sz w:val="24"/>
                <w:szCs w:val="28"/>
                <w:lang w:val="en-US" w:eastAsia="zh-CN"/>
              </w:rPr>
              <w:t>t/a，收集</w:t>
            </w:r>
            <w:r>
              <w:rPr>
                <w:rFonts w:hint="default" w:ascii="Times New Roman" w:hAnsi="Times New Roman" w:cs="Times New Roman"/>
                <w:color w:val="auto"/>
                <w:sz w:val="24"/>
                <w:szCs w:val="28"/>
                <w:lang w:val="en-US" w:eastAsia="zh-CN"/>
              </w:rPr>
              <w:t>后</w:t>
            </w:r>
            <w:r>
              <w:rPr>
                <w:rFonts w:hint="default" w:ascii="Times New Roman" w:hAnsi="Times New Roman" w:eastAsia="宋体" w:cs="Times New Roman"/>
                <w:color w:val="auto"/>
                <w:sz w:val="24"/>
                <w:szCs w:val="28"/>
                <w:lang w:val="en-US" w:eastAsia="zh-CN"/>
              </w:rPr>
              <w:t>外售</w:t>
            </w:r>
            <w:r>
              <w:rPr>
                <w:rFonts w:hint="default" w:ascii="Times New Roman" w:hAnsi="Times New Roman" w:cs="Times New Roman"/>
                <w:color w:val="auto"/>
                <w:sz w:val="24"/>
                <w:szCs w:val="28"/>
                <w:lang w:val="en-US" w:eastAsia="zh-CN"/>
              </w:rPr>
              <w:t>综合</w:t>
            </w:r>
            <w:r>
              <w:rPr>
                <w:rFonts w:hint="default" w:ascii="Times New Roman" w:hAnsi="Times New Roman" w:eastAsia="宋体" w:cs="Times New Roman"/>
                <w:color w:val="auto"/>
                <w:sz w:val="24"/>
                <w:szCs w:val="28"/>
                <w:lang w:val="en-US" w:eastAsia="zh-CN"/>
              </w:rPr>
              <w:t xml:space="preserve">利用； </w:t>
            </w:r>
          </w:p>
          <w:p>
            <w:pPr>
              <w:pStyle w:val="32"/>
              <w:keepNext w:val="0"/>
              <w:keepLines w:val="0"/>
              <w:pageBreakBefore w:val="0"/>
              <w:widowControl w:val="0"/>
              <w:kinsoku/>
              <w:wordWrap/>
              <w:overflowPunct/>
              <w:topLinePunct w:val="0"/>
              <w:autoSpaceDE w:val="0"/>
              <w:autoSpaceDN w:val="0"/>
              <w:bidi w:val="0"/>
              <w:adjustRightInd w:val="0"/>
              <w:snapToGrid/>
              <w:spacing w:line="460" w:lineRule="exact"/>
              <w:ind w:firstLine="480" w:firstLineChars="200"/>
              <w:jc w:val="both"/>
              <w:textAlignment w:val="auto"/>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④ 废</w:t>
            </w:r>
            <w:r>
              <w:rPr>
                <w:rFonts w:hint="default" w:ascii="Times New Roman" w:hAnsi="Times New Roman" w:cs="Times New Roman"/>
                <w:color w:val="auto"/>
                <w:sz w:val="24"/>
                <w:szCs w:val="28"/>
                <w:lang w:val="en-US" w:eastAsia="zh-CN"/>
              </w:rPr>
              <w:t>水性</w:t>
            </w:r>
            <w:r>
              <w:rPr>
                <w:rFonts w:hint="default" w:ascii="Times New Roman" w:hAnsi="Times New Roman" w:eastAsia="宋体" w:cs="Times New Roman"/>
                <w:color w:val="auto"/>
                <w:sz w:val="24"/>
                <w:szCs w:val="28"/>
                <w:lang w:val="en-US" w:eastAsia="zh-CN"/>
              </w:rPr>
              <w:t>油墨桶；印刷工序，会产生废水性油墨桶，根据厂家提供的</w:t>
            </w:r>
            <w:r>
              <w:rPr>
                <w:rFonts w:hint="default" w:ascii="Times New Roman" w:hAnsi="Times New Roman" w:cs="Times New Roman"/>
                <w:color w:val="auto"/>
                <w:sz w:val="24"/>
                <w:szCs w:val="28"/>
                <w:lang w:val="en-US" w:eastAsia="zh-CN"/>
              </w:rPr>
              <w:t>技术资料，年产生量</w:t>
            </w:r>
            <w:r>
              <w:rPr>
                <w:rFonts w:hint="default" w:ascii="Times New Roman" w:hAnsi="Times New Roman" w:eastAsia="宋体" w:cs="Times New Roman"/>
                <w:color w:val="auto"/>
                <w:sz w:val="24"/>
                <w:szCs w:val="28"/>
                <w:lang w:val="en-US" w:eastAsia="zh-CN"/>
              </w:rPr>
              <w:t>约为 0.</w:t>
            </w:r>
            <w:r>
              <w:rPr>
                <w:rFonts w:hint="default" w:ascii="Times New Roman" w:hAnsi="Times New Roman" w:cs="Times New Roman"/>
                <w:color w:val="auto"/>
                <w:sz w:val="24"/>
                <w:szCs w:val="28"/>
                <w:lang w:val="en-US" w:eastAsia="zh-CN"/>
              </w:rPr>
              <w:t>7</w:t>
            </w:r>
            <w:r>
              <w:rPr>
                <w:rFonts w:hint="default" w:ascii="Times New Roman" w:hAnsi="Times New Roman" w:eastAsia="宋体" w:cs="Times New Roman"/>
                <w:color w:val="auto"/>
                <w:sz w:val="24"/>
                <w:szCs w:val="28"/>
                <w:lang w:val="en-US" w:eastAsia="zh-CN"/>
              </w:rPr>
              <w:t xml:space="preserve">t/a，收集以后交有资质单位处置； </w:t>
            </w:r>
          </w:p>
          <w:p>
            <w:pPr>
              <w:snapToGrid w:val="0"/>
              <w:spacing w:line="460" w:lineRule="exact"/>
              <w:ind w:firstLine="480" w:firstLineChars="20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 xml:space="preserve">⑤废活性炭；根据《省生态环境厅关于深入开展涉 VOCs 治理重点工作核查的通知》（苏环办 </w:t>
            </w:r>
            <w:r>
              <w:rPr>
                <w:rFonts w:hint="default"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2022</w:t>
            </w:r>
            <w:r>
              <w:rPr>
                <w:rFonts w:hint="default"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218 号）：“采用一次性颗粒状活性炭处理 VOCs 废气，年活性炭使用量不应低于 VOCs 产生量的 5 倍，即 1 吨 VOCs 产生量，需 5 吨活性炭用于吸附。活性炭更换周期一般不应超过累计运行 500 小时或 3 个月”，在</w:t>
            </w:r>
            <w:r>
              <w:rPr>
                <w:rFonts w:hint="default" w:ascii="Times New Roman" w:hAnsi="Times New Roman" w:cs="Times New Roman"/>
                <w:sz w:val="24"/>
                <w:szCs w:val="24"/>
                <w:lang w:val="en-US" w:eastAsia="zh-CN"/>
              </w:rPr>
              <w:t>技改</w:t>
            </w:r>
            <w:r>
              <w:rPr>
                <w:rFonts w:hint="default" w:ascii="Times New Roman" w:hAnsi="Times New Roman" w:eastAsia="宋体" w:cs="Times New Roman"/>
                <w:sz w:val="24"/>
                <w:szCs w:val="24"/>
                <w:lang w:val="en-US" w:eastAsia="zh-CN"/>
              </w:rPr>
              <w:t>项目满负荷投产情况下，每年需要进行吸附的有机废气约为 0.</w:t>
            </w:r>
            <w:r>
              <w:rPr>
                <w:rFonts w:hint="eastAsia" w:ascii="Times New Roman" w:hAnsi="Times New Roman" w:cs="Times New Roman"/>
                <w:sz w:val="24"/>
                <w:szCs w:val="24"/>
                <w:lang w:val="en-US" w:eastAsia="zh-CN"/>
              </w:rPr>
              <w:t>378 t</w:t>
            </w:r>
            <w:r>
              <w:rPr>
                <w:rFonts w:hint="default" w:ascii="Times New Roman" w:hAnsi="Times New Roman" w:eastAsia="宋体" w:cs="Times New Roman"/>
                <w:sz w:val="24"/>
                <w:szCs w:val="24"/>
                <w:lang w:val="en-US" w:eastAsia="zh-CN"/>
              </w:rPr>
              <w:t>/a，则本项目理论需活性炭最大约为</w:t>
            </w:r>
            <w:r>
              <w:rPr>
                <w:rFonts w:hint="eastAsia" w:ascii="Times New Roman" w:hAnsi="Times New Roman" w:cs="Times New Roman"/>
                <w:sz w:val="24"/>
                <w:szCs w:val="24"/>
                <w:lang w:val="en-US" w:eastAsia="zh-CN"/>
              </w:rPr>
              <w:t>1.89</w:t>
            </w:r>
            <w:r>
              <w:rPr>
                <w:rFonts w:hint="default" w:ascii="Times New Roman" w:hAnsi="Times New Roman" w:eastAsia="宋体" w:cs="Times New Roman"/>
                <w:sz w:val="24"/>
                <w:szCs w:val="24"/>
                <w:lang w:val="en-US" w:eastAsia="zh-CN"/>
              </w:rPr>
              <w:t>t/a，活性炭吸附饱和后更换，产生的废活性炭最大产生量共约为</w:t>
            </w:r>
            <w:r>
              <w:rPr>
                <w:rFonts w:hint="eastAsia" w:ascii="Times New Roman" w:hAnsi="Times New Roman" w:cs="Times New Roman"/>
                <w:sz w:val="24"/>
                <w:szCs w:val="24"/>
                <w:lang w:val="en-US" w:eastAsia="zh-CN"/>
              </w:rPr>
              <w:t>2.268</w:t>
            </w:r>
            <w:r>
              <w:rPr>
                <w:rFonts w:hint="default" w:ascii="Times New Roman" w:hAnsi="Times New Roman" w:eastAsia="宋体" w:cs="Times New Roman"/>
                <w:sz w:val="24"/>
                <w:szCs w:val="24"/>
                <w:lang w:val="en-US" w:eastAsia="zh-CN"/>
              </w:rPr>
              <w:t xml:space="preserve">t/a，收集后委托有资质单位处置。本项目活性炭每 3 个月更换一次。 </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default" w:ascii="Times New Roman" w:hAnsi="Times New Roman" w:cs="Times New Roman" w:eastAsiaTheme="majorEastAsia"/>
                <w:b/>
                <w:bCs/>
                <w:color w:val="auto"/>
                <w:sz w:val="24"/>
                <w:szCs w:val="24"/>
                <w:lang w:val="en-US" w:eastAsia="zh-CN"/>
              </w:rPr>
            </w:pPr>
            <w:r>
              <w:rPr>
                <w:rFonts w:hint="default" w:ascii="Times New Roman" w:hAnsi="Times New Roman" w:cs="Times New Roman" w:eastAsiaTheme="majorEastAsia"/>
                <w:b/>
                <w:bCs/>
                <w:color w:val="auto"/>
                <w:sz w:val="24"/>
                <w:szCs w:val="24"/>
                <w:lang w:val="en-US" w:eastAsia="zh-CN"/>
              </w:rPr>
              <w:t xml:space="preserve">4.2固体废物属性判定 </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default" w:ascii="Times New Roman" w:hAnsi="Times New Roman" w:cs="Times New Roman"/>
                <w:color w:val="000000"/>
                <w:sz w:val="24"/>
              </w:rPr>
            </w:pPr>
            <w:r>
              <w:rPr>
                <w:rFonts w:hint="default" w:ascii="Times New Roman" w:hAnsi="Times New Roman" w:cs="Times New Roman" w:eastAsiaTheme="majorEastAsia"/>
                <w:b w:val="0"/>
                <w:bCs w:val="0"/>
                <w:color w:val="auto"/>
                <w:sz w:val="24"/>
                <w:szCs w:val="24"/>
                <w:lang w:val="en-US" w:eastAsia="zh-CN"/>
              </w:rPr>
              <w:t>根据《中华人民共和国</w:t>
            </w:r>
            <w:r>
              <w:rPr>
                <w:rFonts w:hint="default" w:ascii="Times New Roman" w:hAnsi="Times New Roman" w:cs="Times New Roman"/>
                <w:b w:val="0"/>
                <w:bCs w:val="0"/>
                <w:color w:val="000000"/>
                <w:sz w:val="24"/>
              </w:rPr>
              <w:t>固体废物污染环境防治法》、《固体废物鉴别标准 通则》（GB</w:t>
            </w:r>
            <w:r>
              <w:rPr>
                <w:rFonts w:hint="default" w:ascii="Times New Roman" w:hAnsi="Times New Roman" w:cs="Times New Roman"/>
                <w:color w:val="000000"/>
                <w:sz w:val="24"/>
              </w:rPr>
              <w:t>34330-2017），对建设项目产生的副产物，依据产生来源、利用和处置过程，判断项目生产过程中产生的副产物是否属于固体废物，判断结果见表4-</w:t>
            </w:r>
            <w:r>
              <w:rPr>
                <w:rFonts w:hint="eastAsia" w:ascii="Times New Roman" w:hAnsi="Times New Roman" w:cs="Times New Roman"/>
                <w:color w:val="000000"/>
                <w:sz w:val="24"/>
                <w:lang w:val="en-US" w:eastAsia="zh-CN"/>
              </w:rPr>
              <w:t>13</w:t>
            </w:r>
            <w:r>
              <w:rPr>
                <w:rFonts w:hint="default" w:ascii="Times New Roman" w:hAnsi="Times New Roman" w:cs="Times New Roman"/>
                <w:color w:val="000000"/>
                <w:sz w:val="24"/>
              </w:rPr>
              <w:t>。</w:t>
            </w:r>
          </w:p>
          <w:p>
            <w:pPr>
              <w:tabs>
                <w:tab w:val="left" w:pos="5142"/>
              </w:tabs>
              <w:snapToGrid w:val="0"/>
              <w:spacing w:line="460" w:lineRule="exact"/>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表4-</w:t>
            </w:r>
            <w:r>
              <w:rPr>
                <w:rFonts w:hint="eastAsia" w:ascii="Times New Roman" w:hAnsi="Times New Roman" w:cs="Times New Roman"/>
                <w:b/>
                <w:bCs/>
                <w:sz w:val="21"/>
                <w:szCs w:val="21"/>
                <w:lang w:val="en-US" w:eastAsia="zh-CN"/>
              </w:rPr>
              <w:t>13</w:t>
            </w:r>
            <w:r>
              <w:rPr>
                <w:rFonts w:hint="default" w:ascii="Times New Roman" w:hAnsi="Times New Roman" w:eastAsia="宋体" w:cs="Times New Roman"/>
                <w:b/>
                <w:bCs/>
                <w:sz w:val="21"/>
                <w:szCs w:val="21"/>
                <w:lang w:eastAsia="zh-CN"/>
              </w:rPr>
              <w:t xml:space="preserve">  项目固体废物产生情况汇总表</w:t>
            </w:r>
          </w:p>
          <w:tbl>
            <w:tblPr>
              <w:tblStyle w:val="23"/>
              <w:tblW w:w="497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9"/>
              <w:gridCol w:w="1309"/>
              <w:gridCol w:w="945"/>
              <w:gridCol w:w="733"/>
              <w:gridCol w:w="938"/>
              <w:gridCol w:w="1000"/>
              <w:gridCol w:w="767"/>
              <w:gridCol w:w="567"/>
              <w:gridCol w:w="14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 w:type="pct"/>
                  <w:vMerge w:val="restar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序号</w:t>
                  </w:r>
                </w:p>
              </w:tc>
              <w:tc>
                <w:tcPr>
                  <w:tcW w:w="808" w:type="pct"/>
                  <w:vMerge w:val="restar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副产物</w:t>
                  </w:r>
                </w:p>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名称</w:t>
                  </w:r>
                </w:p>
              </w:tc>
              <w:tc>
                <w:tcPr>
                  <w:tcW w:w="583" w:type="pct"/>
                  <w:vMerge w:val="restar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产生工序</w:t>
                  </w:r>
                </w:p>
              </w:tc>
              <w:tc>
                <w:tcPr>
                  <w:tcW w:w="452" w:type="pct"/>
                  <w:vMerge w:val="restar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形态</w:t>
                  </w:r>
                </w:p>
              </w:tc>
              <w:tc>
                <w:tcPr>
                  <w:tcW w:w="579" w:type="pct"/>
                  <w:vMerge w:val="restar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主要</w:t>
                  </w:r>
                </w:p>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成分</w:t>
                  </w:r>
                </w:p>
              </w:tc>
              <w:tc>
                <w:tcPr>
                  <w:tcW w:w="617" w:type="pct"/>
                  <w:vMerge w:val="restar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预测产生量（t/a）</w:t>
                  </w:r>
                </w:p>
              </w:tc>
              <w:tc>
                <w:tcPr>
                  <w:tcW w:w="1735" w:type="pct"/>
                  <w:gridSpan w:val="3"/>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种类判断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 w:type="pct"/>
                  <w:vMerge w:val="continue"/>
                  <w:vAlign w:val="center"/>
                </w:tcPr>
                <w:p>
                  <w:pPr>
                    <w:widowControl/>
                    <w:spacing w:line="320" w:lineRule="exact"/>
                    <w:jc w:val="center"/>
                    <w:rPr>
                      <w:rFonts w:hint="default" w:ascii="Times New Roman" w:hAnsi="Times New Roman" w:cs="Times New Roman"/>
                      <w:b/>
                      <w:color w:val="000000"/>
                      <w:sz w:val="21"/>
                      <w:szCs w:val="21"/>
                    </w:rPr>
                  </w:pPr>
                </w:p>
              </w:tc>
              <w:tc>
                <w:tcPr>
                  <w:tcW w:w="808" w:type="pct"/>
                  <w:vMerge w:val="continue"/>
                  <w:vAlign w:val="center"/>
                </w:tcPr>
                <w:p>
                  <w:pPr>
                    <w:widowControl/>
                    <w:spacing w:line="320" w:lineRule="exact"/>
                    <w:jc w:val="center"/>
                    <w:rPr>
                      <w:rFonts w:hint="default" w:ascii="Times New Roman" w:hAnsi="Times New Roman" w:cs="Times New Roman"/>
                      <w:b/>
                      <w:color w:val="000000"/>
                      <w:sz w:val="21"/>
                      <w:szCs w:val="21"/>
                    </w:rPr>
                  </w:pPr>
                </w:p>
              </w:tc>
              <w:tc>
                <w:tcPr>
                  <w:tcW w:w="583" w:type="pct"/>
                  <w:vMerge w:val="continue"/>
                  <w:vAlign w:val="center"/>
                </w:tcPr>
                <w:p>
                  <w:pPr>
                    <w:widowControl/>
                    <w:spacing w:line="320" w:lineRule="exact"/>
                    <w:jc w:val="center"/>
                    <w:rPr>
                      <w:rFonts w:hint="default" w:ascii="Times New Roman" w:hAnsi="Times New Roman" w:cs="Times New Roman"/>
                      <w:b/>
                      <w:color w:val="000000"/>
                      <w:sz w:val="21"/>
                      <w:szCs w:val="21"/>
                    </w:rPr>
                  </w:pPr>
                </w:p>
              </w:tc>
              <w:tc>
                <w:tcPr>
                  <w:tcW w:w="452" w:type="pct"/>
                  <w:vMerge w:val="continue"/>
                  <w:vAlign w:val="center"/>
                </w:tcPr>
                <w:p>
                  <w:pPr>
                    <w:widowControl/>
                    <w:spacing w:line="320" w:lineRule="exact"/>
                    <w:jc w:val="left"/>
                    <w:rPr>
                      <w:rFonts w:hint="default" w:ascii="Times New Roman" w:hAnsi="Times New Roman" w:cs="Times New Roman"/>
                      <w:b/>
                      <w:color w:val="000000"/>
                      <w:sz w:val="21"/>
                      <w:szCs w:val="21"/>
                    </w:rPr>
                  </w:pPr>
                </w:p>
              </w:tc>
              <w:tc>
                <w:tcPr>
                  <w:tcW w:w="579" w:type="pct"/>
                  <w:vMerge w:val="continue"/>
                  <w:vAlign w:val="center"/>
                </w:tcPr>
                <w:p>
                  <w:pPr>
                    <w:widowControl/>
                    <w:spacing w:line="320" w:lineRule="exact"/>
                    <w:jc w:val="left"/>
                    <w:rPr>
                      <w:rFonts w:hint="default" w:ascii="Times New Roman" w:hAnsi="Times New Roman" w:cs="Times New Roman"/>
                      <w:b/>
                      <w:color w:val="000000"/>
                      <w:sz w:val="21"/>
                      <w:szCs w:val="21"/>
                    </w:rPr>
                  </w:pPr>
                </w:p>
              </w:tc>
              <w:tc>
                <w:tcPr>
                  <w:tcW w:w="617" w:type="pct"/>
                  <w:vMerge w:val="continue"/>
                  <w:vAlign w:val="center"/>
                </w:tcPr>
                <w:p>
                  <w:pPr>
                    <w:widowControl/>
                    <w:spacing w:line="320" w:lineRule="exact"/>
                    <w:jc w:val="left"/>
                    <w:rPr>
                      <w:rFonts w:hint="default" w:ascii="Times New Roman" w:hAnsi="Times New Roman" w:cs="Times New Roman"/>
                      <w:b/>
                      <w:color w:val="000000"/>
                      <w:sz w:val="21"/>
                      <w:szCs w:val="21"/>
                    </w:rPr>
                  </w:pPr>
                </w:p>
              </w:tc>
              <w:tc>
                <w:tcPr>
                  <w:tcW w:w="473" w:type="pc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固体</w:t>
                  </w:r>
                </w:p>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废物</w:t>
                  </w:r>
                </w:p>
              </w:tc>
              <w:tc>
                <w:tcPr>
                  <w:tcW w:w="350" w:type="pct"/>
                  <w:vAlign w:val="center"/>
                </w:tcPr>
                <w:p>
                  <w:pPr>
                    <w:spacing w:line="320" w:lineRule="exact"/>
                    <w:ind w:left="-110" w:leftChars="-50" w:right="-110" w:rightChars="-50"/>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副产品</w:t>
                  </w:r>
                </w:p>
              </w:tc>
              <w:tc>
                <w:tcPr>
                  <w:tcW w:w="911" w:type="pct"/>
                  <w:vAlign w:val="center"/>
                </w:tcPr>
                <w:p>
                  <w:pPr>
                    <w:spacing w:line="320" w:lineRule="exact"/>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808"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废</w:t>
                  </w:r>
                  <w:r>
                    <w:rPr>
                      <w:rFonts w:hint="default" w:ascii="Times New Roman" w:hAnsi="Times New Roman" w:cs="Times New Roman"/>
                      <w:color w:val="000000"/>
                      <w:sz w:val="21"/>
                      <w:szCs w:val="21"/>
                      <w:lang w:val="en-US" w:eastAsia="zh-CN"/>
                    </w:rPr>
                    <w:t>包装物</w:t>
                  </w:r>
                </w:p>
              </w:tc>
              <w:tc>
                <w:tcPr>
                  <w:tcW w:w="583"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原料包装</w:t>
                  </w:r>
                </w:p>
              </w:tc>
              <w:tc>
                <w:tcPr>
                  <w:tcW w:w="452"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固态</w:t>
                  </w:r>
                </w:p>
              </w:tc>
              <w:tc>
                <w:tcPr>
                  <w:tcW w:w="579" w:type="pct"/>
                  <w:vAlign w:val="center"/>
                </w:tcPr>
                <w:p>
                  <w:pPr>
                    <w:keepNext w:val="0"/>
                    <w:keepLines w:val="0"/>
                    <w:widowControl/>
                    <w:suppressLineNumbers w:val="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kern w:val="0"/>
                      <w:sz w:val="21"/>
                      <w:szCs w:val="21"/>
                      <w:lang w:val="en-US" w:eastAsia="zh-CN" w:bidi="ar"/>
                    </w:rPr>
                    <w:t>废塑料</w:t>
                  </w:r>
                </w:p>
              </w:tc>
              <w:tc>
                <w:tcPr>
                  <w:tcW w:w="617"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0.01</w:t>
                  </w:r>
                </w:p>
              </w:tc>
              <w:tc>
                <w:tcPr>
                  <w:tcW w:w="473"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350"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911" w:type="pct"/>
                  <w:vMerge w:val="restart"/>
                  <w:vAlign w:val="center"/>
                </w:tcPr>
                <w:p>
                  <w:pPr>
                    <w:spacing w:line="320" w:lineRule="exact"/>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《固体废物鉴别标准通则》（GB34330-2017）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w:t>
                  </w:r>
                </w:p>
              </w:tc>
              <w:tc>
                <w:tcPr>
                  <w:tcW w:w="808"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废边角料</w:t>
                  </w:r>
                </w:p>
              </w:tc>
              <w:tc>
                <w:tcPr>
                  <w:tcW w:w="583"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裁剪</w:t>
                  </w:r>
                </w:p>
              </w:tc>
              <w:tc>
                <w:tcPr>
                  <w:tcW w:w="452"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固态</w:t>
                  </w:r>
                </w:p>
              </w:tc>
              <w:tc>
                <w:tcPr>
                  <w:tcW w:w="579" w:type="pct"/>
                  <w:vAlign w:val="center"/>
                </w:tcPr>
                <w:p>
                  <w:pPr>
                    <w:spacing w:line="320" w:lineRule="exact"/>
                    <w:ind w:left="-110" w:leftChars="-50" w:right="-110" w:rightChars="-5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lang w:val="en-US" w:eastAsia="zh-CN" w:bidi="ar"/>
                    </w:rPr>
                    <w:t>废塑料</w:t>
                  </w:r>
                </w:p>
              </w:tc>
              <w:tc>
                <w:tcPr>
                  <w:tcW w:w="617"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0.05</w:t>
                  </w:r>
                </w:p>
              </w:tc>
              <w:tc>
                <w:tcPr>
                  <w:tcW w:w="473"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350"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911" w:type="pct"/>
                  <w:vMerge w:val="continue"/>
                  <w:vAlign w:val="center"/>
                </w:tcPr>
                <w:p>
                  <w:pPr>
                    <w:spacing w:line="320" w:lineRule="exact"/>
                    <w:jc w:val="left"/>
                    <w:rPr>
                      <w:rFonts w:hint="default" w:ascii="Times New Roman" w:hAnsi="Times New Roman"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 w:type="pct"/>
                  <w:vAlign w:val="center"/>
                </w:tcPr>
                <w:p>
                  <w:pPr>
                    <w:spacing w:line="320" w:lineRule="exact"/>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3</w:t>
                  </w:r>
                </w:p>
              </w:tc>
              <w:tc>
                <w:tcPr>
                  <w:tcW w:w="808" w:type="pct"/>
                  <w:vAlign w:val="center"/>
                </w:tcPr>
                <w:p>
                  <w:pPr>
                    <w:spacing w:line="320" w:lineRule="exact"/>
                    <w:ind w:left="-110" w:leftChars="-50" w:right="-110" w:rightChars="-5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不合格产品</w:t>
                  </w:r>
                </w:p>
              </w:tc>
              <w:tc>
                <w:tcPr>
                  <w:tcW w:w="583"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质检</w:t>
                  </w:r>
                </w:p>
              </w:tc>
              <w:tc>
                <w:tcPr>
                  <w:tcW w:w="452"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固态</w:t>
                  </w:r>
                </w:p>
              </w:tc>
              <w:tc>
                <w:tcPr>
                  <w:tcW w:w="579"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lang w:val="en-US" w:eastAsia="zh-CN" w:bidi="ar"/>
                    </w:rPr>
                    <w:t>废塑料</w:t>
                  </w:r>
                </w:p>
              </w:tc>
              <w:tc>
                <w:tcPr>
                  <w:tcW w:w="617"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0.02</w:t>
                  </w:r>
                </w:p>
              </w:tc>
              <w:tc>
                <w:tcPr>
                  <w:tcW w:w="473"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350"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911" w:type="pct"/>
                  <w:vMerge w:val="continue"/>
                  <w:vAlign w:val="center"/>
                </w:tcPr>
                <w:p>
                  <w:pPr>
                    <w:spacing w:line="320" w:lineRule="exact"/>
                    <w:jc w:val="left"/>
                    <w:rPr>
                      <w:rFonts w:hint="default" w:ascii="Times New Roman" w:hAnsi="Times New Roman"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221"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w:t>
                  </w:r>
                </w:p>
              </w:tc>
              <w:tc>
                <w:tcPr>
                  <w:tcW w:w="808" w:type="pct"/>
                  <w:vAlign w:val="center"/>
                </w:tcPr>
                <w:p>
                  <w:pPr>
                    <w:spacing w:line="320" w:lineRule="exact"/>
                    <w:ind w:left="-110" w:leftChars="-50" w:right="-110" w:rightChars="-5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废</w:t>
                  </w:r>
                  <w:r>
                    <w:rPr>
                      <w:rFonts w:hint="default" w:ascii="Times New Roman" w:hAnsi="Times New Roman" w:cs="Times New Roman"/>
                      <w:color w:val="000000"/>
                      <w:sz w:val="21"/>
                      <w:szCs w:val="21"/>
                      <w:lang w:val="en-US" w:eastAsia="zh-CN"/>
                    </w:rPr>
                    <w:t>水性油墨桶</w:t>
                  </w:r>
                </w:p>
              </w:tc>
              <w:tc>
                <w:tcPr>
                  <w:tcW w:w="583"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印刷</w:t>
                  </w:r>
                </w:p>
              </w:tc>
              <w:tc>
                <w:tcPr>
                  <w:tcW w:w="452"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固态</w:t>
                  </w:r>
                </w:p>
              </w:tc>
              <w:tc>
                <w:tcPr>
                  <w:tcW w:w="579"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lang w:val="en-US" w:eastAsia="zh-CN" w:bidi="ar"/>
                    </w:rPr>
                    <w:t>废塑料</w:t>
                  </w:r>
                  <w:r>
                    <w:rPr>
                      <w:rFonts w:hint="default" w:ascii="Times New Roman" w:hAnsi="Times New Roman" w:cs="Times New Roman"/>
                      <w:color w:val="000000"/>
                      <w:kern w:val="0"/>
                      <w:sz w:val="21"/>
                      <w:szCs w:val="21"/>
                      <w:lang w:val="en-US" w:eastAsia="zh-CN" w:bidi="ar"/>
                    </w:rPr>
                    <w:t>桶</w:t>
                  </w:r>
                </w:p>
              </w:tc>
              <w:tc>
                <w:tcPr>
                  <w:tcW w:w="617"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0.7</w:t>
                  </w:r>
                </w:p>
              </w:tc>
              <w:tc>
                <w:tcPr>
                  <w:tcW w:w="473"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350"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911" w:type="pct"/>
                  <w:vMerge w:val="continue"/>
                  <w:vAlign w:val="center"/>
                </w:tcPr>
                <w:p>
                  <w:pPr>
                    <w:spacing w:line="320" w:lineRule="exact"/>
                    <w:jc w:val="left"/>
                    <w:rPr>
                      <w:rFonts w:hint="default" w:ascii="Times New Roman" w:hAnsi="Times New Roman"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w:t>
                  </w:r>
                </w:p>
              </w:tc>
              <w:tc>
                <w:tcPr>
                  <w:tcW w:w="808" w:type="pct"/>
                  <w:vAlign w:val="center"/>
                </w:tcPr>
                <w:p>
                  <w:pPr>
                    <w:spacing w:line="320" w:lineRule="exact"/>
                    <w:ind w:left="-110" w:leftChars="-50" w:right="-110" w:rightChars="-5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废活性炭</w:t>
                  </w:r>
                </w:p>
              </w:tc>
              <w:tc>
                <w:tcPr>
                  <w:tcW w:w="583"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废气处理</w:t>
                  </w:r>
                </w:p>
              </w:tc>
              <w:tc>
                <w:tcPr>
                  <w:tcW w:w="452"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固态</w:t>
                  </w:r>
                </w:p>
              </w:tc>
              <w:tc>
                <w:tcPr>
                  <w:tcW w:w="579" w:type="pct"/>
                  <w:vAlign w:val="center"/>
                </w:tcPr>
                <w:p>
                  <w:pPr>
                    <w:keepNext w:val="0"/>
                    <w:keepLines w:val="0"/>
                    <w:widowControl/>
                    <w:suppressLineNumbers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lang w:val="en-US" w:eastAsia="zh-CN" w:bidi="ar"/>
                    </w:rPr>
                    <w:t>含有机物炭</w:t>
                  </w:r>
                </w:p>
              </w:tc>
              <w:tc>
                <w:tcPr>
                  <w:tcW w:w="617" w:type="pct"/>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2.268</w:t>
                  </w:r>
                </w:p>
              </w:tc>
              <w:tc>
                <w:tcPr>
                  <w:tcW w:w="473"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350" w:type="pct"/>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911" w:type="pct"/>
                  <w:vMerge w:val="continue"/>
                  <w:vAlign w:val="center"/>
                </w:tcPr>
                <w:p>
                  <w:pPr>
                    <w:spacing w:line="320" w:lineRule="exact"/>
                    <w:jc w:val="left"/>
                    <w:rPr>
                      <w:rFonts w:hint="default" w:ascii="Times New Roman" w:hAnsi="Times New Roman" w:cs="Times New Roman"/>
                      <w:color w:val="000000"/>
                      <w:sz w:val="21"/>
                      <w:szCs w:val="21"/>
                    </w:rPr>
                  </w:pPr>
                </w:p>
              </w:tc>
            </w:tr>
          </w:tbl>
          <w:p>
            <w:pPr>
              <w:pStyle w:val="32"/>
              <w:keepNext w:val="0"/>
              <w:keepLines w:val="0"/>
              <w:pageBreakBefore w:val="0"/>
              <w:widowControl w:val="0"/>
              <w:kinsoku/>
              <w:wordWrap/>
              <w:overflowPunct/>
              <w:topLinePunct w:val="0"/>
              <w:autoSpaceDE w:val="0"/>
              <w:autoSpaceDN w:val="0"/>
              <w:bidi w:val="0"/>
              <w:adjustRightInd w:val="0"/>
              <w:snapToGrid/>
              <w:spacing w:line="460" w:lineRule="exact"/>
              <w:ind w:firstLine="480" w:firstLineChars="200"/>
              <w:jc w:val="both"/>
              <w:textAlignment w:val="auto"/>
              <w:rPr>
                <w:rFonts w:hint="default" w:ascii="Times New Roman" w:hAnsi="Times New Roman" w:eastAsia="宋体" w:cs="Times New Roman"/>
                <w:color w:val="auto"/>
                <w:sz w:val="24"/>
                <w:szCs w:val="28"/>
                <w:lang w:val="en-US" w:eastAsia="en-US"/>
              </w:rPr>
            </w:pPr>
            <w:r>
              <w:rPr>
                <w:rFonts w:hint="default" w:ascii="Times New Roman" w:hAnsi="Times New Roman" w:eastAsia="宋体" w:cs="Times New Roman"/>
                <w:color w:val="auto"/>
                <w:sz w:val="24"/>
                <w:szCs w:val="28"/>
                <w:lang w:val="en-US" w:eastAsia="en-US"/>
              </w:rPr>
              <w:t>根据《国家危险废物名录》（2021年版）以及《危险废物鉴别标准 通则》</w:t>
            </w:r>
            <w:r>
              <w:rPr>
                <w:rFonts w:hint="default" w:ascii="Times New Roman" w:hAnsi="Times New Roman" w:eastAsia="宋体" w:cs="Times New Roman"/>
                <w:color w:val="auto"/>
                <w:sz w:val="24"/>
                <w:szCs w:val="28"/>
                <w:lang w:val="en-US" w:eastAsia="zh-CN"/>
              </w:rPr>
              <w:t>（</w:t>
            </w:r>
            <w:r>
              <w:rPr>
                <w:rFonts w:hint="default" w:ascii="Times New Roman" w:hAnsi="Times New Roman" w:eastAsia="宋体" w:cs="Times New Roman"/>
                <w:color w:val="auto"/>
                <w:sz w:val="24"/>
                <w:szCs w:val="28"/>
                <w:lang w:val="en-US" w:eastAsia="en-US"/>
              </w:rPr>
              <w:t>GB5085.7-2019</w:t>
            </w:r>
            <w:r>
              <w:rPr>
                <w:rFonts w:hint="default" w:ascii="Times New Roman" w:hAnsi="Times New Roman" w:eastAsia="宋体" w:cs="Times New Roman"/>
                <w:color w:val="auto"/>
                <w:sz w:val="24"/>
                <w:szCs w:val="28"/>
                <w:lang w:val="en-US" w:eastAsia="zh-CN"/>
              </w:rPr>
              <w:t>）</w:t>
            </w:r>
            <w:r>
              <w:rPr>
                <w:rFonts w:hint="default" w:ascii="Times New Roman" w:hAnsi="Times New Roman" w:eastAsia="宋体" w:cs="Times New Roman"/>
                <w:color w:val="auto"/>
                <w:sz w:val="24"/>
                <w:szCs w:val="28"/>
                <w:lang w:val="en-US" w:eastAsia="en-US"/>
              </w:rPr>
              <w:t>，判定</w:t>
            </w:r>
            <w:r>
              <w:rPr>
                <w:rFonts w:hint="default" w:ascii="Times New Roman" w:hAnsi="Times New Roman" w:eastAsia="宋体" w:cs="Times New Roman"/>
                <w:color w:val="auto"/>
                <w:sz w:val="24"/>
                <w:szCs w:val="28"/>
                <w:lang w:val="en-US" w:eastAsia="zh-CN"/>
              </w:rPr>
              <w:t>本</w:t>
            </w:r>
            <w:r>
              <w:rPr>
                <w:rFonts w:hint="default" w:ascii="Times New Roman" w:hAnsi="Times New Roman" w:eastAsia="宋体" w:cs="Times New Roman"/>
                <w:color w:val="auto"/>
                <w:sz w:val="24"/>
                <w:szCs w:val="28"/>
                <w:lang w:val="en-US" w:eastAsia="en-US"/>
              </w:rPr>
              <w:t>项目</w:t>
            </w:r>
            <w:r>
              <w:rPr>
                <w:rFonts w:hint="default" w:ascii="Times New Roman" w:hAnsi="Times New Roman" w:eastAsia="宋体" w:cs="Times New Roman"/>
                <w:color w:val="auto"/>
                <w:sz w:val="24"/>
                <w:szCs w:val="28"/>
                <w:lang w:val="en-US" w:eastAsia="zh-CN"/>
              </w:rPr>
              <w:t>产生的</w:t>
            </w:r>
            <w:r>
              <w:rPr>
                <w:rFonts w:hint="default" w:ascii="Times New Roman" w:hAnsi="Times New Roman" w:eastAsia="宋体" w:cs="Times New Roman"/>
                <w:color w:val="auto"/>
                <w:sz w:val="24"/>
                <w:szCs w:val="28"/>
                <w:lang w:val="en-US" w:eastAsia="en-US"/>
              </w:rPr>
              <w:t>固体废物</w:t>
            </w:r>
            <w:r>
              <w:rPr>
                <w:rFonts w:hint="default" w:ascii="Times New Roman" w:hAnsi="Times New Roman" w:eastAsia="宋体" w:cs="Times New Roman"/>
                <w:color w:val="auto"/>
                <w:sz w:val="24"/>
                <w:szCs w:val="28"/>
                <w:lang w:val="en-US" w:eastAsia="zh-CN"/>
              </w:rPr>
              <w:t>属性结果如</w:t>
            </w:r>
            <w:r>
              <w:rPr>
                <w:rFonts w:hint="default" w:ascii="Times New Roman" w:hAnsi="Times New Roman" w:eastAsia="宋体" w:cs="Times New Roman"/>
                <w:color w:val="auto"/>
                <w:sz w:val="24"/>
                <w:szCs w:val="28"/>
                <w:lang w:val="en-US" w:eastAsia="en-US"/>
              </w:rPr>
              <w:t>表4-</w:t>
            </w:r>
            <w:r>
              <w:rPr>
                <w:rFonts w:hint="eastAsia" w:ascii="Times New Roman" w:hAnsi="Times New Roman" w:cs="Times New Roman"/>
                <w:color w:val="auto"/>
                <w:sz w:val="24"/>
                <w:szCs w:val="28"/>
                <w:lang w:val="en-US" w:eastAsia="zh-CN"/>
              </w:rPr>
              <w:t>14</w:t>
            </w:r>
            <w:r>
              <w:rPr>
                <w:rFonts w:hint="default" w:ascii="Times New Roman" w:hAnsi="Times New Roman" w:eastAsia="宋体" w:cs="Times New Roman"/>
                <w:color w:val="auto"/>
                <w:sz w:val="24"/>
                <w:szCs w:val="28"/>
                <w:lang w:val="en-US" w:eastAsia="en-US"/>
              </w:rPr>
              <w:t>。</w:t>
            </w:r>
          </w:p>
          <w:p>
            <w:pPr>
              <w:tabs>
                <w:tab w:val="left" w:pos="5142"/>
              </w:tabs>
              <w:snapToGrid w:val="0"/>
              <w:spacing w:line="460" w:lineRule="exact"/>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表4-</w:t>
            </w:r>
            <w:r>
              <w:rPr>
                <w:rFonts w:hint="eastAsia" w:ascii="Times New Roman" w:hAnsi="Times New Roman" w:cs="Times New Roman"/>
                <w:b/>
                <w:bCs/>
                <w:sz w:val="21"/>
                <w:szCs w:val="21"/>
                <w:lang w:val="en-US" w:eastAsia="zh-CN"/>
              </w:rPr>
              <w:t>14</w:t>
            </w:r>
            <w:r>
              <w:rPr>
                <w:rFonts w:hint="default" w:ascii="Times New Roman" w:hAnsi="Times New Roman" w:eastAsia="宋体" w:cs="Times New Roman"/>
                <w:b/>
                <w:bCs/>
                <w:sz w:val="21"/>
                <w:szCs w:val="21"/>
                <w:lang w:val="en-US" w:eastAsia="zh-CN"/>
              </w:rPr>
              <w:t xml:space="preserve">  项目危险废物属性判定表</w:t>
            </w:r>
          </w:p>
          <w:tbl>
            <w:tblPr>
              <w:tblStyle w:val="23"/>
              <w:tblW w:w="8238"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14"/>
              <w:gridCol w:w="1770"/>
              <w:gridCol w:w="1350"/>
              <w:gridCol w:w="2340"/>
              <w:gridCol w:w="206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68" w:hRule="atLeast"/>
                <w:jc w:val="center"/>
              </w:trPr>
              <w:tc>
                <w:tcPr>
                  <w:tcW w:w="714" w:type="dxa"/>
                  <w:tcBorders>
                    <w:tl2br w:val="nil"/>
                    <w:tr2bl w:val="nil"/>
                  </w:tcBorders>
                  <w:noWrap w:val="0"/>
                  <w:vAlign w:val="center"/>
                </w:tcPr>
                <w:p>
                  <w:pPr>
                    <w:widowControl/>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序号</w:t>
                  </w:r>
                </w:p>
              </w:tc>
              <w:tc>
                <w:tcPr>
                  <w:tcW w:w="1770" w:type="dxa"/>
                  <w:tcBorders>
                    <w:tl2br w:val="nil"/>
                    <w:tr2bl w:val="nil"/>
                  </w:tcBorders>
                  <w:noWrap w:val="0"/>
                  <w:vAlign w:val="center"/>
                </w:tcPr>
                <w:p>
                  <w:pPr>
                    <w:widowControl/>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固态废物名称</w:t>
                  </w:r>
                </w:p>
              </w:tc>
              <w:tc>
                <w:tcPr>
                  <w:tcW w:w="1350" w:type="dxa"/>
                  <w:tcBorders>
                    <w:tl2br w:val="nil"/>
                    <w:tr2bl w:val="nil"/>
                  </w:tcBorders>
                  <w:noWrap w:val="0"/>
                  <w:vAlign w:val="center"/>
                </w:tcPr>
                <w:p>
                  <w:pPr>
                    <w:widowControl/>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产生工序</w:t>
                  </w:r>
                </w:p>
              </w:tc>
              <w:tc>
                <w:tcPr>
                  <w:tcW w:w="2340" w:type="dxa"/>
                  <w:tcBorders>
                    <w:tl2br w:val="nil"/>
                    <w:tr2bl w:val="nil"/>
                  </w:tcBorders>
                  <w:noWrap w:val="0"/>
                  <w:vAlign w:val="center"/>
                </w:tcPr>
                <w:p>
                  <w:pPr>
                    <w:widowControl/>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是否属于危废</w:t>
                  </w:r>
                </w:p>
              </w:tc>
              <w:tc>
                <w:tcPr>
                  <w:tcW w:w="2064" w:type="dxa"/>
                  <w:tcBorders>
                    <w:tl2br w:val="nil"/>
                    <w:tr2bl w:val="nil"/>
                  </w:tcBorders>
                  <w:noWrap w:val="0"/>
                  <w:vAlign w:val="center"/>
                </w:tcPr>
                <w:p>
                  <w:pPr>
                    <w:widowControl/>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危废代码</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4" w:hRule="atLeast"/>
                <w:jc w:val="center"/>
              </w:trPr>
              <w:tc>
                <w:tcPr>
                  <w:tcW w:w="714"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000000"/>
                      <w:sz w:val="21"/>
                      <w:szCs w:val="21"/>
                    </w:rPr>
                    <w:t>1</w:t>
                  </w:r>
                </w:p>
              </w:tc>
              <w:tc>
                <w:tcPr>
                  <w:tcW w:w="1770"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sz w:val="21"/>
                      <w:szCs w:val="21"/>
                      <w:lang w:val="en-US" w:eastAsia="zh-CN"/>
                    </w:rPr>
                    <w:t>废</w:t>
                  </w:r>
                  <w:r>
                    <w:rPr>
                      <w:rFonts w:hint="default" w:ascii="Times New Roman" w:hAnsi="Times New Roman" w:cs="Times New Roman"/>
                      <w:color w:val="000000"/>
                      <w:sz w:val="21"/>
                      <w:szCs w:val="21"/>
                      <w:lang w:val="en-US" w:eastAsia="zh-CN"/>
                    </w:rPr>
                    <w:t>包装物</w:t>
                  </w:r>
                </w:p>
              </w:tc>
              <w:tc>
                <w:tcPr>
                  <w:tcW w:w="1350"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000000"/>
                      <w:sz w:val="21"/>
                      <w:szCs w:val="21"/>
                      <w:lang w:val="en-US" w:eastAsia="zh-CN"/>
                    </w:rPr>
                    <w:t>原料包装</w:t>
                  </w:r>
                </w:p>
              </w:tc>
              <w:tc>
                <w:tcPr>
                  <w:tcW w:w="2340" w:type="dxa"/>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否，属于一般工业固废</w:t>
                  </w:r>
                </w:p>
              </w:tc>
              <w:tc>
                <w:tcPr>
                  <w:tcW w:w="2064" w:type="dxa"/>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4" w:hRule="atLeast"/>
                <w:jc w:val="center"/>
              </w:trPr>
              <w:tc>
                <w:tcPr>
                  <w:tcW w:w="714"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sz w:val="21"/>
                      <w:szCs w:val="21"/>
                      <w:lang w:val="en-US" w:eastAsia="zh-CN"/>
                    </w:rPr>
                    <w:t>2</w:t>
                  </w:r>
                </w:p>
              </w:tc>
              <w:tc>
                <w:tcPr>
                  <w:tcW w:w="1770"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000000"/>
                      <w:sz w:val="21"/>
                      <w:szCs w:val="21"/>
                      <w:lang w:val="en-US" w:eastAsia="zh-CN"/>
                    </w:rPr>
                    <w:t>废边角料</w:t>
                  </w:r>
                </w:p>
              </w:tc>
              <w:tc>
                <w:tcPr>
                  <w:tcW w:w="1350"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000000"/>
                      <w:sz w:val="21"/>
                      <w:szCs w:val="21"/>
                      <w:lang w:val="en-US" w:eastAsia="zh-CN"/>
                    </w:rPr>
                    <w:t>裁剪</w:t>
                  </w:r>
                </w:p>
              </w:tc>
              <w:tc>
                <w:tcPr>
                  <w:tcW w:w="2340" w:type="dxa"/>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否，属于一般工业固废</w:t>
                  </w:r>
                </w:p>
              </w:tc>
              <w:tc>
                <w:tcPr>
                  <w:tcW w:w="2064" w:type="dxa"/>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9" w:hRule="atLeast"/>
                <w:jc w:val="center"/>
              </w:trPr>
              <w:tc>
                <w:tcPr>
                  <w:tcW w:w="714"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sz w:val="21"/>
                      <w:szCs w:val="21"/>
                      <w:lang w:val="en-US" w:eastAsia="zh-CN"/>
                    </w:rPr>
                    <w:t>3</w:t>
                  </w:r>
                </w:p>
              </w:tc>
              <w:tc>
                <w:tcPr>
                  <w:tcW w:w="1770" w:type="dxa"/>
                  <w:tcBorders>
                    <w:tl2br w:val="nil"/>
                    <w:tr2bl w:val="nil"/>
                  </w:tcBorders>
                  <w:noWrap w:val="0"/>
                  <w:vAlign w:val="center"/>
                </w:tcPr>
                <w:p>
                  <w:pPr>
                    <w:spacing w:line="320" w:lineRule="exact"/>
                    <w:ind w:left="-110" w:leftChars="-50" w:right="-110" w:rightChars="-5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000000"/>
                      <w:sz w:val="21"/>
                      <w:szCs w:val="21"/>
                      <w:lang w:val="en-US" w:eastAsia="zh-CN"/>
                    </w:rPr>
                    <w:t>不合格产品</w:t>
                  </w:r>
                </w:p>
              </w:tc>
              <w:tc>
                <w:tcPr>
                  <w:tcW w:w="1350"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质检</w:t>
                  </w:r>
                </w:p>
              </w:tc>
              <w:tc>
                <w:tcPr>
                  <w:tcW w:w="2340" w:type="dxa"/>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否，属于一般工业固废</w:t>
                  </w:r>
                </w:p>
              </w:tc>
              <w:tc>
                <w:tcPr>
                  <w:tcW w:w="2064" w:type="dxa"/>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9" w:hRule="atLeast"/>
                <w:jc w:val="center"/>
              </w:trPr>
              <w:tc>
                <w:tcPr>
                  <w:tcW w:w="714"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w:t>
                  </w:r>
                </w:p>
              </w:tc>
              <w:tc>
                <w:tcPr>
                  <w:tcW w:w="1770" w:type="dxa"/>
                  <w:tcBorders>
                    <w:tl2br w:val="nil"/>
                    <w:tr2bl w:val="nil"/>
                  </w:tcBorders>
                  <w:noWrap w:val="0"/>
                  <w:vAlign w:val="center"/>
                </w:tcPr>
                <w:p>
                  <w:pPr>
                    <w:spacing w:line="320" w:lineRule="exact"/>
                    <w:ind w:left="-110" w:leftChars="-50" w:right="-110" w:rightChars="-5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废</w:t>
                  </w:r>
                  <w:r>
                    <w:rPr>
                      <w:rFonts w:hint="default" w:ascii="Times New Roman" w:hAnsi="Times New Roman" w:cs="Times New Roman"/>
                      <w:color w:val="000000"/>
                      <w:sz w:val="21"/>
                      <w:szCs w:val="21"/>
                      <w:lang w:val="en-US" w:eastAsia="zh-CN"/>
                    </w:rPr>
                    <w:t>水性油墨桶</w:t>
                  </w:r>
                </w:p>
              </w:tc>
              <w:tc>
                <w:tcPr>
                  <w:tcW w:w="1350"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印刷</w:t>
                  </w:r>
                </w:p>
              </w:tc>
              <w:tc>
                <w:tcPr>
                  <w:tcW w:w="2340" w:type="dxa"/>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是</w:t>
                  </w:r>
                </w:p>
              </w:tc>
              <w:tc>
                <w:tcPr>
                  <w:tcW w:w="2064" w:type="dxa"/>
                  <w:tcBorders>
                    <w:tl2br w:val="nil"/>
                    <w:tr2bl w:val="nil"/>
                  </w:tcBorders>
                  <w:noWrap w:val="0"/>
                  <w:vAlign w:val="center"/>
                </w:tcPr>
                <w:p>
                  <w:pPr>
                    <w:widowControl/>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HW49 </w:t>
                  </w:r>
                  <w:r>
                    <w:rPr>
                      <w:rFonts w:hint="default" w:ascii="Times New Roman" w:hAnsi="Times New Roman" w:cs="Times New Roman"/>
                      <w:color w:val="auto"/>
                      <w:sz w:val="21"/>
                      <w:szCs w:val="21"/>
                      <w:lang w:val="en-US" w:eastAsia="zh-CN"/>
                    </w:rPr>
                    <w:t xml:space="preserve"> </w:t>
                  </w:r>
                  <w:r>
                    <w:rPr>
                      <w:rFonts w:hint="default" w:ascii="Times New Roman" w:hAnsi="Times New Roman" w:eastAsia="宋体" w:cs="Times New Roman"/>
                      <w:color w:val="auto"/>
                      <w:sz w:val="21"/>
                      <w:szCs w:val="21"/>
                      <w:lang w:val="en-US" w:eastAsia="zh-CN"/>
                    </w:rPr>
                    <w:t xml:space="preserve">900-041-49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19" w:hRule="atLeast"/>
                <w:jc w:val="center"/>
              </w:trPr>
              <w:tc>
                <w:tcPr>
                  <w:tcW w:w="714"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w:t>
                  </w:r>
                </w:p>
              </w:tc>
              <w:tc>
                <w:tcPr>
                  <w:tcW w:w="1770" w:type="dxa"/>
                  <w:tcBorders>
                    <w:tl2br w:val="nil"/>
                    <w:tr2bl w:val="nil"/>
                  </w:tcBorders>
                  <w:noWrap w:val="0"/>
                  <w:vAlign w:val="center"/>
                </w:tcPr>
                <w:p>
                  <w:pPr>
                    <w:spacing w:line="320" w:lineRule="exact"/>
                    <w:ind w:left="-110" w:leftChars="-50" w:right="-110" w:rightChars="-5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废活性炭</w:t>
                  </w:r>
                </w:p>
              </w:tc>
              <w:tc>
                <w:tcPr>
                  <w:tcW w:w="1350"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废气处理</w:t>
                  </w:r>
                </w:p>
              </w:tc>
              <w:tc>
                <w:tcPr>
                  <w:tcW w:w="2340" w:type="dxa"/>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是</w:t>
                  </w:r>
                </w:p>
              </w:tc>
              <w:tc>
                <w:tcPr>
                  <w:tcW w:w="2064" w:type="dxa"/>
                  <w:tcBorders>
                    <w:tl2br w:val="nil"/>
                    <w:tr2bl w:val="nil"/>
                  </w:tcBorders>
                  <w:noWrap w:val="0"/>
                  <w:vAlign w:val="center"/>
                </w:tcPr>
                <w:p>
                  <w:pPr>
                    <w:widowControl/>
                    <w:jc w:val="both"/>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 xml:space="preserve">HW49 </w:t>
                  </w:r>
                  <w:r>
                    <w:rPr>
                      <w:rFonts w:hint="default" w:ascii="Times New Roman" w:hAnsi="Times New Roman" w:cs="Times New Roman"/>
                      <w:color w:val="auto"/>
                      <w:sz w:val="21"/>
                      <w:szCs w:val="21"/>
                      <w:lang w:val="en-US" w:eastAsia="zh-CN"/>
                    </w:rPr>
                    <w:t xml:space="preserve"> </w:t>
                  </w:r>
                  <w:r>
                    <w:rPr>
                      <w:rFonts w:hint="default" w:ascii="Times New Roman" w:hAnsi="Times New Roman" w:eastAsia="宋体" w:cs="Times New Roman"/>
                      <w:color w:val="auto"/>
                      <w:sz w:val="21"/>
                      <w:szCs w:val="21"/>
                      <w:lang w:val="en-US" w:eastAsia="zh-CN"/>
                    </w:rPr>
                    <w:t>900-0</w:t>
                  </w:r>
                  <w:r>
                    <w:rPr>
                      <w:rFonts w:hint="default" w:ascii="Times New Roman" w:hAnsi="Times New Roman" w:cs="Times New Roman"/>
                      <w:color w:val="auto"/>
                      <w:sz w:val="21"/>
                      <w:szCs w:val="21"/>
                      <w:lang w:val="en-US" w:eastAsia="zh-CN"/>
                    </w:rPr>
                    <w:t>39</w:t>
                  </w:r>
                  <w:r>
                    <w:rPr>
                      <w:rFonts w:hint="default" w:ascii="Times New Roman" w:hAnsi="Times New Roman" w:eastAsia="宋体" w:cs="Times New Roman"/>
                      <w:color w:val="auto"/>
                      <w:sz w:val="21"/>
                      <w:szCs w:val="21"/>
                      <w:lang w:val="en-US" w:eastAsia="zh-CN"/>
                    </w:rPr>
                    <w:t xml:space="preserve">-49 </w:t>
                  </w:r>
                </w:p>
              </w:tc>
            </w:tr>
          </w:tbl>
          <w:p>
            <w:pPr>
              <w:tabs>
                <w:tab w:val="left" w:pos="5142"/>
              </w:tabs>
              <w:snapToGrid w:val="0"/>
              <w:spacing w:line="460" w:lineRule="exact"/>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表4-</w:t>
            </w:r>
            <w:r>
              <w:rPr>
                <w:rFonts w:hint="eastAsia" w:ascii="Times New Roman" w:hAnsi="Times New Roman" w:cs="Times New Roman"/>
                <w:b/>
                <w:bCs/>
                <w:sz w:val="21"/>
                <w:szCs w:val="21"/>
                <w:lang w:val="en-US" w:eastAsia="zh-CN"/>
              </w:rPr>
              <w:t>15</w:t>
            </w:r>
            <w:r>
              <w:rPr>
                <w:rFonts w:hint="default" w:ascii="Times New Roman" w:hAnsi="Times New Roman" w:eastAsia="宋体" w:cs="Times New Roman"/>
                <w:b/>
                <w:bCs/>
                <w:sz w:val="21"/>
                <w:szCs w:val="21"/>
                <w:lang w:val="en-US" w:eastAsia="zh-CN"/>
              </w:rPr>
              <w:t xml:space="preserve">  项目固体废物分析结果汇总表</w:t>
            </w:r>
          </w:p>
          <w:tbl>
            <w:tblPr>
              <w:tblStyle w:val="23"/>
              <w:tblW w:w="8237"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96"/>
              <w:gridCol w:w="1294"/>
              <w:gridCol w:w="1114"/>
              <w:gridCol w:w="880"/>
              <w:gridCol w:w="1120"/>
              <w:gridCol w:w="910"/>
              <w:gridCol w:w="1350"/>
              <w:gridCol w:w="107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496" w:type="dxa"/>
                  <w:tcBorders>
                    <w:tl2br w:val="nil"/>
                    <w:tr2bl w:val="nil"/>
                  </w:tcBorders>
                  <w:noWrap w:val="0"/>
                  <w:vAlign w:val="center"/>
                </w:tcPr>
                <w:p>
                  <w:pPr>
                    <w:widowControl/>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序号</w:t>
                  </w:r>
                </w:p>
              </w:tc>
              <w:tc>
                <w:tcPr>
                  <w:tcW w:w="1294" w:type="dxa"/>
                  <w:tcBorders>
                    <w:tl2br w:val="nil"/>
                    <w:tr2bl w:val="nil"/>
                  </w:tcBorders>
                  <w:noWrap w:val="0"/>
                  <w:vAlign w:val="center"/>
                </w:tcPr>
                <w:p>
                  <w:pPr>
                    <w:widowControl/>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固废名称</w:t>
                  </w:r>
                </w:p>
              </w:tc>
              <w:tc>
                <w:tcPr>
                  <w:tcW w:w="1114" w:type="dxa"/>
                  <w:tcBorders>
                    <w:tl2br w:val="nil"/>
                    <w:tr2bl w:val="nil"/>
                  </w:tcBorders>
                  <w:noWrap w:val="0"/>
                  <w:vAlign w:val="center"/>
                </w:tcPr>
                <w:p>
                  <w:pPr>
                    <w:widowControl/>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产生工序</w:t>
                  </w:r>
                </w:p>
              </w:tc>
              <w:tc>
                <w:tcPr>
                  <w:tcW w:w="880" w:type="dxa"/>
                  <w:tcBorders>
                    <w:tl2br w:val="nil"/>
                    <w:tr2bl w:val="nil"/>
                  </w:tcBorders>
                  <w:noWrap w:val="0"/>
                  <w:vAlign w:val="center"/>
                </w:tcPr>
                <w:p>
                  <w:pPr>
                    <w:widowControl/>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形态</w:t>
                  </w:r>
                </w:p>
              </w:tc>
              <w:tc>
                <w:tcPr>
                  <w:tcW w:w="1120" w:type="dxa"/>
                  <w:tcBorders>
                    <w:tl2br w:val="nil"/>
                    <w:tr2bl w:val="nil"/>
                  </w:tcBorders>
                  <w:noWrap w:val="0"/>
                  <w:vAlign w:val="center"/>
                </w:tcPr>
                <w:p>
                  <w:pPr>
                    <w:widowControl/>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主要成分</w:t>
                  </w:r>
                </w:p>
              </w:tc>
              <w:tc>
                <w:tcPr>
                  <w:tcW w:w="910" w:type="dxa"/>
                  <w:tcBorders>
                    <w:tl2br w:val="nil"/>
                    <w:tr2bl w:val="nil"/>
                  </w:tcBorders>
                  <w:noWrap w:val="0"/>
                  <w:vAlign w:val="center"/>
                </w:tcPr>
                <w:p>
                  <w:pPr>
                    <w:widowControl/>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属性</w:t>
                  </w:r>
                </w:p>
              </w:tc>
              <w:tc>
                <w:tcPr>
                  <w:tcW w:w="1350" w:type="dxa"/>
                  <w:tcBorders>
                    <w:tl2br w:val="nil"/>
                    <w:tr2bl w:val="nil"/>
                  </w:tcBorders>
                  <w:noWrap w:val="0"/>
                  <w:vAlign w:val="center"/>
                </w:tcPr>
                <w:p>
                  <w:pPr>
                    <w:widowControl/>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固废代码</w:t>
                  </w:r>
                </w:p>
              </w:tc>
              <w:tc>
                <w:tcPr>
                  <w:tcW w:w="1073" w:type="dxa"/>
                  <w:tcBorders>
                    <w:tl2br w:val="nil"/>
                    <w:tr2bl w:val="nil"/>
                  </w:tcBorders>
                  <w:noWrap w:val="0"/>
                  <w:vAlign w:val="center"/>
                </w:tcPr>
                <w:p>
                  <w:pPr>
                    <w:widowControl/>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预计产生量（</w:t>
                  </w:r>
                  <w:r>
                    <w:rPr>
                      <w:rFonts w:hint="default" w:ascii="Times New Roman" w:hAnsi="Times New Roman" w:cs="Times New Roman"/>
                      <w:b/>
                      <w:bCs/>
                      <w:color w:val="auto"/>
                      <w:sz w:val="21"/>
                      <w:szCs w:val="21"/>
                      <w:lang w:val="en-US" w:eastAsia="zh-CN"/>
                    </w:rPr>
                    <w:t>t</w:t>
                  </w:r>
                  <w:r>
                    <w:rPr>
                      <w:rFonts w:hint="default" w:ascii="Times New Roman" w:hAnsi="Times New Roman" w:eastAsia="宋体" w:cs="Times New Roman"/>
                      <w:b/>
                      <w:bCs/>
                      <w:color w:val="auto"/>
                      <w:sz w:val="21"/>
                      <w:szCs w:val="21"/>
                      <w:lang w:val="en-US" w:eastAsia="zh-CN"/>
                    </w:rPr>
                    <w:t>/</w:t>
                  </w:r>
                  <w:r>
                    <w:rPr>
                      <w:rFonts w:hint="default" w:ascii="Times New Roman" w:hAnsi="Times New Roman" w:cs="Times New Roman"/>
                      <w:b/>
                      <w:bCs/>
                      <w:color w:val="auto"/>
                      <w:sz w:val="21"/>
                      <w:szCs w:val="21"/>
                      <w:lang w:val="en-US" w:eastAsia="zh-CN"/>
                    </w:rPr>
                    <w:t>a</w:t>
                  </w:r>
                  <w:r>
                    <w:rPr>
                      <w:rFonts w:hint="default" w:ascii="Times New Roman" w:hAnsi="Times New Roman" w:eastAsia="宋体" w:cs="Times New Roman"/>
                      <w:b/>
                      <w:bCs/>
                      <w:color w:val="auto"/>
                      <w:sz w:val="21"/>
                      <w:szCs w:val="21"/>
                      <w:lang w:val="en-US" w:eastAsia="zh-CN"/>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496"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000000"/>
                      <w:sz w:val="21"/>
                      <w:szCs w:val="21"/>
                    </w:rPr>
                    <w:t>1</w:t>
                  </w:r>
                </w:p>
              </w:tc>
              <w:tc>
                <w:tcPr>
                  <w:tcW w:w="1294"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sz w:val="21"/>
                      <w:szCs w:val="21"/>
                      <w:lang w:val="en-US" w:eastAsia="zh-CN"/>
                    </w:rPr>
                    <w:t>废</w:t>
                  </w:r>
                  <w:r>
                    <w:rPr>
                      <w:rFonts w:hint="default" w:ascii="Times New Roman" w:hAnsi="Times New Roman" w:cs="Times New Roman"/>
                      <w:color w:val="000000"/>
                      <w:sz w:val="21"/>
                      <w:szCs w:val="21"/>
                      <w:lang w:val="en-US" w:eastAsia="zh-CN"/>
                    </w:rPr>
                    <w:t>包装物</w:t>
                  </w:r>
                </w:p>
              </w:tc>
              <w:tc>
                <w:tcPr>
                  <w:tcW w:w="1114"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000000"/>
                      <w:sz w:val="21"/>
                      <w:szCs w:val="21"/>
                      <w:lang w:val="en-US" w:eastAsia="zh-CN"/>
                    </w:rPr>
                    <w:t>原料包装</w:t>
                  </w:r>
                </w:p>
              </w:tc>
              <w:tc>
                <w:tcPr>
                  <w:tcW w:w="880"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000000"/>
                      <w:sz w:val="21"/>
                      <w:szCs w:val="21"/>
                    </w:rPr>
                    <w:t>固态</w:t>
                  </w:r>
                </w:p>
              </w:tc>
              <w:tc>
                <w:tcPr>
                  <w:tcW w:w="1120" w:type="dxa"/>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kern w:val="0"/>
                      <w:sz w:val="21"/>
                      <w:szCs w:val="21"/>
                      <w:lang w:val="en-US" w:eastAsia="zh-CN" w:bidi="ar"/>
                    </w:rPr>
                    <w:t>废塑料</w:t>
                  </w:r>
                </w:p>
              </w:tc>
              <w:tc>
                <w:tcPr>
                  <w:tcW w:w="910" w:type="dxa"/>
                  <w:vMerge w:val="restart"/>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一般工业固废</w:t>
                  </w:r>
                </w:p>
              </w:tc>
              <w:tc>
                <w:tcPr>
                  <w:tcW w:w="1350" w:type="dxa"/>
                  <w:tcBorders>
                    <w:tl2br w:val="nil"/>
                    <w:tr2bl w:val="nil"/>
                  </w:tcBorders>
                  <w:noWrap w:val="0"/>
                  <w:vAlign w:val="center"/>
                </w:tcPr>
                <w:p>
                  <w:pPr>
                    <w:spacing w:line="320" w:lineRule="exact"/>
                    <w:ind w:left="-110" w:leftChars="-50" w:right="-110" w:rightChars="-5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292</w:t>
                  </w:r>
                  <w:r>
                    <w:rPr>
                      <w:rFonts w:hint="default" w:ascii="Times New Roman" w:hAnsi="Times New Roman" w:eastAsia="宋体" w:cs="Times New Roman"/>
                      <w:color w:val="000000"/>
                      <w:sz w:val="21"/>
                      <w:szCs w:val="21"/>
                      <w:lang w:val="en-US" w:eastAsia="zh-CN"/>
                    </w:rPr>
                    <w:t xml:space="preserve">-009-99 </w:t>
                  </w:r>
                </w:p>
              </w:tc>
              <w:tc>
                <w:tcPr>
                  <w:tcW w:w="1073" w:type="dxa"/>
                  <w:tcBorders>
                    <w:tl2br w:val="nil"/>
                    <w:tr2bl w:val="nil"/>
                  </w:tcBorders>
                  <w:noWrap w:val="0"/>
                  <w:vAlign w:val="center"/>
                </w:tcPr>
                <w:p>
                  <w:pPr>
                    <w:spacing w:line="32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000000"/>
                      <w:sz w:val="21"/>
                      <w:szCs w:val="21"/>
                      <w:lang w:val="en-US" w:eastAsia="zh-CN"/>
                    </w:rPr>
                    <w:t>0.01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496"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sz w:val="21"/>
                      <w:szCs w:val="21"/>
                      <w:lang w:val="en-US" w:eastAsia="zh-CN"/>
                    </w:rPr>
                    <w:t>2</w:t>
                  </w:r>
                </w:p>
              </w:tc>
              <w:tc>
                <w:tcPr>
                  <w:tcW w:w="1294"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000000"/>
                      <w:sz w:val="21"/>
                      <w:szCs w:val="21"/>
                      <w:lang w:val="en-US" w:eastAsia="zh-CN"/>
                    </w:rPr>
                    <w:t>废边角料</w:t>
                  </w:r>
                </w:p>
              </w:tc>
              <w:tc>
                <w:tcPr>
                  <w:tcW w:w="1114"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000000"/>
                      <w:sz w:val="21"/>
                      <w:szCs w:val="21"/>
                      <w:lang w:val="en-US" w:eastAsia="zh-CN"/>
                    </w:rPr>
                    <w:t>裁剪</w:t>
                  </w:r>
                </w:p>
              </w:tc>
              <w:tc>
                <w:tcPr>
                  <w:tcW w:w="880" w:type="dxa"/>
                  <w:tcBorders>
                    <w:tl2br w:val="nil"/>
                    <w:tr2bl w:val="nil"/>
                  </w:tcBorders>
                  <w:noWrap w:val="0"/>
                  <w:vAlign w:val="center"/>
                </w:tcPr>
                <w:p>
                  <w:pPr>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000000"/>
                      <w:sz w:val="21"/>
                      <w:szCs w:val="21"/>
                    </w:rPr>
                    <w:t>固态</w:t>
                  </w:r>
                </w:p>
              </w:tc>
              <w:tc>
                <w:tcPr>
                  <w:tcW w:w="1120" w:type="dxa"/>
                  <w:tcBorders>
                    <w:tl2br w:val="nil"/>
                    <w:tr2bl w:val="nil"/>
                  </w:tcBorders>
                  <w:noWrap w:val="0"/>
                  <w:vAlign w:val="center"/>
                </w:tcPr>
                <w:p>
                  <w:pPr>
                    <w:spacing w:line="320" w:lineRule="exact"/>
                    <w:ind w:left="-110" w:leftChars="-50" w:right="-110" w:rightChars="-5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000000"/>
                      <w:kern w:val="0"/>
                      <w:sz w:val="21"/>
                      <w:szCs w:val="21"/>
                      <w:lang w:val="en-US" w:eastAsia="zh-CN" w:bidi="ar"/>
                    </w:rPr>
                    <w:t>废塑料</w:t>
                  </w:r>
                </w:p>
              </w:tc>
              <w:tc>
                <w:tcPr>
                  <w:tcW w:w="910" w:type="dxa"/>
                  <w:vMerge w:val="continue"/>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p>
              </w:tc>
              <w:tc>
                <w:tcPr>
                  <w:tcW w:w="1350" w:type="dxa"/>
                  <w:tcBorders>
                    <w:tl2br w:val="nil"/>
                    <w:tr2bl w:val="nil"/>
                  </w:tcBorders>
                  <w:noWrap w:val="0"/>
                  <w:vAlign w:val="center"/>
                </w:tcPr>
                <w:p>
                  <w:pPr>
                    <w:spacing w:line="320" w:lineRule="exact"/>
                    <w:ind w:left="-110" w:leftChars="-50" w:right="-110" w:rightChars="-5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000000"/>
                      <w:sz w:val="21"/>
                      <w:szCs w:val="21"/>
                      <w:lang w:val="en-US" w:eastAsia="zh-CN"/>
                    </w:rPr>
                    <w:t>292</w:t>
                  </w:r>
                  <w:r>
                    <w:rPr>
                      <w:rFonts w:hint="default" w:ascii="Times New Roman" w:hAnsi="Times New Roman" w:eastAsia="宋体" w:cs="Times New Roman"/>
                      <w:color w:val="000000"/>
                      <w:sz w:val="21"/>
                      <w:szCs w:val="21"/>
                      <w:lang w:val="en-US" w:eastAsia="zh-CN"/>
                    </w:rPr>
                    <w:t xml:space="preserve">-009-99 </w:t>
                  </w:r>
                </w:p>
              </w:tc>
              <w:tc>
                <w:tcPr>
                  <w:tcW w:w="1073" w:type="dxa"/>
                  <w:tcBorders>
                    <w:tl2br w:val="nil"/>
                    <w:tr2bl w:val="nil"/>
                  </w:tcBorders>
                  <w:noWrap w:val="0"/>
                  <w:vAlign w:val="center"/>
                </w:tcPr>
                <w:p>
                  <w:pPr>
                    <w:spacing w:line="32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000000"/>
                      <w:sz w:val="21"/>
                      <w:szCs w:val="21"/>
                      <w:lang w:val="en-US" w:eastAsia="zh-CN"/>
                    </w:rPr>
                    <w:t>0.05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496"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3</w:t>
                  </w:r>
                </w:p>
              </w:tc>
              <w:tc>
                <w:tcPr>
                  <w:tcW w:w="1294" w:type="dxa"/>
                  <w:tcBorders>
                    <w:tl2br w:val="nil"/>
                    <w:tr2bl w:val="nil"/>
                  </w:tcBorders>
                  <w:noWrap w:val="0"/>
                  <w:vAlign w:val="center"/>
                </w:tcPr>
                <w:p>
                  <w:pPr>
                    <w:spacing w:line="320" w:lineRule="exact"/>
                    <w:ind w:left="-110" w:leftChars="-50" w:right="-110" w:rightChars="-5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不合格产品</w:t>
                  </w:r>
                </w:p>
              </w:tc>
              <w:tc>
                <w:tcPr>
                  <w:tcW w:w="1114"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质检</w:t>
                  </w:r>
                </w:p>
              </w:tc>
              <w:tc>
                <w:tcPr>
                  <w:tcW w:w="880"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固态</w:t>
                  </w:r>
                </w:p>
              </w:tc>
              <w:tc>
                <w:tcPr>
                  <w:tcW w:w="1120"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lang w:val="en-US" w:eastAsia="zh-CN" w:bidi="ar"/>
                    </w:rPr>
                    <w:t>废塑料</w:t>
                  </w:r>
                </w:p>
              </w:tc>
              <w:tc>
                <w:tcPr>
                  <w:tcW w:w="910" w:type="dxa"/>
                  <w:vMerge w:val="continue"/>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p>
              </w:tc>
              <w:tc>
                <w:tcPr>
                  <w:tcW w:w="1350" w:type="dxa"/>
                  <w:tcBorders>
                    <w:tl2br w:val="nil"/>
                    <w:tr2bl w:val="nil"/>
                  </w:tcBorders>
                  <w:noWrap w:val="0"/>
                  <w:vAlign w:val="center"/>
                </w:tcPr>
                <w:p>
                  <w:pPr>
                    <w:spacing w:line="320" w:lineRule="exact"/>
                    <w:ind w:left="-110" w:leftChars="-50" w:right="-110" w:rightChars="-5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292</w:t>
                  </w:r>
                  <w:r>
                    <w:rPr>
                      <w:rFonts w:hint="default" w:ascii="Times New Roman" w:hAnsi="Times New Roman" w:eastAsia="宋体" w:cs="Times New Roman"/>
                      <w:color w:val="000000"/>
                      <w:sz w:val="21"/>
                      <w:szCs w:val="21"/>
                      <w:lang w:val="en-US" w:eastAsia="zh-CN"/>
                    </w:rPr>
                    <w:t xml:space="preserve">-009-99 </w:t>
                  </w:r>
                </w:p>
              </w:tc>
              <w:tc>
                <w:tcPr>
                  <w:tcW w:w="1073"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0.02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496"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4</w:t>
                  </w:r>
                </w:p>
              </w:tc>
              <w:tc>
                <w:tcPr>
                  <w:tcW w:w="1294" w:type="dxa"/>
                  <w:tcBorders>
                    <w:tl2br w:val="nil"/>
                    <w:tr2bl w:val="nil"/>
                  </w:tcBorders>
                  <w:noWrap w:val="0"/>
                  <w:vAlign w:val="center"/>
                </w:tcPr>
                <w:p>
                  <w:pPr>
                    <w:spacing w:line="320" w:lineRule="exact"/>
                    <w:ind w:left="-110" w:leftChars="-50" w:right="-110" w:rightChars="-5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废</w:t>
                  </w:r>
                  <w:r>
                    <w:rPr>
                      <w:rFonts w:hint="default" w:ascii="Times New Roman" w:hAnsi="Times New Roman" w:cs="Times New Roman"/>
                      <w:color w:val="000000"/>
                      <w:sz w:val="21"/>
                      <w:szCs w:val="21"/>
                      <w:lang w:val="en-US" w:eastAsia="zh-CN"/>
                    </w:rPr>
                    <w:t>水性油墨桶</w:t>
                  </w:r>
                </w:p>
              </w:tc>
              <w:tc>
                <w:tcPr>
                  <w:tcW w:w="1114"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印刷</w:t>
                  </w:r>
                </w:p>
              </w:tc>
              <w:tc>
                <w:tcPr>
                  <w:tcW w:w="880"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固态</w:t>
                  </w:r>
                </w:p>
              </w:tc>
              <w:tc>
                <w:tcPr>
                  <w:tcW w:w="1120"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lang w:val="en-US" w:eastAsia="zh-CN" w:bidi="ar"/>
                    </w:rPr>
                    <w:t>废塑料</w:t>
                  </w:r>
                  <w:r>
                    <w:rPr>
                      <w:rFonts w:hint="default" w:ascii="Times New Roman" w:hAnsi="Times New Roman" w:cs="Times New Roman"/>
                      <w:color w:val="000000"/>
                      <w:kern w:val="0"/>
                      <w:sz w:val="21"/>
                      <w:szCs w:val="21"/>
                      <w:lang w:val="en-US" w:eastAsia="zh-CN" w:bidi="ar"/>
                    </w:rPr>
                    <w:t>桶</w:t>
                  </w:r>
                </w:p>
              </w:tc>
              <w:tc>
                <w:tcPr>
                  <w:tcW w:w="910" w:type="dxa"/>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危险</w:t>
                  </w:r>
                </w:p>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废物</w:t>
                  </w:r>
                </w:p>
              </w:tc>
              <w:tc>
                <w:tcPr>
                  <w:tcW w:w="1350" w:type="dxa"/>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HW49</w:t>
                  </w:r>
                </w:p>
                <w:p>
                  <w:pPr>
                    <w:widowControl/>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 900-041-49 </w:t>
                  </w:r>
                </w:p>
              </w:tc>
              <w:tc>
                <w:tcPr>
                  <w:tcW w:w="1073"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0.7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496"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5</w:t>
                  </w:r>
                </w:p>
              </w:tc>
              <w:tc>
                <w:tcPr>
                  <w:tcW w:w="1294" w:type="dxa"/>
                  <w:tcBorders>
                    <w:tl2br w:val="nil"/>
                    <w:tr2bl w:val="nil"/>
                  </w:tcBorders>
                  <w:noWrap w:val="0"/>
                  <w:vAlign w:val="center"/>
                </w:tcPr>
                <w:p>
                  <w:pPr>
                    <w:spacing w:line="320" w:lineRule="exact"/>
                    <w:ind w:left="-110" w:leftChars="-50" w:right="-110" w:rightChars="-50"/>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废活性炭</w:t>
                  </w:r>
                </w:p>
              </w:tc>
              <w:tc>
                <w:tcPr>
                  <w:tcW w:w="1114"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废气处理</w:t>
                  </w:r>
                </w:p>
              </w:tc>
              <w:tc>
                <w:tcPr>
                  <w:tcW w:w="880"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rPr>
                    <w:t>固态</w:t>
                  </w:r>
                </w:p>
              </w:tc>
              <w:tc>
                <w:tcPr>
                  <w:tcW w:w="1120" w:type="dxa"/>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kern w:val="0"/>
                      <w:sz w:val="21"/>
                      <w:szCs w:val="21"/>
                      <w:lang w:val="en-US" w:eastAsia="zh-CN" w:bidi="ar"/>
                    </w:rPr>
                    <w:t>含有机物炭</w:t>
                  </w:r>
                </w:p>
              </w:tc>
              <w:tc>
                <w:tcPr>
                  <w:tcW w:w="910" w:type="dxa"/>
                  <w:tcBorders>
                    <w:tl2br w:val="nil"/>
                    <w:tr2bl w:val="nil"/>
                  </w:tcBorders>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危险</w:t>
                  </w:r>
                </w:p>
                <w:p>
                  <w:pPr>
                    <w:widowControl/>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废物</w:t>
                  </w:r>
                </w:p>
              </w:tc>
              <w:tc>
                <w:tcPr>
                  <w:tcW w:w="1350" w:type="dxa"/>
                  <w:tcBorders>
                    <w:tl2br w:val="nil"/>
                    <w:tr2bl w:val="nil"/>
                  </w:tcBorders>
                  <w:noWrap w:val="0"/>
                  <w:vAlign w:val="center"/>
                </w:tcPr>
                <w:p>
                  <w:pPr>
                    <w:widowControl/>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HW49 </w:t>
                  </w:r>
                  <w:r>
                    <w:rPr>
                      <w:rFonts w:hint="default" w:ascii="Times New Roman" w:hAnsi="Times New Roman" w:cs="Times New Roman"/>
                      <w:color w:val="auto"/>
                      <w:sz w:val="21"/>
                      <w:szCs w:val="21"/>
                      <w:lang w:val="en-US" w:eastAsia="zh-CN"/>
                    </w:rPr>
                    <w:t xml:space="preserve"> </w:t>
                  </w:r>
                </w:p>
                <w:p>
                  <w:pPr>
                    <w:widowControl/>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900-0</w:t>
                  </w:r>
                  <w:r>
                    <w:rPr>
                      <w:rFonts w:hint="default" w:ascii="Times New Roman" w:hAnsi="Times New Roman" w:cs="Times New Roman"/>
                      <w:color w:val="auto"/>
                      <w:sz w:val="21"/>
                      <w:szCs w:val="21"/>
                      <w:lang w:val="en-US" w:eastAsia="zh-CN"/>
                    </w:rPr>
                    <w:t>39</w:t>
                  </w:r>
                  <w:r>
                    <w:rPr>
                      <w:rFonts w:hint="default" w:ascii="Times New Roman" w:hAnsi="Times New Roman" w:eastAsia="宋体" w:cs="Times New Roman"/>
                      <w:color w:val="auto"/>
                      <w:sz w:val="21"/>
                      <w:szCs w:val="21"/>
                      <w:lang w:val="en-US" w:eastAsia="zh-CN"/>
                    </w:rPr>
                    <w:t xml:space="preserve">-49 </w:t>
                  </w:r>
                </w:p>
              </w:tc>
              <w:tc>
                <w:tcPr>
                  <w:tcW w:w="1073" w:type="dxa"/>
                  <w:tcBorders>
                    <w:tl2br w:val="nil"/>
                    <w:tr2bl w:val="nil"/>
                  </w:tcBorders>
                  <w:noWrap w:val="0"/>
                  <w:vAlign w:val="center"/>
                </w:tcPr>
                <w:p>
                  <w:pPr>
                    <w:spacing w:line="320" w:lineRule="exact"/>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2.268</w:t>
                  </w:r>
                </w:p>
              </w:tc>
            </w:tr>
          </w:tbl>
          <w:p>
            <w:pPr>
              <w:spacing w:line="440" w:lineRule="exact"/>
              <w:jc w:val="center"/>
              <w:rPr>
                <w:rFonts w:hint="default" w:ascii="Times New Roman" w:hAnsi="Times New Roman" w:cs="Times New Roman"/>
                <w:b/>
                <w:kern w:val="0"/>
                <w:szCs w:val="21"/>
              </w:rPr>
            </w:pPr>
            <w:r>
              <w:rPr>
                <w:rFonts w:hint="default" w:ascii="Times New Roman" w:hAnsi="Times New Roman" w:cs="Times New Roman"/>
                <w:b/>
                <w:szCs w:val="21"/>
              </w:rPr>
              <w:t>表4-</w:t>
            </w:r>
            <w:r>
              <w:rPr>
                <w:rFonts w:hint="eastAsia" w:ascii="Times New Roman" w:hAnsi="Times New Roman" w:cs="Times New Roman"/>
                <w:b/>
                <w:szCs w:val="21"/>
                <w:lang w:val="en-US" w:eastAsia="zh-CN"/>
              </w:rPr>
              <w:t>1</w:t>
            </w:r>
            <w:r>
              <w:rPr>
                <w:rFonts w:hint="default" w:ascii="Times New Roman" w:hAnsi="Times New Roman" w:cs="Times New Roman"/>
                <w:b/>
                <w:szCs w:val="21"/>
              </w:rPr>
              <w:t xml:space="preserve">6  </w:t>
            </w:r>
            <w:r>
              <w:rPr>
                <w:rFonts w:hint="default" w:ascii="Times New Roman" w:hAnsi="Times New Roman" w:cs="Times New Roman"/>
                <w:b/>
                <w:szCs w:val="21"/>
                <w:lang w:val="en-US" w:eastAsia="zh-CN"/>
              </w:rPr>
              <w:t>项目</w:t>
            </w:r>
            <w:r>
              <w:rPr>
                <w:rFonts w:hint="default" w:ascii="Times New Roman" w:hAnsi="Times New Roman" w:cs="Times New Roman"/>
                <w:b/>
                <w:szCs w:val="21"/>
              </w:rPr>
              <w:t>一般固体废物产生、利用处置方式等情况一览表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6"/>
              <w:gridCol w:w="1111"/>
              <w:gridCol w:w="933"/>
              <w:gridCol w:w="867"/>
              <w:gridCol w:w="767"/>
              <w:gridCol w:w="755"/>
              <w:gridCol w:w="1067"/>
              <w:gridCol w:w="889"/>
              <w:gridCol w:w="11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5"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序号</w:t>
                  </w:r>
                </w:p>
              </w:tc>
              <w:tc>
                <w:tcPr>
                  <w:tcW w:w="683"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种类</w:t>
                  </w:r>
                </w:p>
              </w:tc>
              <w:tc>
                <w:tcPr>
                  <w:tcW w:w="573"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产生环节</w:t>
                  </w:r>
                </w:p>
              </w:tc>
              <w:tc>
                <w:tcPr>
                  <w:tcW w:w="533"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产生量t/a</w:t>
                  </w:r>
                </w:p>
              </w:tc>
              <w:tc>
                <w:tcPr>
                  <w:tcW w:w="471"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形态</w:t>
                  </w:r>
                </w:p>
              </w:tc>
              <w:tc>
                <w:tcPr>
                  <w:tcW w:w="464"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贮存方式</w:t>
                  </w:r>
                </w:p>
              </w:tc>
              <w:tc>
                <w:tcPr>
                  <w:tcW w:w="656"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利用处置方式及去向</w:t>
                  </w:r>
                </w:p>
              </w:tc>
              <w:tc>
                <w:tcPr>
                  <w:tcW w:w="546"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利用或处置量t/a</w:t>
                  </w:r>
                </w:p>
              </w:tc>
              <w:tc>
                <w:tcPr>
                  <w:tcW w:w="733"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环境管理要求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5"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683"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sz w:val="21"/>
                      <w:szCs w:val="21"/>
                    </w:rPr>
                  </w:pPr>
                  <w:r>
                    <w:rPr>
                      <w:rFonts w:hint="default" w:ascii="Times New Roman" w:hAnsi="Times New Roman" w:eastAsia="宋体" w:cs="Times New Roman"/>
                      <w:color w:val="000000"/>
                      <w:sz w:val="21"/>
                      <w:szCs w:val="21"/>
                      <w:lang w:val="en-US" w:eastAsia="zh-CN"/>
                    </w:rPr>
                    <w:t>废</w:t>
                  </w:r>
                  <w:r>
                    <w:rPr>
                      <w:rFonts w:hint="default" w:ascii="Times New Roman" w:hAnsi="Times New Roman" w:cs="Times New Roman"/>
                      <w:color w:val="000000"/>
                      <w:sz w:val="21"/>
                      <w:szCs w:val="21"/>
                      <w:lang w:val="en-US" w:eastAsia="zh-CN"/>
                    </w:rPr>
                    <w:t>包装物</w:t>
                  </w:r>
                </w:p>
              </w:tc>
              <w:tc>
                <w:tcPr>
                  <w:tcW w:w="573"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sz w:val="21"/>
                      <w:szCs w:val="21"/>
                    </w:rPr>
                  </w:pPr>
                  <w:r>
                    <w:rPr>
                      <w:rFonts w:hint="default" w:ascii="Times New Roman" w:hAnsi="Times New Roman" w:cs="Times New Roman"/>
                      <w:color w:val="000000"/>
                      <w:sz w:val="21"/>
                      <w:szCs w:val="21"/>
                      <w:lang w:val="en-US" w:eastAsia="zh-CN"/>
                    </w:rPr>
                    <w:t>原料包装</w:t>
                  </w:r>
                </w:p>
              </w:tc>
              <w:tc>
                <w:tcPr>
                  <w:tcW w:w="533"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sz w:val="21"/>
                      <w:szCs w:val="21"/>
                    </w:rPr>
                  </w:pPr>
                  <w:r>
                    <w:rPr>
                      <w:rFonts w:hint="default" w:ascii="Times New Roman" w:hAnsi="Times New Roman" w:cs="Times New Roman"/>
                      <w:color w:val="000000"/>
                      <w:sz w:val="21"/>
                      <w:szCs w:val="21"/>
                      <w:lang w:val="en-US" w:eastAsia="zh-CN"/>
                    </w:rPr>
                    <w:t>0.01</w:t>
                  </w:r>
                </w:p>
              </w:tc>
              <w:tc>
                <w:tcPr>
                  <w:tcW w:w="471" w:type="pct"/>
                  <w:tcBorders>
                    <w:top w:val="single" w:color="auto" w:sz="4" w:space="0"/>
                    <w:left w:val="single" w:color="auto" w:sz="4" w:space="0"/>
                    <w:bottom w:val="single" w:color="auto" w:sz="4" w:space="0"/>
                    <w:right w:val="single" w:color="auto" w:sz="4" w:space="0"/>
                  </w:tcBorders>
                  <w:vAlign w:val="center"/>
                </w:tcPr>
                <w:p>
                  <w:pPr>
                    <w:spacing w:line="320" w:lineRule="exact"/>
                    <w:ind w:left="-110" w:leftChars="-50" w:right="-110" w:rightChars="-50"/>
                    <w:jc w:val="center"/>
                    <w:rPr>
                      <w:rFonts w:hint="default" w:ascii="Times New Roman" w:hAnsi="Times New Roman" w:cs="Times New Roman"/>
                      <w:sz w:val="21"/>
                      <w:szCs w:val="21"/>
                    </w:rPr>
                  </w:pPr>
                  <w:r>
                    <w:rPr>
                      <w:rFonts w:hint="default" w:ascii="Times New Roman" w:hAnsi="Times New Roman" w:eastAsia="宋体" w:cs="Times New Roman"/>
                      <w:color w:val="000000"/>
                      <w:sz w:val="21"/>
                      <w:szCs w:val="21"/>
                      <w:lang w:val="en-US" w:eastAsia="zh-CN"/>
                    </w:rPr>
                    <w:t>固态</w:t>
                  </w:r>
                </w:p>
              </w:tc>
              <w:tc>
                <w:tcPr>
                  <w:tcW w:w="464"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袋装</w:t>
                  </w:r>
                </w:p>
              </w:tc>
              <w:tc>
                <w:tcPr>
                  <w:tcW w:w="656" w:type="pct"/>
                  <w:vMerge w:val="restart"/>
                  <w:tcBorders>
                    <w:top w:val="single" w:color="auto" w:sz="4" w:space="0"/>
                    <w:left w:val="single" w:color="auto" w:sz="4" w:space="0"/>
                    <w:right w:val="single" w:color="auto" w:sz="4" w:space="0"/>
                  </w:tcBorders>
                  <w:vAlign w:val="center"/>
                </w:tcPr>
                <w:p>
                  <w:pPr>
                    <w:snapToGrid w:val="0"/>
                    <w:jc w:val="center"/>
                    <w:rPr>
                      <w:rFonts w:hint="default" w:ascii="Times New Roman" w:hAnsi="Times New Roman" w:cs="Times New Roman"/>
                      <w:sz w:val="21"/>
                      <w:szCs w:val="21"/>
                    </w:rPr>
                  </w:pPr>
                  <w:r>
                    <w:rPr>
                      <w:rFonts w:hint="default" w:ascii="Times New Roman" w:hAnsi="Times New Roman" w:eastAsia="宋体" w:cs="Times New Roman"/>
                      <w:sz w:val="21"/>
                      <w:szCs w:val="21"/>
                      <w:lang w:val="en-US" w:eastAsia="zh-CN"/>
                    </w:rPr>
                    <w:t>外售综合利用</w:t>
                  </w:r>
                </w:p>
              </w:tc>
              <w:tc>
                <w:tcPr>
                  <w:tcW w:w="546"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sz w:val="21"/>
                      <w:szCs w:val="21"/>
                    </w:rPr>
                  </w:pPr>
                  <w:r>
                    <w:rPr>
                      <w:rFonts w:hint="default" w:ascii="Times New Roman" w:hAnsi="Times New Roman" w:cs="Times New Roman"/>
                      <w:color w:val="000000"/>
                      <w:sz w:val="21"/>
                      <w:szCs w:val="21"/>
                      <w:lang w:val="en-US" w:eastAsia="zh-CN"/>
                    </w:rPr>
                    <w:t>0.01</w:t>
                  </w:r>
                </w:p>
              </w:tc>
              <w:tc>
                <w:tcPr>
                  <w:tcW w:w="733" w:type="pct"/>
                  <w:vMerge w:val="restart"/>
                  <w:tcBorders>
                    <w:top w:val="single" w:color="auto" w:sz="4" w:space="0"/>
                    <w:left w:val="single" w:color="auto" w:sz="4" w:space="0"/>
                    <w:right w:val="single" w:color="auto" w:sz="4" w:space="0"/>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分类收集储存在一般工业固体废物暂存间、妥善处置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5"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683"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废边角料</w:t>
                  </w:r>
                </w:p>
              </w:tc>
              <w:tc>
                <w:tcPr>
                  <w:tcW w:w="573"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裁剪</w:t>
                  </w:r>
                </w:p>
              </w:tc>
              <w:tc>
                <w:tcPr>
                  <w:tcW w:w="533"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0.05</w:t>
                  </w:r>
                </w:p>
              </w:tc>
              <w:tc>
                <w:tcPr>
                  <w:tcW w:w="471" w:type="pct"/>
                  <w:tcBorders>
                    <w:top w:val="single" w:color="auto" w:sz="4" w:space="0"/>
                    <w:left w:val="single" w:color="auto" w:sz="4" w:space="0"/>
                    <w:bottom w:val="single" w:color="auto" w:sz="4" w:space="0"/>
                    <w:right w:val="single" w:color="auto" w:sz="4" w:space="0"/>
                  </w:tcBorders>
                  <w:vAlign w:val="center"/>
                </w:tcPr>
                <w:p>
                  <w:pPr>
                    <w:spacing w:line="320" w:lineRule="exact"/>
                    <w:ind w:left="-110" w:leftChars="-50" w:right="-110" w:rightChars="-50"/>
                    <w:jc w:val="center"/>
                    <w:rPr>
                      <w:rFonts w:hint="default" w:ascii="Times New Roman" w:hAnsi="Times New Roman" w:cs="Times New Roman"/>
                      <w:sz w:val="21"/>
                      <w:szCs w:val="21"/>
                    </w:rPr>
                  </w:pPr>
                  <w:r>
                    <w:rPr>
                      <w:rFonts w:hint="default" w:ascii="Times New Roman" w:hAnsi="Times New Roman" w:eastAsia="宋体" w:cs="Times New Roman"/>
                      <w:color w:val="000000"/>
                      <w:sz w:val="21"/>
                      <w:szCs w:val="21"/>
                      <w:lang w:val="en-US" w:eastAsia="zh-CN"/>
                    </w:rPr>
                    <w:t>固态</w:t>
                  </w:r>
                </w:p>
              </w:tc>
              <w:tc>
                <w:tcPr>
                  <w:tcW w:w="464"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袋装</w:t>
                  </w:r>
                </w:p>
              </w:tc>
              <w:tc>
                <w:tcPr>
                  <w:tcW w:w="656" w:type="pct"/>
                  <w:vMerge w:val="continue"/>
                  <w:tcBorders>
                    <w:left w:val="single" w:color="auto" w:sz="4" w:space="0"/>
                    <w:right w:val="single" w:color="auto" w:sz="4" w:space="0"/>
                  </w:tcBorders>
                  <w:vAlign w:val="center"/>
                </w:tcPr>
                <w:p>
                  <w:pPr>
                    <w:snapToGrid w:val="0"/>
                    <w:jc w:val="center"/>
                    <w:rPr>
                      <w:rFonts w:hint="default" w:ascii="Times New Roman" w:hAnsi="Times New Roman" w:cs="Times New Roman"/>
                      <w:sz w:val="21"/>
                      <w:szCs w:val="21"/>
                    </w:rPr>
                  </w:pPr>
                </w:p>
              </w:tc>
              <w:tc>
                <w:tcPr>
                  <w:tcW w:w="546"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sz w:val="21"/>
                      <w:szCs w:val="21"/>
                    </w:rPr>
                  </w:pPr>
                  <w:r>
                    <w:rPr>
                      <w:rFonts w:hint="default" w:ascii="Times New Roman" w:hAnsi="Times New Roman" w:cs="Times New Roman"/>
                      <w:color w:val="000000"/>
                      <w:sz w:val="21"/>
                      <w:szCs w:val="21"/>
                      <w:lang w:val="en-US" w:eastAsia="zh-CN"/>
                    </w:rPr>
                    <w:t>0.05</w:t>
                  </w:r>
                </w:p>
              </w:tc>
              <w:tc>
                <w:tcPr>
                  <w:tcW w:w="733" w:type="pct"/>
                  <w:vMerge w:val="continue"/>
                  <w:tcBorders>
                    <w:left w:val="single" w:color="auto" w:sz="4" w:space="0"/>
                    <w:right w:val="single" w:color="auto" w:sz="4" w:space="0"/>
                  </w:tcBorders>
                  <w:vAlign w:val="center"/>
                </w:tcPr>
                <w:p>
                  <w:pPr>
                    <w:jc w:val="both"/>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35"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sz w:val="21"/>
                      <w:szCs w:val="21"/>
                    </w:rPr>
                  </w:pPr>
                  <w:r>
                    <w:rPr>
                      <w:rFonts w:hint="default" w:ascii="Times New Roman" w:hAnsi="Times New Roman" w:cs="Times New Roman"/>
                      <w:color w:val="000000"/>
                      <w:sz w:val="21"/>
                      <w:szCs w:val="21"/>
                      <w:lang w:val="en-US" w:eastAsia="zh-CN"/>
                    </w:rPr>
                    <w:t>3</w:t>
                  </w:r>
                </w:p>
              </w:tc>
              <w:tc>
                <w:tcPr>
                  <w:tcW w:w="683" w:type="pct"/>
                  <w:tcBorders>
                    <w:top w:val="single" w:color="auto" w:sz="4" w:space="0"/>
                    <w:left w:val="single" w:color="auto" w:sz="4" w:space="0"/>
                    <w:bottom w:val="single" w:color="auto" w:sz="4" w:space="0"/>
                    <w:right w:val="single" w:color="auto" w:sz="4" w:space="0"/>
                  </w:tcBorders>
                  <w:vAlign w:val="center"/>
                </w:tcPr>
                <w:p>
                  <w:pPr>
                    <w:spacing w:line="320" w:lineRule="exact"/>
                    <w:ind w:left="-110" w:leftChars="-50" w:right="-110" w:rightChars="-5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不合格产品</w:t>
                  </w:r>
                </w:p>
              </w:tc>
              <w:tc>
                <w:tcPr>
                  <w:tcW w:w="573"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质检</w:t>
                  </w:r>
                </w:p>
              </w:tc>
              <w:tc>
                <w:tcPr>
                  <w:tcW w:w="533"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0.02</w:t>
                  </w:r>
                </w:p>
              </w:tc>
              <w:tc>
                <w:tcPr>
                  <w:tcW w:w="471"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sz w:val="21"/>
                      <w:szCs w:val="21"/>
                    </w:rPr>
                  </w:pPr>
                  <w:r>
                    <w:rPr>
                      <w:rFonts w:hint="default" w:ascii="Times New Roman" w:hAnsi="Times New Roman" w:eastAsia="宋体" w:cs="Times New Roman"/>
                      <w:color w:val="000000"/>
                      <w:sz w:val="21"/>
                      <w:szCs w:val="21"/>
                      <w:lang w:val="en-US" w:eastAsia="zh-CN"/>
                    </w:rPr>
                    <w:t>固态</w:t>
                  </w:r>
                </w:p>
              </w:tc>
              <w:tc>
                <w:tcPr>
                  <w:tcW w:w="464"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袋装</w:t>
                  </w:r>
                </w:p>
              </w:tc>
              <w:tc>
                <w:tcPr>
                  <w:tcW w:w="656" w:type="pct"/>
                  <w:vMerge w:val="continue"/>
                  <w:tcBorders>
                    <w:left w:val="single" w:color="auto" w:sz="4" w:space="0"/>
                    <w:bottom w:val="single" w:color="auto" w:sz="4" w:space="0"/>
                    <w:right w:val="single" w:color="auto" w:sz="4" w:space="0"/>
                  </w:tcBorders>
                  <w:vAlign w:val="center"/>
                </w:tcPr>
                <w:p>
                  <w:pPr>
                    <w:snapToGrid w:val="0"/>
                    <w:jc w:val="center"/>
                    <w:rPr>
                      <w:rFonts w:hint="default" w:ascii="Times New Roman" w:hAnsi="Times New Roman" w:cs="Times New Roman"/>
                      <w:sz w:val="21"/>
                      <w:szCs w:val="21"/>
                    </w:rPr>
                  </w:pPr>
                </w:p>
              </w:tc>
              <w:tc>
                <w:tcPr>
                  <w:tcW w:w="546"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 w:val="21"/>
                      <w:szCs w:val="21"/>
                      <w:lang w:val="en-US" w:eastAsia="zh-CN"/>
                    </w:rPr>
                  </w:pPr>
                  <w:r>
                    <w:rPr>
                      <w:rFonts w:hint="default" w:ascii="Times New Roman" w:hAnsi="Times New Roman" w:cs="Times New Roman"/>
                      <w:color w:val="000000"/>
                      <w:sz w:val="21"/>
                      <w:szCs w:val="21"/>
                      <w:lang w:val="en-US" w:eastAsia="zh-CN"/>
                    </w:rPr>
                    <w:t>0.02</w:t>
                  </w:r>
                </w:p>
              </w:tc>
              <w:tc>
                <w:tcPr>
                  <w:tcW w:w="733" w:type="pct"/>
                  <w:vMerge w:val="continue"/>
                  <w:tcBorders>
                    <w:left w:val="single" w:color="auto" w:sz="4" w:space="0"/>
                    <w:bottom w:val="single" w:color="auto" w:sz="4" w:space="0"/>
                    <w:right w:val="single" w:color="auto" w:sz="4" w:space="0"/>
                  </w:tcBorders>
                  <w:vAlign w:val="center"/>
                </w:tcPr>
                <w:p>
                  <w:pPr>
                    <w:jc w:val="both"/>
                    <w:rPr>
                      <w:rFonts w:hint="default" w:ascii="Times New Roman" w:hAnsi="Times New Roman" w:cs="Times New Roman"/>
                      <w:sz w:val="21"/>
                      <w:szCs w:val="21"/>
                    </w:rPr>
                  </w:pPr>
                </w:p>
              </w:tc>
            </w:tr>
          </w:tbl>
          <w:p>
            <w:pPr>
              <w:spacing w:line="440" w:lineRule="exact"/>
              <w:jc w:val="center"/>
              <w:rPr>
                <w:rFonts w:hint="default" w:ascii="Times New Roman" w:hAnsi="Times New Roman" w:cs="Times New Roman"/>
                <w:b/>
                <w:kern w:val="0"/>
                <w:szCs w:val="21"/>
              </w:rPr>
            </w:pPr>
            <w:r>
              <w:rPr>
                <w:rFonts w:hint="default" w:ascii="Times New Roman" w:hAnsi="Times New Roman" w:cs="Times New Roman"/>
                <w:b/>
                <w:szCs w:val="21"/>
              </w:rPr>
              <w:t>表4-</w:t>
            </w:r>
            <w:r>
              <w:rPr>
                <w:rFonts w:hint="eastAsia" w:ascii="Times New Roman" w:hAnsi="Times New Roman" w:cs="Times New Roman"/>
                <w:b/>
                <w:szCs w:val="21"/>
                <w:lang w:val="en-US" w:eastAsia="zh-CN"/>
              </w:rPr>
              <w:t>1</w:t>
            </w:r>
            <w:r>
              <w:rPr>
                <w:rFonts w:hint="default" w:ascii="Times New Roman" w:hAnsi="Times New Roman" w:cs="Times New Roman"/>
                <w:b/>
                <w:szCs w:val="21"/>
              </w:rPr>
              <w:t>7  危险废物产生、利用处置方式等情况一览表</w:t>
            </w:r>
          </w:p>
          <w:tbl>
            <w:tblPr>
              <w:tblStyle w:val="24"/>
              <w:tblW w:w="82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7"/>
              <w:gridCol w:w="437"/>
              <w:gridCol w:w="698"/>
              <w:gridCol w:w="800"/>
              <w:gridCol w:w="874"/>
              <w:gridCol w:w="500"/>
              <w:gridCol w:w="600"/>
              <w:gridCol w:w="633"/>
              <w:gridCol w:w="522"/>
              <w:gridCol w:w="689"/>
              <w:gridCol w:w="700"/>
              <w:gridCol w:w="1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65"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序号</w:t>
                  </w:r>
                </w:p>
              </w:tc>
              <w:tc>
                <w:tcPr>
                  <w:tcW w:w="265"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种类</w:t>
                  </w:r>
                </w:p>
              </w:tc>
              <w:tc>
                <w:tcPr>
                  <w:tcW w:w="424"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产生环节</w:t>
                  </w:r>
                </w:p>
              </w:tc>
              <w:tc>
                <w:tcPr>
                  <w:tcW w:w="486"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产生量t/a</w:t>
                  </w:r>
                </w:p>
              </w:tc>
              <w:tc>
                <w:tcPr>
                  <w:tcW w:w="531"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废物类别</w:t>
                  </w:r>
                  <w:r>
                    <w:rPr>
                      <w:rFonts w:hint="default" w:ascii="Times New Roman" w:hAnsi="Times New Roman" w:eastAsia="宋体" w:cs="Times New Roman"/>
                      <w:b/>
                      <w:bCs/>
                      <w:sz w:val="21"/>
                      <w:szCs w:val="21"/>
                      <w:lang w:val="en-US" w:eastAsia="zh-CN"/>
                    </w:rPr>
                    <w:t>及</w:t>
                  </w:r>
                  <w:r>
                    <w:rPr>
                      <w:rFonts w:hint="default" w:ascii="Times New Roman" w:hAnsi="Times New Roman" w:cs="Times New Roman"/>
                      <w:b/>
                      <w:bCs/>
                      <w:sz w:val="21"/>
                      <w:szCs w:val="21"/>
                    </w:rPr>
                    <w:t>代码</w:t>
                  </w:r>
                </w:p>
              </w:tc>
              <w:tc>
                <w:tcPr>
                  <w:tcW w:w="303"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形态</w:t>
                  </w:r>
                </w:p>
              </w:tc>
              <w:tc>
                <w:tcPr>
                  <w:tcW w:w="364"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危险成分</w:t>
                  </w:r>
                </w:p>
              </w:tc>
              <w:tc>
                <w:tcPr>
                  <w:tcW w:w="384"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危险特性</w:t>
                  </w:r>
                </w:p>
              </w:tc>
              <w:tc>
                <w:tcPr>
                  <w:tcW w:w="317"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贮存方式</w:t>
                  </w:r>
                </w:p>
              </w:tc>
              <w:tc>
                <w:tcPr>
                  <w:tcW w:w="418"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利用处置方式及去向</w:t>
                  </w:r>
                </w:p>
              </w:tc>
              <w:tc>
                <w:tcPr>
                  <w:tcW w:w="425"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利用或处置量t/a</w:t>
                  </w:r>
                </w:p>
              </w:tc>
              <w:tc>
                <w:tcPr>
                  <w:tcW w:w="811"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b/>
                      <w:bCs/>
                      <w:sz w:val="21"/>
                      <w:szCs w:val="21"/>
                    </w:rPr>
                    <w:t>环境管理要求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65"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265" w:type="pct"/>
                  <w:tcBorders>
                    <w:top w:val="single" w:color="auto" w:sz="4" w:space="0"/>
                    <w:left w:val="single" w:color="auto" w:sz="4" w:space="0"/>
                    <w:bottom w:val="single" w:color="auto" w:sz="4" w:space="0"/>
                    <w:right w:val="single" w:color="auto" w:sz="4" w:space="0"/>
                  </w:tcBorders>
                  <w:vAlign w:val="center"/>
                </w:tcPr>
                <w:p>
                  <w:pPr>
                    <w:spacing w:line="320" w:lineRule="exact"/>
                    <w:ind w:left="-110" w:leftChars="-50" w:right="-110" w:rightChars="-50"/>
                    <w:jc w:val="center"/>
                    <w:rPr>
                      <w:rFonts w:hint="default" w:ascii="Times New Roman" w:hAnsi="Times New Roman" w:cs="Times New Roman"/>
                      <w:b/>
                      <w:bCs/>
                      <w:sz w:val="21"/>
                      <w:szCs w:val="21"/>
                    </w:rPr>
                  </w:pPr>
                  <w:r>
                    <w:rPr>
                      <w:rFonts w:hint="default" w:ascii="Times New Roman" w:hAnsi="Times New Roman" w:eastAsia="宋体" w:cs="Times New Roman"/>
                      <w:color w:val="000000"/>
                      <w:sz w:val="21"/>
                      <w:szCs w:val="21"/>
                      <w:lang w:val="en-US" w:eastAsia="zh-CN"/>
                    </w:rPr>
                    <w:t>废</w:t>
                  </w:r>
                  <w:r>
                    <w:rPr>
                      <w:rFonts w:hint="default" w:ascii="Times New Roman" w:hAnsi="Times New Roman" w:cs="Times New Roman"/>
                      <w:color w:val="000000"/>
                      <w:sz w:val="21"/>
                      <w:szCs w:val="21"/>
                      <w:lang w:val="en-US" w:eastAsia="zh-CN"/>
                    </w:rPr>
                    <w:t>水性油墨桶</w:t>
                  </w:r>
                </w:p>
              </w:tc>
              <w:tc>
                <w:tcPr>
                  <w:tcW w:w="424"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b/>
                      <w:bCs/>
                      <w:sz w:val="21"/>
                      <w:szCs w:val="21"/>
                    </w:rPr>
                  </w:pPr>
                  <w:r>
                    <w:rPr>
                      <w:rFonts w:hint="default" w:ascii="Times New Roman" w:hAnsi="Times New Roman" w:cs="Times New Roman"/>
                      <w:color w:val="000000"/>
                      <w:sz w:val="21"/>
                      <w:szCs w:val="21"/>
                      <w:lang w:val="en-US" w:eastAsia="zh-CN"/>
                    </w:rPr>
                    <w:t>印刷</w:t>
                  </w:r>
                </w:p>
              </w:tc>
              <w:tc>
                <w:tcPr>
                  <w:tcW w:w="486"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b/>
                      <w:bCs/>
                      <w:sz w:val="21"/>
                      <w:szCs w:val="21"/>
                    </w:rPr>
                  </w:pPr>
                  <w:r>
                    <w:rPr>
                      <w:rFonts w:hint="default" w:ascii="Times New Roman" w:hAnsi="Times New Roman" w:cs="Times New Roman"/>
                      <w:color w:val="000000"/>
                      <w:sz w:val="21"/>
                      <w:szCs w:val="21"/>
                      <w:lang w:val="en-US" w:eastAsia="zh-CN"/>
                    </w:rPr>
                    <w:t>0.7</w:t>
                  </w:r>
                </w:p>
              </w:tc>
              <w:tc>
                <w:tcPr>
                  <w:tcW w:w="531"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eastAsia="宋体" w:cs="Times New Roman"/>
                      <w:color w:val="auto"/>
                      <w:sz w:val="21"/>
                      <w:szCs w:val="21"/>
                      <w:lang w:val="en-US" w:eastAsia="zh-CN"/>
                    </w:rPr>
                    <w:t xml:space="preserve">HW49 900-041-49 </w:t>
                  </w:r>
                </w:p>
              </w:tc>
              <w:tc>
                <w:tcPr>
                  <w:tcW w:w="303"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固态</w:t>
                  </w:r>
                </w:p>
              </w:tc>
              <w:tc>
                <w:tcPr>
                  <w:tcW w:w="364"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kern w:val="0"/>
                      <w:sz w:val="21"/>
                      <w:szCs w:val="21"/>
                      <w:lang w:val="en-US" w:eastAsia="zh-CN" w:bidi="ar"/>
                    </w:rPr>
                    <w:t>废塑料</w:t>
                  </w:r>
                </w:p>
              </w:tc>
              <w:tc>
                <w:tcPr>
                  <w:tcW w:w="384"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T/In</w:t>
                  </w:r>
                </w:p>
              </w:tc>
              <w:tc>
                <w:tcPr>
                  <w:tcW w:w="317"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sz w:val="21"/>
                      <w:szCs w:val="21"/>
                    </w:rPr>
                  </w:pPr>
                  <w:r>
                    <w:rPr>
                      <w:rFonts w:hint="default" w:ascii="Times New Roman" w:hAnsi="Times New Roman" w:eastAsia="宋体" w:cs="Times New Roman"/>
                      <w:sz w:val="21"/>
                      <w:szCs w:val="21"/>
                      <w:lang w:val="en-US" w:eastAsia="zh-CN"/>
                    </w:rPr>
                    <w:t>桶</w:t>
                  </w:r>
                  <w:r>
                    <w:rPr>
                      <w:rFonts w:hint="default" w:ascii="Times New Roman" w:hAnsi="Times New Roman" w:cs="Times New Roman"/>
                      <w:sz w:val="21"/>
                      <w:szCs w:val="21"/>
                    </w:rPr>
                    <w:t>装</w:t>
                  </w:r>
                </w:p>
              </w:tc>
              <w:tc>
                <w:tcPr>
                  <w:tcW w:w="418" w:type="pct"/>
                  <w:vMerge w:val="restart"/>
                  <w:tcBorders>
                    <w:top w:val="single" w:color="auto" w:sz="4" w:space="0"/>
                    <w:left w:val="single" w:color="auto" w:sz="4" w:space="0"/>
                    <w:right w:val="single" w:color="auto" w:sz="4" w:space="0"/>
                  </w:tcBorders>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暂存于</w:t>
                  </w:r>
                  <w:r>
                    <w:rPr>
                      <w:rFonts w:hint="default" w:ascii="Times New Roman" w:hAnsi="Times New Roman" w:cs="Times New Roman"/>
                      <w:sz w:val="21"/>
                      <w:szCs w:val="21"/>
                      <w:lang w:val="en-US" w:eastAsia="zh-CN"/>
                    </w:rPr>
                    <w:t>1</w:t>
                  </w:r>
                  <w:r>
                    <w:rPr>
                      <w:rFonts w:hint="default" w:ascii="Times New Roman" w:hAnsi="Times New Roman" w:eastAsia="宋体" w:cs="Times New Roman"/>
                      <w:sz w:val="21"/>
                      <w:szCs w:val="21"/>
                      <w:lang w:val="en-US" w:eastAsia="zh-CN"/>
                    </w:rPr>
                    <w:t>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的</w:t>
                  </w:r>
                  <w:r>
                    <w:rPr>
                      <w:rFonts w:hint="default" w:ascii="Times New Roman" w:hAnsi="Times New Roman" w:eastAsia="宋体" w:cs="Times New Roman"/>
                      <w:sz w:val="21"/>
                      <w:szCs w:val="21"/>
                      <w:lang w:val="en-US" w:eastAsia="zh-CN"/>
                    </w:rPr>
                    <w:t>危废库内</w:t>
                  </w:r>
                  <w:r>
                    <w:rPr>
                      <w:rFonts w:hint="default" w:ascii="Times New Roman" w:hAnsi="Times New Roman" w:cs="Times New Roman"/>
                      <w:sz w:val="21"/>
                      <w:szCs w:val="21"/>
                    </w:rPr>
                    <w:t>，</w:t>
                  </w:r>
                  <w:r>
                    <w:rPr>
                      <w:rFonts w:hint="default" w:ascii="Times New Roman" w:hAnsi="Times New Roman" w:eastAsia="宋体" w:cs="Times New Roman"/>
                      <w:sz w:val="21"/>
                      <w:szCs w:val="21"/>
                      <w:lang w:val="en-US" w:eastAsia="zh-CN"/>
                    </w:rPr>
                    <w:t>定期</w:t>
                  </w:r>
                  <w:r>
                    <w:rPr>
                      <w:rFonts w:hint="default" w:ascii="Times New Roman" w:hAnsi="Times New Roman" w:cs="Times New Roman"/>
                      <w:sz w:val="21"/>
                      <w:szCs w:val="21"/>
                    </w:rPr>
                    <w:t>委托有资质单位处置</w:t>
                  </w:r>
                </w:p>
              </w:tc>
              <w:tc>
                <w:tcPr>
                  <w:tcW w:w="425"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sz w:val="21"/>
                      <w:szCs w:val="21"/>
                    </w:rPr>
                  </w:pPr>
                  <w:r>
                    <w:rPr>
                      <w:rFonts w:hint="default" w:ascii="Times New Roman" w:hAnsi="Times New Roman" w:cs="Times New Roman"/>
                      <w:color w:val="000000"/>
                      <w:sz w:val="21"/>
                      <w:szCs w:val="21"/>
                      <w:lang w:val="en-US" w:eastAsia="zh-CN"/>
                    </w:rPr>
                    <w:t>0.7</w:t>
                  </w:r>
                </w:p>
              </w:tc>
              <w:tc>
                <w:tcPr>
                  <w:tcW w:w="811" w:type="pct"/>
                  <w:vMerge w:val="restart"/>
                  <w:tcBorders>
                    <w:top w:val="single" w:color="auto" w:sz="4" w:space="0"/>
                    <w:left w:val="single" w:color="auto" w:sz="4" w:space="0"/>
                    <w:right w:val="single" w:color="auto" w:sz="4" w:space="0"/>
                  </w:tcBorders>
                  <w:vAlign w:val="center"/>
                </w:tcPr>
                <w:p>
                  <w:pPr>
                    <w:widowControl/>
                    <w:jc w:val="center"/>
                    <w:rPr>
                      <w:rFonts w:hint="default" w:ascii="Times New Roman" w:hAnsi="Times New Roman" w:cs="Times New Roman"/>
                      <w:b/>
                      <w:bCs/>
                      <w:sz w:val="21"/>
                      <w:szCs w:val="21"/>
                    </w:rPr>
                  </w:pPr>
                  <w:r>
                    <w:rPr>
                      <w:rFonts w:hint="default" w:ascii="Times New Roman" w:hAnsi="Times New Roman" w:cs="Times New Roman"/>
                      <w:sz w:val="21"/>
                      <w:szCs w:val="21"/>
                    </w:rPr>
                    <w:t>根据生产需要合理设置贮存量，尽量减少厂内的物料贮存量；严禁将危险废物混入生活垃圾；堆放危险废物的地方要有明显的标志，堆放点要防雨、防渗、防漏，应按要求进行包装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65"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265" w:type="pct"/>
                  <w:tcBorders>
                    <w:top w:val="single" w:color="auto" w:sz="4" w:space="0"/>
                    <w:left w:val="single" w:color="auto" w:sz="4" w:space="0"/>
                    <w:bottom w:val="single" w:color="auto" w:sz="4" w:space="0"/>
                    <w:right w:val="single" w:color="auto" w:sz="4" w:space="0"/>
                  </w:tcBorders>
                  <w:vAlign w:val="center"/>
                </w:tcPr>
                <w:p>
                  <w:pPr>
                    <w:spacing w:line="320" w:lineRule="exact"/>
                    <w:ind w:left="-110" w:leftChars="-50" w:right="-110" w:rightChars="-5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废活性炭</w:t>
                  </w:r>
                </w:p>
              </w:tc>
              <w:tc>
                <w:tcPr>
                  <w:tcW w:w="424"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sz w:val="21"/>
                      <w:szCs w:val="21"/>
                    </w:rPr>
                  </w:pPr>
                  <w:r>
                    <w:rPr>
                      <w:rFonts w:hint="default" w:ascii="Times New Roman" w:hAnsi="Times New Roman" w:eastAsia="宋体" w:cs="Times New Roman"/>
                      <w:color w:val="000000"/>
                      <w:sz w:val="21"/>
                      <w:szCs w:val="21"/>
                      <w:lang w:val="en-US" w:eastAsia="zh-CN"/>
                    </w:rPr>
                    <w:t>废气处理</w:t>
                  </w:r>
                </w:p>
              </w:tc>
              <w:tc>
                <w:tcPr>
                  <w:tcW w:w="486"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b/>
                      <w:bCs/>
                      <w:sz w:val="21"/>
                      <w:szCs w:val="21"/>
                    </w:rPr>
                  </w:pPr>
                  <w:r>
                    <w:rPr>
                      <w:rFonts w:hint="default" w:ascii="Times New Roman" w:hAnsi="Times New Roman" w:cs="Times New Roman"/>
                      <w:color w:val="000000"/>
                      <w:sz w:val="21"/>
                      <w:szCs w:val="21"/>
                      <w:lang w:val="en-US" w:eastAsia="zh-CN"/>
                    </w:rPr>
                    <w:t>4.776</w:t>
                  </w:r>
                </w:p>
              </w:tc>
              <w:tc>
                <w:tcPr>
                  <w:tcW w:w="531"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HW49 </w:t>
                  </w:r>
                  <w:r>
                    <w:rPr>
                      <w:rFonts w:hint="default" w:ascii="Times New Roman" w:hAnsi="Times New Roman" w:cs="Times New Roman"/>
                      <w:color w:val="auto"/>
                      <w:sz w:val="21"/>
                      <w:szCs w:val="21"/>
                      <w:lang w:val="en-US" w:eastAsia="zh-CN"/>
                    </w:rPr>
                    <w:t xml:space="preserve"> </w:t>
                  </w:r>
                </w:p>
                <w:p>
                  <w:pPr>
                    <w:widowControl/>
                    <w:jc w:val="center"/>
                    <w:rPr>
                      <w:rFonts w:hint="default" w:ascii="Times New Roman" w:hAnsi="Times New Roman" w:cs="Times New Roman"/>
                      <w:bCs/>
                      <w:sz w:val="21"/>
                      <w:szCs w:val="21"/>
                    </w:rPr>
                  </w:pPr>
                  <w:r>
                    <w:rPr>
                      <w:rFonts w:hint="default" w:ascii="Times New Roman" w:hAnsi="Times New Roman" w:eastAsia="宋体" w:cs="Times New Roman"/>
                      <w:color w:val="auto"/>
                      <w:sz w:val="21"/>
                      <w:szCs w:val="21"/>
                      <w:lang w:val="en-US" w:eastAsia="zh-CN"/>
                    </w:rPr>
                    <w:t>900-0</w:t>
                  </w:r>
                  <w:r>
                    <w:rPr>
                      <w:rFonts w:hint="default" w:ascii="Times New Roman" w:hAnsi="Times New Roman" w:cs="Times New Roman"/>
                      <w:color w:val="auto"/>
                      <w:sz w:val="21"/>
                      <w:szCs w:val="21"/>
                      <w:lang w:val="en-US" w:eastAsia="zh-CN"/>
                    </w:rPr>
                    <w:t>39</w:t>
                  </w:r>
                  <w:r>
                    <w:rPr>
                      <w:rFonts w:hint="default" w:ascii="Times New Roman" w:hAnsi="Times New Roman" w:eastAsia="宋体" w:cs="Times New Roman"/>
                      <w:color w:val="auto"/>
                      <w:sz w:val="21"/>
                      <w:szCs w:val="21"/>
                      <w:lang w:val="en-US" w:eastAsia="zh-CN"/>
                    </w:rPr>
                    <w:t xml:space="preserve">-49 </w:t>
                  </w:r>
                </w:p>
              </w:tc>
              <w:tc>
                <w:tcPr>
                  <w:tcW w:w="303"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固态</w:t>
                  </w:r>
                </w:p>
              </w:tc>
              <w:tc>
                <w:tcPr>
                  <w:tcW w:w="364" w:type="pct"/>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eastAsia="宋体" w:cs="Times New Roman"/>
                      <w:color w:val="000000"/>
                      <w:kern w:val="0"/>
                      <w:sz w:val="21"/>
                      <w:szCs w:val="21"/>
                      <w:lang w:val="en-US" w:eastAsia="zh-CN" w:bidi="ar"/>
                    </w:rPr>
                    <w:t>有机物</w:t>
                  </w:r>
                </w:p>
              </w:tc>
              <w:tc>
                <w:tcPr>
                  <w:tcW w:w="384"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w:t>
                  </w:r>
                </w:p>
              </w:tc>
              <w:tc>
                <w:tcPr>
                  <w:tcW w:w="317"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sz w:val="21"/>
                      <w:szCs w:val="21"/>
                    </w:rPr>
                  </w:pPr>
                  <w:r>
                    <w:rPr>
                      <w:rFonts w:hint="default" w:ascii="Times New Roman" w:hAnsi="Times New Roman" w:eastAsia="宋体" w:cs="Times New Roman"/>
                      <w:sz w:val="21"/>
                      <w:szCs w:val="21"/>
                      <w:lang w:val="en-US" w:eastAsia="zh-CN"/>
                    </w:rPr>
                    <w:t>桶</w:t>
                  </w:r>
                  <w:r>
                    <w:rPr>
                      <w:rFonts w:hint="default" w:ascii="Times New Roman" w:hAnsi="Times New Roman" w:cs="Times New Roman"/>
                      <w:sz w:val="21"/>
                      <w:szCs w:val="21"/>
                    </w:rPr>
                    <w:t>装</w:t>
                  </w:r>
                </w:p>
              </w:tc>
              <w:tc>
                <w:tcPr>
                  <w:tcW w:w="418" w:type="pct"/>
                  <w:vMerge w:val="continue"/>
                  <w:tcBorders>
                    <w:left w:val="single" w:color="auto" w:sz="4" w:space="0"/>
                    <w:right w:val="single" w:color="auto" w:sz="4" w:space="0"/>
                  </w:tcBorders>
                  <w:vAlign w:val="center"/>
                </w:tcPr>
                <w:p>
                  <w:pPr>
                    <w:widowControl/>
                    <w:jc w:val="center"/>
                    <w:rPr>
                      <w:rFonts w:hint="default" w:ascii="Times New Roman" w:hAnsi="Times New Roman" w:cs="Times New Roman"/>
                      <w:sz w:val="21"/>
                      <w:szCs w:val="21"/>
                    </w:rPr>
                  </w:pPr>
                </w:p>
              </w:tc>
              <w:tc>
                <w:tcPr>
                  <w:tcW w:w="425" w:type="pct"/>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cs="Times New Roman"/>
                      <w:b/>
                      <w:bCs/>
                      <w:sz w:val="21"/>
                      <w:szCs w:val="21"/>
                      <w:lang w:val="en-US"/>
                    </w:rPr>
                  </w:pPr>
                  <w:r>
                    <w:rPr>
                      <w:rFonts w:hint="eastAsia" w:ascii="Times New Roman" w:hAnsi="Times New Roman" w:cs="Times New Roman"/>
                      <w:color w:val="000000"/>
                      <w:sz w:val="21"/>
                      <w:szCs w:val="21"/>
                      <w:lang w:val="en-US" w:eastAsia="zh-CN"/>
                    </w:rPr>
                    <w:t>2.268</w:t>
                  </w:r>
                </w:p>
              </w:tc>
              <w:tc>
                <w:tcPr>
                  <w:tcW w:w="811" w:type="pct"/>
                  <w:vMerge w:val="continue"/>
                  <w:tcBorders>
                    <w:left w:val="single" w:color="auto" w:sz="4" w:space="0"/>
                    <w:right w:val="single" w:color="auto" w:sz="4" w:space="0"/>
                  </w:tcBorders>
                  <w:vAlign w:val="center"/>
                </w:tcPr>
                <w:p>
                  <w:pPr>
                    <w:widowControl/>
                    <w:jc w:val="center"/>
                    <w:rPr>
                      <w:rFonts w:hint="default" w:ascii="Times New Roman" w:hAnsi="Times New Roman" w:cs="Times New Roman"/>
                      <w:sz w:val="21"/>
                      <w:szCs w:val="21"/>
                    </w:rPr>
                  </w:pPr>
                </w:p>
              </w:tc>
            </w:tr>
          </w:tbl>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default" w:ascii="Times New Roman" w:hAnsi="Times New Roman" w:cs="Times New Roman" w:eastAsiaTheme="majorEastAsia"/>
                <w:b/>
                <w:bCs/>
                <w:color w:val="auto"/>
                <w:sz w:val="24"/>
                <w:szCs w:val="24"/>
                <w:lang w:val="en-US" w:eastAsia="zh-CN"/>
              </w:rPr>
            </w:pPr>
            <w:r>
              <w:rPr>
                <w:rFonts w:hint="default" w:ascii="Times New Roman" w:hAnsi="Times New Roman" w:cs="Times New Roman" w:eastAsiaTheme="majorEastAsia"/>
                <w:b/>
                <w:bCs/>
                <w:color w:val="auto"/>
                <w:sz w:val="24"/>
                <w:szCs w:val="24"/>
                <w:lang w:val="en-US" w:eastAsia="zh-CN"/>
              </w:rPr>
              <w:t>4.3固体废物环境影响分析</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（1）一般固废影响分析</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本项目产生的</w:t>
            </w:r>
            <w:r>
              <w:rPr>
                <w:rFonts w:hint="default" w:ascii="Times New Roman" w:hAnsi="Times New Roman" w:eastAsia="宋体" w:cs="Times New Roman"/>
                <w:color w:val="auto"/>
                <w:sz w:val="24"/>
              </w:rPr>
              <w:t>一般工业固废的暂存场所需按照《一般工业固体废物贮存</w:t>
            </w:r>
            <w:r>
              <w:rPr>
                <w:rFonts w:hint="default" w:ascii="Times New Roman" w:hAnsi="Times New Roman" w:eastAsia="宋体" w:cs="Times New Roman"/>
                <w:color w:val="auto"/>
                <w:sz w:val="24"/>
                <w:lang w:val="en-US" w:eastAsia="zh-CN"/>
              </w:rPr>
              <w:t>和填埋</w:t>
            </w:r>
            <w:r>
              <w:rPr>
                <w:rFonts w:hint="default" w:ascii="Times New Roman" w:hAnsi="Times New Roman" w:eastAsia="宋体" w:cs="Times New Roman"/>
                <w:color w:val="auto"/>
                <w:sz w:val="24"/>
              </w:rPr>
              <w:t>污染控制标准》（GB18599-20</w:t>
            </w:r>
            <w:r>
              <w:rPr>
                <w:rFonts w:hint="default" w:ascii="Times New Roman" w:hAnsi="Times New Roman" w:eastAsia="宋体" w:cs="Times New Roman"/>
                <w:color w:val="auto"/>
                <w:sz w:val="24"/>
                <w:lang w:val="en-US" w:eastAsia="zh-CN"/>
              </w:rPr>
              <w:t>20</w:t>
            </w:r>
            <w:r>
              <w:rPr>
                <w:rFonts w:hint="default" w:ascii="Times New Roman" w:hAnsi="Times New Roman" w:eastAsia="宋体" w:cs="Times New Roman"/>
                <w:color w:val="auto"/>
                <w:sz w:val="24"/>
              </w:rPr>
              <w:t>）要求建设，具体要求如下：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①</w:t>
            </w:r>
            <w:r>
              <w:rPr>
                <w:rFonts w:hint="default" w:ascii="Times New Roman" w:hAnsi="Times New Roman" w:eastAsia="宋体" w:cs="Times New Roman"/>
                <w:color w:val="auto"/>
                <w:sz w:val="24"/>
                <w:lang w:val="en-US" w:eastAsia="zh-CN"/>
              </w:rPr>
              <w:t>贮存场、填埋场</w:t>
            </w:r>
            <w:r>
              <w:rPr>
                <w:rFonts w:hint="default" w:ascii="Times New Roman" w:hAnsi="Times New Roman" w:eastAsia="宋体" w:cs="Times New Roman"/>
                <w:color w:val="auto"/>
                <w:sz w:val="24"/>
              </w:rPr>
              <w:t>的建设类型，必须与将要堆放的一般工业固体废物的类别相一致。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②</w:t>
            </w:r>
            <w:r>
              <w:rPr>
                <w:rFonts w:hint="default" w:ascii="Times New Roman" w:hAnsi="Times New Roman" w:eastAsia="宋体" w:cs="Times New Roman"/>
                <w:color w:val="auto"/>
                <w:sz w:val="24"/>
                <w:lang w:val="en-US" w:eastAsia="zh-CN"/>
              </w:rPr>
              <w:t xml:space="preserve">贮存场、填埋场的防洪标准应按重现期不小于 50 年一遇的洪水位设计，国家已有标准提出更高要求的除外。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 xml:space="preserve">③贮存场和填埋场一般应包括以下单元： 防渗系统、渗滤液收集和导排系统； 雨污分流系统；分析化验与环境监测系统；公用工程和配套设施； 地下水导排系统和废水处理系统（根据具体情况选择设置）。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仿宋" w:cs="Times New Roman"/>
                <w:color w:val="auto"/>
                <w:sz w:val="24"/>
                <w:lang w:val="en-US" w:eastAsia="zh-CN"/>
              </w:rPr>
              <w:t>④</w:t>
            </w:r>
            <w:r>
              <w:rPr>
                <w:rFonts w:hint="default" w:ascii="Times New Roman" w:hAnsi="Times New Roman" w:eastAsia="宋体" w:cs="Times New Roman"/>
                <w:color w:val="auto"/>
                <w:sz w:val="24"/>
                <w:lang w:val="en-US" w:eastAsia="zh-CN"/>
              </w:rPr>
              <w:t xml:space="preserve"> 贮存场及填埋场施工方案中应包括施工质量保证和施工质量控制内容，明确环保条款和责任，作为项目竣工环境保护验收的依据，同时可作为建设环境监理的主要内容。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仿宋" w:cs="Times New Roman"/>
                <w:color w:val="auto"/>
                <w:sz w:val="24"/>
                <w:lang w:val="en-US" w:eastAsia="zh-CN"/>
              </w:rPr>
              <w:t>⑤</w:t>
            </w:r>
            <w:r>
              <w:rPr>
                <w:rFonts w:hint="default" w:ascii="Times New Roman" w:hAnsi="Times New Roman" w:eastAsia="宋体" w:cs="Times New Roman"/>
                <w:color w:val="auto"/>
                <w:sz w:val="24"/>
                <w:lang w:val="en-US" w:eastAsia="zh-CN"/>
              </w:rPr>
              <w:t xml:space="preserve">贮存场及填埋场在施工完毕后应保存施工报告、全套竣工图、所有材料的现场及实验室检测报告。采用高密度聚乙烯膜作为人工合成材料衬层的贮存场及填埋场还应提交人工防渗衬层完整性检测报告。上述材料连同施工质量保证书作为竣工环境保护验收的依据。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⑥ 贮存场及填埋场渗滤液收集池的防渗要求应不低于对应贮存场、填埋场的防渗要求。</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w:t>
            </w:r>
            <w:r>
              <w:rPr>
                <w:rFonts w:hint="default" w:ascii="Times New Roman" w:hAnsi="Times New Roman" w:eastAsia="宋体" w:cs="Times New Roman"/>
                <w:color w:val="auto"/>
                <w:sz w:val="24"/>
                <w:lang w:eastAsia="zh-CN"/>
              </w:rPr>
              <w:t>依托</w:t>
            </w:r>
            <w:r>
              <w:rPr>
                <w:rFonts w:hint="default" w:ascii="Times New Roman" w:hAnsi="Times New Roman" w:cs="Times New Roman"/>
                <w:color w:val="auto"/>
                <w:sz w:val="24"/>
                <w:lang w:val="en-US" w:eastAsia="zh-CN"/>
              </w:rPr>
              <w:t>厂区</w:t>
            </w:r>
            <w:r>
              <w:rPr>
                <w:rFonts w:hint="default" w:ascii="Times New Roman" w:hAnsi="Times New Roman" w:eastAsia="宋体" w:cs="Times New Roman"/>
                <w:color w:val="auto"/>
                <w:sz w:val="24"/>
                <w:lang w:eastAsia="zh-CN"/>
              </w:rPr>
              <w:t>现有</w:t>
            </w:r>
            <w:r>
              <w:rPr>
                <w:rFonts w:hint="default" w:ascii="Times New Roman" w:hAnsi="Times New Roman" w:eastAsia="宋体" w:cs="Times New Roman"/>
                <w:color w:val="auto"/>
                <w:sz w:val="24"/>
              </w:rPr>
              <w:t>1个</w:t>
            </w:r>
            <w:r>
              <w:rPr>
                <w:rFonts w:hint="default" w:ascii="Times New Roman" w:hAnsi="Times New Roman" w:eastAsia="宋体" w:cs="Times New Roman"/>
                <w:color w:val="auto"/>
                <w:sz w:val="24"/>
                <w:lang w:val="en-US" w:eastAsia="zh-CN"/>
              </w:rPr>
              <w:t>10</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的一般工业固废暂存间。本项目</w:t>
            </w:r>
            <w:r>
              <w:rPr>
                <w:rFonts w:hint="default" w:ascii="Times New Roman" w:hAnsi="Times New Roman" w:cs="Times New Roman"/>
                <w:color w:val="auto"/>
                <w:sz w:val="24"/>
                <w:lang w:val="en-US" w:eastAsia="zh-CN"/>
              </w:rPr>
              <w:t>产生的</w:t>
            </w:r>
            <w:r>
              <w:rPr>
                <w:rFonts w:hint="default" w:ascii="Times New Roman" w:hAnsi="Times New Roman" w:eastAsia="宋体" w:cs="Times New Roman"/>
                <w:color w:val="auto"/>
                <w:sz w:val="24"/>
                <w:szCs w:val="28"/>
                <w:lang w:val="en-US" w:eastAsia="zh-CN"/>
              </w:rPr>
              <w:t>废边角料、不合格产品和废包装物</w:t>
            </w:r>
            <w:r>
              <w:rPr>
                <w:rFonts w:hint="default" w:ascii="Times New Roman" w:hAnsi="Times New Roman" w:cs="Times New Roman"/>
                <w:color w:val="auto"/>
                <w:sz w:val="24"/>
                <w:szCs w:val="28"/>
                <w:lang w:val="en-US" w:eastAsia="zh-CN"/>
              </w:rPr>
              <w:t>收集后</w:t>
            </w:r>
            <w:r>
              <w:rPr>
                <w:rFonts w:hint="default" w:ascii="Times New Roman" w:hAnsi="Times New Roman" w:eastAsia="宋体" w:cs="Times New Roman"/>
                <w:color w:val="auto"/>
                <w:sz w:val="24"/>
                <w:szCs w:val="28"/>
                <w:lang w:val="en-US" w:eastAsia="zh-CN"/>
              </w:rPr>
              <w:t>定期外售</w:t>
            </w:r>
            <w:r>
              <w:rPr>
                <w:rFonts w:hint="default" w:ascii="Times New Roman" w:hAnsi="Times New Roman" w:cs="Times New Roman"/>
                <w:color w:val="auto"/>
                <w:sz w:val="24"/>
                <w:lang w:val="en-US" w:eastAsia="zh-CN"/>
              </w:rPr>
              <w:t>，通常</w:t>
            </w:r>
            <w:r>
              <w:rPr>
                <w:rFonts w:hint="default" w:ascii="Times New Roman" w:hAnsi="Times New Roman" w:eastAsia="宋体" w:cs="Times New Roman"/>
                <w:color w:val="auto"/>
                <w:sz w:val="24"/>
              </w:rPr>
              <w:t>不会</w:t>
            </w:r>
            <w:r>
              <w:rPr>
                <w:rFonts w:hint="default" w:ascii="Times New Roman" w:hAnsi="Times New Roman" w:eastAsia="宋体" w:cs="Times New Roman"/>
                <w:color w:val="auto"/>
                <w:sz w:val="24"/>
                <w:lang w:val="en-US" w:eastAsia="zh-CN"/>
              </w:rPr>
              <w:t>长期</w:t>
            </w:r>
            <w:r>
              <w:rPr>
                <w:rFonts w:hint="default" w:ascii="Times New Roman" w:hAnsi="Times New Roman" w:eastAsia="宋体" w:cs="Times New Roman"/>
                <w:color w:val="auto"/>
                <w:sz w:val="24"/>
              </w:rPr>
              <w:t>占用一般固废暂存间面积。</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 xml:space="preserve">（2）危险废物环境影响分析 </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 xml:space="preserve">本项目危险固废应尽快送往有资质的危废处理单位处理，不宜存放过长时间，确需暂存的，危废贮存场所应做到以下几点： </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 xml:space="preserve">①贮存场所应符合《危险废物贮存污染控制标准》（GB18597-2023）中相关修改内容，有符合要求的专用标志。建设防渗设施，并建造浸出液收集清除系统；危险废物暂存做到“防风、防雨、防晒、防渗漏”；配备照明设施、安全防护设施，并设有应急防护设施。 </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②危险废物贮存场所必须按</w:t>
            </w:r>
            <w:r>
              <w:rPr>
                <w:rFonts w:hint="default" w:ascii="Times New Roman" w:hAnsi="Times New Roman" w:cs="Times New Roman"/>
                <w:color w:val="000000" w:themeColor="text1"/>
                <w:sz w:val="24"/>
                <w:lang w:val="en-US" w:eastAsia="zh-CN"/>
                <w14:textFill>
                  <w14:solidFill>
                    <w14:schemeClr w14:val="tx1"/>
                  </w14:solidFill>
                </w14:textFill>
              </w:rPr>
              <w:t>《环境保护图形标志 固体废物贮存（处置）场》（GB 15562.2-1995）（含2023修改单）</w:t>
            </w:r>
            <w:r>
              <w:rPr>
                <w:rFonts w:hint="eastAsia" w:ascii="Times New Roman" w:hAnsi="Times New Roman" w:cs="Times New Roman"/>
                <w:color w:val="000000" w:themeColor="text1"/>
                <w:sz w:val="24"/>
                <w:lang w:val="en-US" w:eastAsia="zh-CN"/>
                <w14:textFill>
                  <w14:solidFill>
                    <w14:schemeClr w14:val="tx1"/>
                  </w14:solidFill>
                </w14:textFill>
              </w:rPr>
              <w:t>和《</w:t>
            </w:r>
            <w:r>
              <w:rPr>
                <w:rFonts w:hint="default" w:ascii="Times New Roman" w:hAnsi="Times New Roman" w:cs="Times New Roman"/>
                <w:color w:val="000000" w:themeColor="text1"/>
                <w:sz w:val="24"/>
                <w:lang w:val="en-US" w:eastAsia="zh-CN"/>
                <w14:textFill>
                  <w14:solidFill>
                    <w14:schemeClr w14:val="tx1"/>
                  </w14:solidFill>
                </w14:textFill>
              </w:rPr>
              <w:t>省生态环境厅关于做好</w:t>
            </w:r>
            <w:r>
              <w:rPr>
                <w:rFonts w:hint="eastAsia" w:ascii="Times New Roman" w:hAnsi="Times New Roman" w:cs="Times New Roman"/>
                <w:color w:val="000000" w:themeColor="text1"/>
                <w:sz w:val="24"/>
                <w:lang w:val="en-US" w:eastAsia="zh-CN"/>
                <w14:textFill>
                  <w14:solidFill>
                    <w14:schemeClr w14:val="tx1"/>
                  </w14:solidFill>
                </w14:textFill>
              </w:rPr>
              <w:t>&lt;</w:t>
            </w:r>
            <w:r>
              <w:rPr>
                <w:rFonts w:hint="default" w:ascii="Times New Roman" w:hAnsi="Times New Roman" w:cs="Times New Roman"/>
                <w:color w:val="000000" w:themeColor="text1"/>
                <w:sz w:val="24"/>
                <w:lang w:val="en-US" w:eastAsia="zh-CN"/>
                <w14:textFill>
                  <w14:solidFill>
                    <w14:schemeClr w14:val="tx1"/>
                  </w14:solidFill>
                </w14:textFill>
              </w:rPr>
              <w:t>危险废物贮存污染控制标准</w:t>
            </w:r>
            <w:r>
              <w:rPr>
                <w:rFonts w:hint="eastAsia" w:ascii="Times New Roman" w:hAnsi="Times New Roman" w:cs="Times New Roman"/>
                <w:color w:val="000000" w:themeColor="text1"/>
                <w:sz w:val="24"/>
                <w:lang w:val="en-US" w:eastAsia="zh-CN"/>
                <w14:textFill>
                  <w14:solidFill>
                    <w14:schemeClr w14:val="tx1"/>
                  </w14:solidFill>
                </w14:textFill>
              </w:rPr>
              <w:t>&gt;</w:t>
            </w:r>
            <w:r>
              <w:rPr>
                <w:rFonts w:hint="default" w:ascii="Times New Roman" w:hAnsi="Times New Roman" w:cs="Times New Roman"/>
                <w:color w:val="000000" w:themeColor="text1"/>
                <w:sz w:val="24"/>
                <w:lang w:val="en-US" w:eastAsia="zh-CN"/>
                <w14:textFill>
                  <w14:solidFill>
                    <w14:schemeClr w14:val="tx1"/>
                  </w14:solidFill>
                </w14:textFill>
              </w:rPr>
              <w:t>等标准规范实施后危险废物环境管理衔接工作的通知</w:t>
            </w:r>
            <w:r>
              <w:rPr>
                <w:rFonts w:hint="eastAsia" w:ascii="Times New Roman" w:hAnsi="Times New Roman" w:cs="Times New Roman"/>
                <w:color w:val="000000" w:themeColor="text1"/>
                <w:sz w:val="24"/>
                <w:lang w:val="en-US" w:eastAsia="zh-CN"/>
                <w14:textFill>
                  <w14:solidFill>
                    <w14:schemeClr w14:val="tx1"/>
                  </w14:solidFill>
                </w14:textFill>
              </w:rPr>
              <w:t>》（苏环办[2023]154号）等</w:t>
            </w:r>
            <w:r>
              <w:rPr>
                <w:rFonts w:hint="default" w:ascii="Times New Roman" w:hAnsi="Times New Roman" w:eastAsia="宋体" w:cs="Times New Roman"/>
                <w:color w:val="auto"/>
                <w:sz w:val="24"/>
                <w:szCs w:val="28"/>
                <w:lang w:val="en-US" w:eastAsia="zh-CN"/>
              </w:rPr>
              <w:t xml:space="preserve">规定设置警示标志。 </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szCs w:val="28"/>
                <w:lang w:val="en-US" w:eastAsia="zh-CN"/>
              </w:rPr>
              <w:t xml:space="preserve">③危险废物贮存场所周围应设置围墙或其它防护栅栏。 </w:t>
            </w:r>
          </w:p>
          <w:p>
            <w:pPr>
              <w:spacing w:line="360" w:lineRule="auto"/>
              <w:ind w:firstLine="480" w:firstLineChars="200"/>
              <w:jc w:val="both"/>
              <w:rPr>
                <w:rFonts w:hint="default" w:ascii="Times New Roman" w:hAnsi="Times New Roman" w:cs="Times New Roman"/>
                <w:color w:val="000000" w:themeColor="text1"/>
                <w:sz w:val="24"/>
                <w:lang w:val="en-US" w:eastAsia="zh-CN"/>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④危险废物贮存场所应配备通讯设备、照明设施、安全防护服装及工具，并设有应急防护设施。</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 xml:space="preserve">⑤贮存区内禁止混放不相容危险废物。 </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 xml:space="preserve">⑥贮存区考虑相应的集排水和防渗设施。 </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 xml:space="preserve">⑦贮存区符合消防要求。 </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 xml:space="preserve">⑧贮存容器必须有明显标志，具有耐腐蚀、耐压、密封和不与所贮存的废物发生反应等特性。 </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 xml:space="preserve">⑨存放容器应设有防漏裙脚或储漏盘。 </w:t>
            </w:r>
          </w:p>
          <w:p>
            <w:pPr>
              <w:spacing w:line="360" w:lineRule="auto"/>
              <w:ind w:firstLine="480" w:firstLineChars="200"/>
              <w:jc w:val="both"/>
              <w:rPr>
                <w:rFonts w:hint="default" w:ascii="Times New Roman" w:hAnsi="Times New Roman" w:cs="Times New Roman"/>
                <w:color w:val="000000" w:themeColor="text1"/>
                <w:sz w:val="24"/>
                <w:lang w:val="en-US" w:eastAsia="zh-CN"/>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⑩企业严格按照《省生态环境厅关于印发江苏省危险废物贮存规范化管理专项整治行动方案的通知》（苏环办[2019]149 号）及《省生态环境厅关于做好江苏省危险废物全生命周期监控系统上线运行工作的通知》（苏环办[2020]401 号）要求，并按照《环境保护图形标志 固体废物贮存（处置）场》（GB 15562.2-1995）（含2023修改单）</w:t>
            </w:r>
            <w:r>
              <w:rPr>
                <w:rFonts w:hint="eastAsia"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省生态环境厅关于做好</w:t>
            </w:r>
            <w:r>
              <w:rPr>
                <w:rFonts w:hint="eastAsia" w:ascii="Times New Roman" w:hAnsi="Times New Roman" w:cs="Times New Roman"/>
                <w:color w:val="000000" w:themeColor="text1"/>
                <w:sz w:val="24"/>
                <w:lang w:val="en-US" w:eastAsia="zh-CN"/>
                <w14:textFill>
                  <w14:solidFill>
                    <w14:schemeClr w14:val="tx1"/>
                  </w14:solidFill>
                </w14:textFill>
              </w:rPr>
              <w:t>&lt;</w:t>
            </w:r>
            <w:r>
              <w:rPr>
                <w:rFonts w:hint="default" w:ascii="Times New Roman" w:hAnsi="Times New Roman" w:cs="Times New Roman"/>
                <w:color w:val="000000" w:themeColor="text1"/>
                <w:sz w:val="24"/>
                <w:lang w:val="en-US" w:eastAsia="zh-CN"/>
                <w14:textFill>
                  <w14:solidFill>
                    <w14:schemeClr w14:val="tx1"/>
                  </w14:solidFill>
                </w14:textFill>
              </w:rPr>
              <w:t>危险废物贮存污染控制标准</w:t>
            </w:r>
            <w:r>
              <w:rPr>
                <w:rFonts w:hint="eastAsia" w:ascii="Times New Roman" w:hAnsi="Times New Roman" w:cs="Times New Roman"/>
                <w:color w:val="000000" w:themeColor="text1"/>
                <w:sz w:val="24"/>
                <w:lang w:val="en-US" w:eastAsia="zh-CN"/>
                <w14:textFill>
                  <w14:solidFill>
                    <w14:schemeClr w14:val="tx1"/>
                  </w14:solidFill>
                </w14:textFill>
              </w:rPr>
              <w:t>&gt;</w:t>
            </w:r>
            <w:r>
              <w:rPr>
                <w:rFonts w:hint="default" w:ascii="Times New Roman" w:hAnsi="Times New Roman" w:cs="Times New Roman"/>
                <w:color w:val="000000" w:themeColor="text1"/>
                <w:sz w:val="24"/>
                <w:lang w:val="en-US" w:eastAsia="zh-CN"/>
                <w14:textFill>
                  <w14:solidFill>
                    <w14:schemeClr w14:val="tx1"/>
                  </w14:solidFill>
                </w14:textFill>
              </w:rPr>
              <w:t>等标准规范实施后危险废物环境管理衔接工作的通知</w:t>
            </w:r>
            <w:r>
              <w:rPr>
                <w:rFonts w:hint="eastAsia" w:ascii="Times New Roman" w:hAnsi="Times New Roman" w:cs="Times New Roman"/>
                <w:color w:val="000000" w:themeColor="text1"/>
                <w:sz w:val="24"/>
                <w:lang w:val="en-US" w:eastAsia="zh-CN"/>
                <w14:textFill>
                  <w14:solidFill>
                    <w14:schemeClr w14:val="tx1"/>
                  </w14:solidFill>
                </w14:textFill>
              </w:rPr>
              <w:t>》（苏环办[2023]154号）</w:t>
            </w:r>
            <w:r>
              <w:rPr>
                <w:rFonts w:hint="default" w:ascii="Times New Roman" w:hAnsi="Times New Roman" w:cs="Times New Roman"/>
                <w:color w:val="000000" w:themeColor="text1"/>
                <w:sz w:val="24"/>
                <w:lang w:val="en-US" w:eastAsia="zh-CN"/>
                <w14:textFill>
                  <w14:solidFill>
                    <w14:schemeClr w14:val="tx1"/>
                  </w14:solidFill>
                </w14:textFill>
              </w:rPr>
              <w:t xml:space="preserve">和危险废物识别标识设置规范设置标志，配备通讯设备、照明设施和消防设施；在出入口、设施内部、危险废物运输车辆通道等关键位置按照危险废物贮存设施视频监控布设要求设置视频监控，并与中控室联网。 </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项目依托现有一座建筑面积为10m</w:t>
            </w:r>
            <w:r>
              <w:rPr>
                <w:rFonts w:hint="default" w:ascii="Times New Roman" w:hAnsi="Times New Roman" w:cs="Times New Roman"/>
                <w:color w:val="000000" w:themeColor="text1"/>
                <w:sz w:val="24"/>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lang w:val="en-US" w:eastAsia="zh-CN"/>
                <w14:textFill>
                  <w14:solidFill>
                    <w14:schemeClr w14:val="tx1"/>
                  </w14:solidFill>
                </w14:textFill>
              </w:rPr>
              <w:t xml:space="preserve">的危废暂存间，本项目所在区域不属于地震、泥石流等地质灾害频发带，也不存在洪水淹没的情况，离周边水体有一定的距离，因此，危废仓库的选址合理。改建项目满负荷运行条件下，危废最大产生量为 </w:t>
            </w:r>
            <w:r>
              <w:rPr>
                <w:rFonts w:hint="eastAsia" w:ascii="Times New Roman" w:hAnsi="Times New Roman" w:cs="Times New Roman"/>
                <w:color w:val="000000" w:themeColor="text1"/>
                <w:sz w:val="24"/>
                <w:lang w:val="en-US" w:eastAsia="zh-CN"/>
                <w14:textFill>
                  <w14:solidFill>
                    <w14:schemeClr w14:val="tx1"/>
                  </w14:solidFill>
                </w14:textFill>
              </w:rPr>
              <w:t>2.968</w:t>
            </w:r>
            <w:r>
              <w:rPr>
                <w:rFonts w:hint="default" w:ascii="Times New Roman" w:hAnsi="Times New Roman" w:cs="Times New Roman"/>
                <w:color w:val="000000" w:themeColor="text1"/>
                <w:sz w:val="24"/>
                <w:lang w:val="en-US" w:eastAsia="zh-CN"/>
                <w14:textFill>
                  <w14:solidFill>
                    <w14:schemeClr w14:val="tx1"/>
                  </w14:solidFill>
                </w14:textFill>
              </w:rPr>
              <w:t xml:space="preserve">t/a，项目采用密封性良好的包装桶盛放活性炭采用，废水性油墨桶捆扎堆放，危废暂存间最大贮存能力为 10t，能够满足贮存需求。 </w:t>
            </w:r>
          </w:p>
          <w:p>
            <w:pPr>
              <w:spacing w:line="360" w:lineRule="auto"/>
              <w:ind w:firstLine="480" w:firstLineChars="200"/>
              <w:jc w:val="both"/>
              <w:rPr>
                <w:rFonts w:hint="default" w:ascii="Times New Roman" w:hAnsi="Times New Roman" w:cs="Times New Roman"/>
                <w:color w:val="000000"/>
                <w:kern w:val="0"/>
                <w:sz w:val="24"/>
                <w:szCs w:val="20"/>
                <w:lang w:bidi="ar"/>
              </w:rPr>
            </w:pPr>
            <w:r>
              <w:rPr>
                <w:rFonts w:hint="default" w:ascii="Times New Roman" w:hAnsi="Times New Roman" w:cs="Times New Roman"/>
                <w:color w:val="000000"/>
                <w:kern w:val="0"/>
                <w:sz w:val="24"/>
                <w:szCs w:val="20"/>
                <w:lang w:val="en-US" w:eastAsia="zh-CN" w:bidi="ar"/>
              </w:rPr>
              <w:t xml:space="preserve">（3）环保图形标志 </w:t>
            </w:r>
          </w:p>
          <w:p>
            <w:pPr>
              <w:spacing w:line="360" w:lineRule="auto"/>
              <w:ind w:firstLine="480" w:firstLineChars="200"/>
              <w:jc w:val="both"/>
              <w:rPr>
                <w:rFonts w:hint="default" w:ascii="Times New Roman" w:hAnsi="Times New Roman" w:cs="Times New Roman"/>
                <w:color w:val="000000"/>
                <w:kern w:val="0"/>
                <w:sz w:val="24"/>
                <w:szCs w:val="20"/>
                <w:lang w:bidi="ar"/>
              </w:rPr>
            </w:pPr>
            <w:r>
              <w:rPr>
                <w:rFonts w:hint="default" w:ascii="Times New Roman" w:hAnsi="Times New Roman" w:cs="Times New Roman"/>
                <w:color w:val="000000"/>
                <w:kern w:val="0"/>
                <w:sz w:val="24"/>
                <w:szCs w:val="20"/>
                <w:lang w:val="en-US" w:eastAsia="zh-CN" w:bidi="ar"/>
              </w:rPr>
              <w:t>本项目固废暂存场所的环境保护图形标志的具体要求见表 4-1</w:t>
            </w:r>
            <w:r>
              <w:rPr>
                <w:rFonts w:hint="eastAsia" w:ascii="Times New Roman" w:hAnsi="Times New Roman" w:cs="Times New Roman"/>
                <w:color w:val="000000"/>
                <w:kern w:val="0"/>
                <w:sz w:val="24"/>
                <w:szCs w:val="20"/>
                <w:lang w:val="en-US" w:eastAsia="zh-CN" w:bidi="ar"/>
              </w:rPr>
              <w:t>8</w:t>
            </w:r>
            <w:r>
              <w:rPr>
                <w:rFonts w:hint="default" w:ascii="Times New Roman" w:hAnsi="Times New Roman" w:cs="Times New Roman"/>
                <w:color w:val="000000"/>
                <w:kern w:val="0"/>
                <w:sz w:val="24"/>
                <w:szCs w:val="20"/>
                <w:lang w:val="en-US" w:eastAsia="zh-CN" w:bidi="ar"/>
              </w:rPr>
              <w:t xml:space="preserve">。 </w:t>
            </w:r>
          </w:p>
          <w:p>
            <w:pPr>
              <w:pStyle w:val="22"/>
              <w:spacing w:line="360" w:lineRule="auto"/>
              <w:ind w:firstLine="422" w:firstLineChars="200"/>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表4-1</w:t>
            </w:r>
            <w:r>
              <w:rPr>
                <w:rFonts w:hint="eastAsia" w:ascii="Times New Roman" w:hAnsi="Times New Roman" w:cs="Times New Roman" w:eastAsiaTheme="minorEastAsia"/>
                <w:b/>
                <w:bCs/>
                <w:color w:val="000000" w:themeColor="text1"/>
                <w:sz w:val="21"/>
                <w:szCs w:val="21"/>
                <w:lang w:val="en-US" w:eastAsia="zh-CN"/>
                <w14:textFill>
                  <w14:solidFill>
                    <w14:schemeClr w14:val="tx1"/>
                  </w14:solidFill>
                </w14:textFill>
              </w:rPr>
              <w:t>8</w:t>
            </w:r>
            <w:r>
              <w:rPr>
                <w:rFonts w:hint="default" w:ascii="Times New Roman" w:hAnsi="Times New Roman" w:cs="Times New Roman" w:eastAsiaTheme="minorEastAsia"/>
                <w:b/>
                <w:bCs/>
                <w:color w:val="000000" w:themeColor="text1"/>
                <w:sz w:val="21"/>
                <w:szCs w:val="21"/>
                <w14:textFill>
                  <w14:solidFill>
                    <w14:schemeClr w14:val="tx1"/>
                  </w14:solidFill>
                </w14:textFill>
              </w:rPr>
              <w:t xml:space="preserve">  固体废物贮存场所环境保护图形标志</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25" w:type="dxa"/>
                  <w:tcBorders>
                    <w:top w:val="single" w:color="auto" w:sz="4" w:space="0"/>
                    <w:left w:val="single" w:color="auto" w:sz="4" w:space="0"/>
                    <w:bottom w:val="single" w:color="auto" w:sz="4" w:space="0"/>
                    <w:right w:val="single" w:color="auto" w:sz="4" w:space="0"/>
                  </w:tcBorders>
                </w:tcPr>
                <w:p>
                  <w:pPr>
                    <w:widowControl/>
                    <w:rPr>
                      <w:rFonts w:hint="default" w:ascii="Times New Roman" w:hAnsi="Times New Roman" w:cs="Times New Roman" w:eastAsiaTheme="minorEastAsia"/>
                      <w:sz w:val="21"/>
                      <w:szCs w:val="21"/>
                    </w:rPr>
                  </w:pPr>
                  <w:r>
                    <w:rPr>
                      <w:rFonts w:hint="default" w:ascii="Times New Roman" w:hAnsi="Times New Roman" w:cs="Times New Roman" w:eastAsiaTheme="minorEastAsia"/>
                      <w:b/>
                      <w:bCs/>
                      <w:sz w:val="21"/>
                      <w:szCs w:val="21"/>
                      <w:lang w:bidi="ar"/>
                    </w:rPr>
                    <w:t>一般固废暂存：</w:t>
                  </w:r>
                </w:p>
                <w:p>
                  <w:pPr>
                    <w:widowControl/>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1、规格：30×40cm</w:t>
                  </w:r>
                </w:p>
                <w:p>
                  <w:pPr>
                    <w:widowControl/>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2、材质：1.0mm铁板或铝板</w:t>
                  </w:r>
                </w:p>
                <w:p>
                  <w:pPr>
                    <w:widowControl/>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3、污染物种类填：包装废料；</w:t>
                  </w:r>
                </w:p>
                <w:p>
                  <w:pPr>
                    <w:widowControl/>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4、排口编号：企业自行编号；</w:t>
                  </w:r>
                </w:p>
                <w:p>
                  <w:pPr>
                    <w:widowControl/>
                    <w:rPr>
                      <w:rFonts w:hint="default" w:ascii="Times New Roman" w:hAnsi="Times New Roman" w:cs="Times New Roman" w:eastAsiaTheme="minorEastAsia"/>
                      <w:sz w:val="21"/>
                      <w:szCs w:val="21"/>
                      <w:highlight w:val="green"/>
                    </w:rPr>
                  </w:pPr>
                  <w:r>
                    <w:rPr>
                      <w:rFonts w:hint="default" w:ascii="Times New Roman" w:hAnsi="Times New Roman" w:cs="Times New Roman" w:eastAsiaTheme="minorEastAsia"/>
                      <w:sz w:val="21"/>
                      <w:szCs w:val="21"/>
                      <w:lang w:bidi="ar"/>
                    </w:rPr>
                    <w:t>5、企业名称：企业全名；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50" w:hRule="atLeast"/>
              </w:trPr>
              <w:tc>
                <w:tcPr>
                  <w:tcW w:w="9025" w:type="dxa"/>
                  <w:tcBorders>
                    <w:top w:val="single" w:color="auto" w:sz="4" w:space="0"/>
                    <w:left w:val="single" w:color="auto" w:sz="4" w:space="0"/>
                    <w:bottom w:val="single" w:color="auto" w:sz="4" w:space="0"/>
                    <w:right w:val="single" w:color="auto" w:sz="4" w:space="0"/>
                  </w:tcBorders>
                </w:tcPr>
                <w:p>
                  <w:pPr>
                    <w:pStyle w:val="22"/>
                    <w:spacing w:line="240" w:lineRule="auto"/>
                    <w:ind w:firstLine="482"/>
                    <w:jc w:val="center"/>
                    <w:rPr>
                      <w:rFonts w:hint="default" w:ascii="Times New Roman" w:hAnsi="Times New Roman" w:cs="Times New Roman" w:eastAsiaTheme="minorEastAsia"/>
                      <w:sz w:val="21"/>
                      <w:szCs w:val="21"/>
                      <w:highlight w:val="green"/>
                      <w:lang w:eastAsia="en-US"/>
                    </w:rPr>
                  </w:pPr>
                  <w:r>
                    <w:rPr>
                      <w:rFonts w:hint="default" w:ascii="Times New Roman" w:hAnsi="Times New Roman" w:cs="Times New Roman" w:eastAsiaTheme="minorEastAsia"/>
                      <w:sz w:val="21"/>
                      <w:szCs w:val="21"/>
                    </w:rPr>
                    <w:drawing>
                      <wp:inline distT="0" distB="0" distL="0" distR="0">
                        <wp:extent cx="2686050" cy="1962150"/>
                        <wp:effectExtent l="0" t="0" r="635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686050" cy="19621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025" w:type="dxa"/>
                  <w:tcBorders>
                    <w:top w:val="single" w:color="auto" w:sz="4" w:space="0"/>
                    <w:left w:val="single" w:color="auto" w:sz="4" w:space="0"/>
                    <w:bottom w:val="single" w:color="auto" w:sz="4" w:space="0"/>
                    <w:right w:val="single" w:color="auto" w:sz="4" w:space="0"/>
                  </w:tcBorders>
                </w:tcPr>
                <w:p>
                  <w:pPr>
                    <w:widowControl/>
                    <w:rPr>
                      <w:rFonts w:hint="default" w:ascii="Times New Roman" w:hAnsi="Times New Roman" w:cs="Times New Roman" w:eastAsiaTheme="minorEastAsia"/>
                      <w:sz w:val="21"/>
                      <w:szCs w:val="21"/>
                    </w:rPr>
                  </w:pPr>
                  <w:r>
                    <w:rPr>
                      <w:rFonts w:hint="default" w:ascii="Times New Roman" w:hAnsi="Times New Roman" w:cs="Times New Roman" w:eastAsiaTheme="minorEastAsia"/>
                      <w:b/>
                      <w:bCs/>
                      <w:sz w:val="21"/>
                      <w:szCs w:val="21"/>
                      <w:lang w:bidi="ar"/>
                    </w:rPr>
                    <w:t>危废信息公开：</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1.设置位置</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采用立式固定方式固定在危险废物产生单位厂区门口醒目位置，公开栏顶端距离地面200cm处。</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2.规格参数</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（1）尺寸：底板120cm×80cm</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（2）颜色与字体：公开栏底板背景颜色为蓝色(印刷CMYK参数附后，下同)，文字颜色为白色，所有文字字体为黑体</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（3）材料：底板采用5mm铝板</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3.公开内容</w:t>
                  </w:r>
                </w:p>
                <w:p>
                  <w:pPr>
                    <w:widowControl/>
                    <w:ind w:firstLine="420" w:firstLineChars="200"/>
                    <w:rPr>
                      <w:rFonts w:hint="default" w:ascii="Times New Roman" w:hAnsi="Times New Roman" w:cs="Times New Roman" w:eastAsiaTheme="minorEastAsia"/>
                      <w:sz w:val="21"/>
                      <w:szCs w:val="21"/>
                      <w:highlight w:val="green"/>
                    </w:rPr>
                  </w:pPr>
                  <w:r>
                    <w:rPr>
                      <w:rFonts w:hint="default" w:ascii="Times New Roman" w:hAnsi="Times New Roman" w:cs="Times New Roman" w:eastAsiaTheme="minorEastAsia"/>
                      <w:sz w:val="21"/>
                      <w:szCs w:val="21"/>
                      <w:lang w:bidi="ar"/>
                    </w:rPr>
                    <w:t>包括企业名称、地址、法人代表及电话、环保负责人及电话、危险废物产生规模、贮存设施建筑面积和容积、贮存设施数量、危险废物名称、危险废物代码、环评批文、产生来源、环境污染防治措施、厂区平面示意图、监督举报途径、监制单位等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025" w:type="dxa"/>
                  <w:tcBorders>
                    <w:top w:val="single" w:color="auto" w:sz="4" w:space="0"/>
                    <w:left w:val="single" w:color="auto" w:sz="4" w:space="0"/>
                    <w:bottom w:val="single" w:color="auto" w:sz="4" w:space="0"/>
                    <w:right w:val="single" w:color="auto" w:sz="4" w:space="0"/>
                  </w:tcBorders>
                </w:tcPr>
                <w:p>
                  <w:pPr>
                    <w:pStyle w:val="22"/>
                    <w:spacing w:line="240" w:lineRule="auto"/>
                    <w:ind w:firstLine="482"/>
                    <w:jc w:val="center"/>
                    <w:rPr>
                      <w:rFonts w:hint="default" w:ascii="Times New Roman" w:hAnsi="Times New Roman" w:cs="Times New Roman" w:eastAsiaTheme="minorEastAsia"/>
                      <w:sz w:val="21"/>
                      <w:szCs w:val="21"/>
                      <w:highlight w:val="green"/>
                      <w:lang w:eastAsia="en-US"/>
                    </w:rPr>
                  </w:pPr>
                  <w:r>
                    <w:rPr>
                      <w:rFonts w:hint="default" w:ascii="Times New Roman" w:hAnsi="Times New Roman" w:cs="Times New Roman" w:eastAsiaTheme="minorEastAsia"/>
                      <w:sz w:val="21"/>
                      <w:szCs w:val="21"/>
                    </w:rPr>
                    <w:drawing>
                      <wp:inline distT="0" distB="0" distL="0" distR="0">
                        <wp:extent cx="3251200" cy="21717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3251200" cy="21717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025" w:type="dxa"/>
                  <w:tcBorders>
                    <w:top w:val="single" w:color="auto" w:sz="4" w:space="0"/>
                    <w:left w:val="single" w:color="auto" w:sz="4" w:space="0"/>
                    <w:bottom w:val="single" w:color="auto" w:sz="4" w:space="0"/>
                    <w:right w:val="single" w:color="auto" w:sz="4" w:space="0"/>
                  </w:tcBorders>
                </w:tcPr>
                <w:p>
                  <w:pPr>
                    <w:widowControl/>
                    <w:ind w:firstLine="422"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b/>
                      <w:bCs/>
                      <w:sz w:val="21"/>
                      <w:szCs w:val="21"/>
                      <w:lang w:bidi="ar"/>
                    </w:rPr>
                    <w:t>危险废物贮存分区标志</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1.设置位置</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危险废物贮存分区的划分应满足GB 18597 中的有关规定。宜在危险废物贮存设施内的每一个贮存分区处设置危险废物贮存分区标志。</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2.规格参数</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（1）颜色：危险废物分区标志背景色应采用黄色，RGB 颜色值为（255, 255, 0）。废物种类信息应采用醒目的橘黄色，RGB 颜色值为（255, 150, 0）。字体颜色为黑色，RGB 颜色值为（0, 0, 0）。</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（2）字体：危险废物分区标志的字体宜采用黑体字，其中“危险废物贮存分区标志”字样应加粗放大并居中显示。</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（3）尺寸：危险废物贮存分区标志的尺寸宜根据对应的观察距离按照表2 中的要求设置。</w:t>
                  </w:r>
                </w:p>
                <w:p>
                  <w:pPr>
                    <w:pStyle w:val="28"/>
                    <w:rPr>
                      <w:rFonts w:hint="default" w:ascii="Times New Roman" w:hAnsi="Times New Roman" w:cs="Times New Roman"/>
                      <w:sz w:val="21"/>
                      <w:szCs w:val="21"/>
                      <w:lang w:bidi="ar"/>
                    </w:rPr>
                  </w:pPr>
                  <w:r>
                    <w:rPr>
                      <w:rFonts w:hint="default" w:ascii="Times New Roman" w:hAnsi="Times New Roman" w:cs="Times New Roman"/>
                      <w:sz w:val="21"/>
                      <w:szCs w:val="21"/>
                    </w:rPr>
                    <w:drawing>
                      <wp:inline distT="0" distB="0" distL="0" distR="0">
                        <wp:extent cx="4977130" cy="864235"/>
                        <wp:effectExtent l="0" t="0" r="1270" b="12065"/>
                        <wp:docPr id="36" name="图片 36" descr="C:\Users\kevin\Documents\WeChat Files\a675416053\FileStorage\Temp\1683965041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kevin\Documents\WeChat Files\a675416053\FileStorage\Temp\168396504123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977130" cy="864235"/>
                                </a:xfrm>
                                <a:prstGeom prst="rect">
                                  <a:avLst/>
                                </a:prstGeom>
                                <a:noFill/>
                                <a:ln>
                                  <a:noFill/>
                                </a:ln>
                              </pic:spPr>
                            </pic:pic>
                          </a:graphicData>
                        </a:graphic>
                      </wp:inline>
                    </w:drawing>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（4）材质：危险废物贮存分区标志的衬底宜采用坚固耐用的材料，并具有耐用性和防水性。废物贮存种类信息等可采用印刷纸张、不粘胶材质或塑料卡片等，以便固定在衬底上。</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（5）印刷：危险废物贮存分区标志的图形和文字应清晰、完整，保证在足够的观察距离条件下不影响阅读。“危险废物贮存分区标志”字样与其他信息宜加黑色分界线区分，分界线的宽度不小于2 mm。</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（6）样式危险废物贮存分区标志的制作宜符合图所示样式</w:t>
                  </w:r>
                </w:p>
                <w:p>
                  <w:pPr>
                    <w:widowControl/>
                    <w:ind w:firstLine="420" w:firstLineChars="200"/>
                    <w:rPr>
                      <w:rFonts w:hint="default" w:ascii="Times New Roman" w:hAnsi="Times New Roman" w:cs="Times New Roman" w:eastAsiaTheme="minorEastAsia"/>
                      <w:sz w:val="21"/>
                      <w:szCs w:val="21"/>
                      <w:highlight w:val="gree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025" w:type="dxa"/>
                  <w:tcBorders>
                    <w:top w:val="single" w:color="auto" w:sz="4" w:space="0"/>
                    <w:left w:val="single" w:color="auto" w:sz="4" w:space="0"/>
                    <w:bottom w:val="single" w:color="auto" w:sz="4" w:space="0"/>
                    <w:right w:val="single" w:color="auto" w:sz="4" w:space="0"/>
                  </w:tcBorders>
                </w:tcPr>
                <w:p>
                  <w:pPr>
                    <w:pStyle w:val="22"/>
                    <w:spacing w:line="240" w:lineRule="auto"/>
                    <w:ind w:firstLine="482"/>
                    <w:jc w:val="center"/>
                    <w:rPr>
                      <w:rFonts w:hint="default" w:ascii="Times New Roman" w:hAnsi="Times New Roman" w:cs="Times New Roman" w:eastAsiaTheme="minorEastAsia"/>
                      <w:sz w:val="21"/>
                      <w:szCs w:val="21"/>
                      <w:highlight w:val="green"/>
                      <w:lang w:eastAsia="en-US"/>
                    </w:rPr>
                  </w:pPr>
                  <w:r>
                    <w:rPr>
                      <w:rFonts w:hint="default" w:ascii="Times New Roman" w:hAnsi="Times New Roman" w:cs="Times New Roman" w:eastAsiaTheme="minorEastAsia"/>
                      <w:sz w:val="21"/>
                      <w:szCs w:val="21"/>
                      <w:highlight w:val="green"/>
                    </w:rPr>
                    <w:drawing>
                      <wp:inline distT="0" distB="0" distL="0" distR="0">
                        <wp:extent cx="3224530" cy="2693035"/>
                        <wp:effectExtent l="0" t="0" r="1270" b="1206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224530" cy="26930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025" w:type="dxa"/>
                  <w:tcBorders>
                    <w:top w:val="single" w:color="auto" w:sz="4" w:space="0"/>
                    <w:left w:val="single" w:color="auto" w:sz="4" w:space="0"/>
                    <w:bottom w:val="single" w:color="auto" w:sz="4" w:space="0"/>
                    <w:right w:val="single" w:color="auto" w:sz="4" w:space="0"/>
                  </w:tcBorders>
                </w:tcPr>
                <w:p>
                  <w:pPr>
                    <w:widowControl/>
                    <w:rPr>
                      <w:rFonts w:hint="default" w:ascii="Times New Roman" w:hAnsi="Times New Roman" w:cs="Times New Roman" w:eastAsiaTheme="minorEastAsia"/>
                      <w:sz w:val="21"/>
                      <w:szCs w:val="21"/>
                    </w:rPr>
                  </w:pPr>
                  <w:r>
                    <w:rPr>
                      <w:rFonts w:hint="default" w:ascii="Times New Roman" w:hAnsi="Times New Roman" w:cs="Times New Roman" w:eastAsiaTheme="minorEastAsia"/>
                      <w:b/>
                      <w:bCs/>
                      <w:sz w:val="21"/>
                      <w:szCs w:val="21"/>
                      <w:lang w:bidi="ar"/>
                    </w:rPr>
                    <w:t>危险废物暂存场所贮存设施内部分区警示标志牌：</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1.设置位置</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贮存设施内部分区，固定于每一种危险废物存放区域的墙面、栅栏内部等位置。无法或不便于平面固定、确需采用立式的，可选择立式可移动支架，不得破坏防渗区域。顶端距离地面200cm处。</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2.规格参数</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（1）颜色：危险废物设施标志背景颜色为黄色，RGB 颜色值为（255, 255, 0）。字体和边框颜色为黑色，RGB颜色值为（0, 0, 0）。</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（2）字体：危险废物设施标志字体应采用黑体字，其中危险废物设施类型的字样应加粗放大并居中显示。</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（3）尺寸：危险废物贮存设施标志的尺寸宜根据其设置位置和对应的观察距离按照下表中的要求设置。</w:t>
                  </w:r>
                </w:p>
                <w:p>
                  <w:pPr>
                    <w:pStyle w:val="28"/>
                    <w:rPr>
                      <w:rFonts w:hint="default" w:ascii="Times New Roman" w:hAnsi="Times New Roman" w:cs="Times New Roman"/>
                      <w:sz w:val="21"/>
                      <w:szCs w:val="21"/>
                      <w:lang w:bidi="ar"/>
                    </w:rPr>
                  </w:pPr>
                  <w:r>
                    <w:rPr>
                      <w:rFonts w:hint="default" w:ascii="Times New Roman" w:hAnsi="Times New Roman" w:cs="Times New Roman"/>
                      <w:color w:val="000000" w:themeColor="text1"/>
                      <w:sz w:val="21"/>
                      <w:szCs w:val="21"/>
                      <w14:textFill>
                        <w14:solidFill>
                          <w14:schemeClr w14:val="tx1"/>
                        </w14:solidFill>
                      </w14:textFill>
                    </w:rPr>
                    <w:drawing>
                      <wp:inline distT="0" distB="0" distL="0" distR="0">
                        <wp:extent cx="4644390" cy="1073785"/>
                        <wp:effectExtent l="0" t="0" r="3810" b="5715"/>
                        <wp:docPr id="40" name="图片 40" descr="C:\Users\kevin\Documents\WeChat Files\a675416053\FileStorage\Temp\1683965623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kevin\Documents\WeChat Files\a675416053\FileStorage\Temp\168396562341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698858" cy="1086401"/>
                                </a:xfrm>
                                <a:prstGeom prst="rect">
                                  <a:avLst/>
                                </a:prstGeom>
                                <a:noFill/>
                                <a:ln>
                                  <a:noFill/>
                                </a:ln>
                              </pic:spPr>
                            </pic:pic>
                          </a:graphicData>
                        </a:graphic>
                      </wp:inline>
                    </w:drawing>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（4）材质：危险废物贮存设施标志宜采用坚固耐用的材料（如1.5 mm～2 mm 冷轧钢板），并做搪瓷处理或贴膜处理。一般不宜使用遇水变形、变质或易燃的材料。柱式标志牌的立柱可采用38×4无缝钢管或其他坚固耐用的材料，并经过防腐处理。</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（5）印刷：危险废物贮存、利用、处置设施标志的图形和文字应清晰、完整，保证在足够的观察距离条件下也不影响阅读。三角形警告性图形与其他信息间宜加黑色分界线区分，分界线的宽度宜不小于3 mm。</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（6）外观质量要求：危险废物贮存、利用、处置设施的标志牌和立柱无明显变形。标志牌表面无气泡，膜或搪瓷无脱落。图案清晰，色泽一致，没有明显缺损。</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（7）样式：危险废物贮存、利用、处置设施标志可采用横版或竖版的形式，标志制作宜符合下图所示的样式。</w:t>
                  </w:r>
                </w:p>
                <w:p>
                  <w:pPr>
                    <w:widowControl/>
                    <w:ind w:firstLine="420" w:firstLineChars="200"/>
                    <w:rPr>
                      <w:rFonts w:hint="default" w:ascii="Times New Roman" w:hAnsi="Times New Roman" w:cs="Times New Roman" w:eastAsiaTheme="minorEastAsia"/>
                      <w:sz w:val="21"/>
                      <w:szCs w:val="21"/>
                      <w:highlight w:val="gree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025" w:type="dxa"/>
                  <w:tcBorders>
                    <w:top w:val="single" w:color="auto" w:sz="4" w:space="0"/>
                    <w:left w:val="single" w:color="auto" w:sz="4" w:space="0"/>
                    <w:bottom w:val="single" w:color="auto" w:sz="4" w:space="0"/>
                    <w:right w:val="single" w:color="auto" w:sz="4" w:space="0"/>
                  </w:tcBorders>
                </w:tcPr>
                <w:p>
                  <w:pPr>
                    <w:pStyle w:val="22"/>
                    <w:spacing w:line="240" w:lineRule="auto"/>
                    <w:ind w:firstLine="482"/>
                    <w:jc w:val="center"/>
                    <w:rPr>
                      <w:rFonts w:hint="default" w:ascii="Times New Roman" w:hAnsi="Times New Roman" w:cs="Times New Roman" w:eastAsiaTheme="minorEastAsia"/>
                      <w:sz w:val="21"/>
                      <w:szCs w:val="21"/>
                      <w:highlight w:val="green"/>
                      <w:lang w:eastAsia="en-US"/>
                    </w:rPr>
                  </w:pPr>
                  <w:r>
                    <w:drawing>
                      <wp:inline distT="0" distB="0" distL="114300" distR="114300">
                        <wp:extent cx="3309620" cy="2053590"/>
                        <wp:effectExtent l="0" t="0" r="5080" b="381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23"/>
                                <a:stretch>
                                  <a:fillRect/>
                                </a:stretch>
                              </pic:blipFill>
                              <pic:spPr>
                                <a:xfrm>
                                  <a:off x="0" y="0"/>
                                  <a:ext cx="3309620" cy="2053590"/>
                                </a:xfrm>
                                <a:prstGeom prst="rect">
                                  <a:avLst/>
                                </a:prstGeom>
                                <a:noFill/>
                                <a:ln>
                                  <a:noFill/>
                                </a:ln>
                              </pic:spPr>
                            </pic:pic>
                          </a:graphicData>
                        </a:graphic>
                      </wp:inline>
                    </w:drawing>
                  </w:r>
                </w:p>
                <w:p>
                  <w:pPr>
                    <w:pStyle w:val="22"/>
                    <w:spacing w:line="240" w:lineRule="auto"/>
                    <w:ind w:firstLine="482"/>
                    <w:jc w:val="center"/>
                    <w:rPr>
                      <w:rFonts w:hint="default" w:ascii="Times New Roman" w:hAnsi="Times New Roman" w:cs="Times New Roman" w:eastAsiaTheme="minorEastAsia"/>
                      <w:sz w:val="21"/>
                      <w:szCs w:val="21"/>
                      <w:highlight w:val="green"/>
                      <w:lang w:eastAsia="en-US"/>
                    </w:rPr>
                  </w:pPr>
                  <w:r>
                    <w:drawing>
                      <wp:inline distT="0" distB="0" distL="114300" distR="114300">
                        <wp:extent cx="2026285" cy="3289300"/>
                        <wp:effectExtent l="0" t="0" r="5715" b="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24"/>
                                <a:stretch>
                                  <a:fillRect/>
                                </a:stretch>
                              </pic:blipFill>
                              <pic:spPr>
                                <a:xfrm>
                                  <a:off x="0" y="0"/>
                                  <a:ext cx="2026285" cy="32893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025" w:type="dxa"/>
                  <w:tcBorders>
                    <w:top w:val="single" w:color="auto" w:sz="4" w:space="0"/>
                    <w:left w:val="single" w:color="auto" w:sz="4" w:space="0"/>
                    <w:bottom w:val="single" w:color="auto" w:sz="4" w:space="0"/>
                    <w:right w:val="single" w:color="auto" w:sz="4" w:space="0"/>
                  </w:tcBorders>
                </w:tcPr>
                <w:p>
                  <w:pPr>
                    <w:widowControl/>
                    <w:ind w:firstLine="422"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b/>
                      <w:bCs/>
                      <w:sz w:val="21"/>
                      <w:szCs w:val="21"/>
                      <w:lang w:bidi="ar"/>
                    </w:rPr>
                    <w:t>危险废物暂存场所包装识别标签：</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1、设置要求</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危险废物产生单位或收集单位在盛装危险废物时，宜根据容器或包装物的容积按照本HJ 1276-2022第9.1条中的要求设置合适的标签，并按HJ 1276-2022第5.2 条中的要求填写完整。</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2.规格参数</w:t>
                  </w:r>
                </w:p>
                <w:p>
                  <w:pPr>
                    <w:widowControl/>
                    <w:ind w:firstLine="420" w:firstLineChars="200"/>
                    <w:rPr>
                      <w:rFonts w:hint="default" w:ascii="Times New Roman" w:hAnsi="Times New Roman" w:cs="Times New Roman" w:eastAsiaTheme="minorEastAsia"/>
                      <w:kern w:val="0"/>
                      <w:sz w:val="21"/>
                      <w:szCs w:val="21"/>
                    </w:rPr>
                  </w:pPr>
                  <w:r>
                    <w:rPr>
                      <w:rFonts w:hint="default" w:ascii="Times New Roman" w:hAnsi="Times New Roman" w:cs="Times New Roman" w:eastAsiaTheme="minorEastAsia"/>
                      <w:sz w:val="21"/>
                      <w:szCs w:val="21"/>
                      <w:lang w:bidi="ar"/>
                    </w:rPr>
                    <w:t>（1）危险废物标签的颜色：危险废物标签背景色应采用醒目的橘黄色，RGB 颜色值为（255, 150, 0）。标签边框和字体颜色为黑色，RGB 颜色值为（0, 0, 0）。</w:t>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（2）危险废物标签的字体：危险废物标签字体宜采用黑体字，其中“危险废物”字样应加粗放大。</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（3）危险废物标签尺寸：危险废物标签的尺寸宜根据容器或包装物的容积按照表1 中的要求设置。</w:t>
                  </w:r>
                </w:p>
                <w:p>
                  <w:pPr>
                    <w:pStyle w:val="28"/>
                    <w:rPr>
                      <w:rFonts w:hint="default" w:ascii="Times New Roman" w:hAnsi="Times New Roman" w:cs="Times New Roman"/>
                      <w:sz w:val="21"/>
                      <w:szCs w:val="21"/>
                      <w:lang w:bidi="ar"/>
                    </w:rPr>
                  </w:pPr>
                  <w:r>
                    <w:rPr>
                      <w:rFonts w:hint="default" w:ascii="Times New Roman" w:hAnsi="Times New Roman" w:cs="Times New Roman"/>
                      <w:sz w:val="21"/>
                      <w:szCs w:val="21"/>
                    </w:rPr>
                    <w:drawing>
                      <wp:inline distT="0" distB="0" distL="0" distR="0">
                        <wp:extent cx="4998720" cy="869950"/>
                        <wp:effectExtent l="0" t="0" r="5080" b="6350"/>
                        <wp:docPr id="44" name="图片 44" descr="C:\Users\kevin\Documents\WeChat Files\a675416053\FileStorage\Temp\1683962001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kevin\Documents\WeChat Files\a675416053\FileStorage\Temp\168396200183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4998720" cy="869950"/>
                                </a:xfrm>
                                <a:prstGeom prst="rect">
                                  <a:avLst/>
                                </a:prstGeom>
                                <a:noFill/>
                                <a:ln>
                                  <a:noFill/>
                                </a:ln>
                              </pic:spPr>
                            </pic:pic>
                          </a:graphicData>
                        </a:graphic>
                      </wp:inline>
                    </w:drawing>
                  </w:r>
                </w:p>
                <w:p>
                  <w:pPr>
                    <w:widowControl/>
                    <w:ind w:firstLine="420" w:firstLineChars="200"/>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bidi="ar"/>
                    </w:rPr>
                    <w:t>3.内容填报</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危险废物标签印刷的油墨应均匀，图案和文字应清晰、完整。危险废物标签的文字边缘宜加黑色边框，边框宽度不小于1 mm，边框外宜留不小于3 mm 的空白。</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（1）废物名称：列入《国家危险废物名录》中的危险废物，应参考《国家危险废物名录》中“危险废物”一栏，填写简化的废物名称或行业内通用的俗称；经GB 5085（所有部分）和HJ 298 鉴别属于危险废物的，应按照其产生来源和工艺填写废物名称。</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（2）废物类别、废物代码：列入《国家危险废物名录》中的危险废物，应参考《国家危险废物名录》中的内容填写；经GB 5085（所有部分）和HJ 298 鉴别属于危险废物的，应根据其主要有害成分和危险特性确定所属废物类别，并按代码“900-000-XX”（XX 为危险废物类别代码）填写。</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（3）废物形态：应填写容器或包装物内盛装危险废物的物理形态。</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（4）危险特性：应根据危险废物的危险特性（包括腐蚀性、毒性、易燃性和反应性），选择附录A 中对应的危险特性警示图形，印刷在标签上相应位置，或单独打印后粘贴于标签上相应的位置。具有多种危险特性的应设置相应的全部图形。</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（5）主要成分：应填写危险废物主要的化学组成或成分，可使用汉字、化学分子式、元素符号或英文缩写等。</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示例1：油基岩屑的主要成分可填写“石油类、岩屑”。</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示例2：废催化剂的主要成分可填写“SiO</w:t>
                  </w:r>
                  <w:r>
                    <w:rPr>
                      <w:rFonts w:hint="default" w:ascii="Times New Roman" w:hAnsi="Times New Roman" w:cs="Times New Roman" w:eastAsiaTheme="minorEastAsia"/>
                      <w:sz w:val="21"/>
                      <w:szCs w:val="21"/>
                      <w:vertAlign w:val="subscript"/>
                      <w:lang w:bidi="ar"/>
                    </w:rPr>
                    <w:t>2</w:t>
                  </w:r>
                  <w:r>
                    <w:rPr>
                      <w:rFonts w:hint="default" w:ascii="Times New Roman" w:hAnsi="Times New Roman" w:cs="Times New Roman" w:eastAsiaTheme="minorEastAsia"/>
                      <w:sz w:val="21"/>
                      <w:szCs w:val="21"/>
                      <w:lang w:bidi="ar"/>
                    </w:rPr>
                    <w:t>、Al</w:t>
                  </w:r>
                  <w:r>
                    <w:rPr>
                      <w:rFonts w:hint="default" w:ascii="Times New Roman" w:hAnsi="Times New Roman" w:cs="Times New Roman" w:eastAsiaTheme="minorEastAsia"/>
                      <w:sz w:val="21"/>
                      <w:szCs w:val="21"/>
                      <w:vertAlign w:val="subscript"/>
                      <w:lang w:bidi="ar"/>
                    </w:rPr>
                    <w:t>2</w:t>
                  </w:r>
                  <w:r>
                    <w:rPr>
                      <w:rFonts w:hint="default" w:ascii="Times New Roman" w:hAnsi="Times New Roman" w:cs="Times New Roman" w:eastAsiaTheme="minorEastAsia"/>
                      <w:sz w:val="21"/>
                      <w:szCs w:val="21"/>
                      <w:lang w:bidi="ar"/>
                    </w:rPr>
                    <w:t>O</w:t>
                  </w:r>
                  <w:r>
                    <w:rPr>
                      <w:rFonts w:hint="default" w:ascii="Times New Roman" w:hAnsi="Times New Roman" w:cs="Times New Roman" w:eastAsiaTheme="minorEastAsia"/>
                      <w:sz w:val="21"/>
                      <w:szCs w:val="21"/>
                      <w:vertAlign w:val="subscript"/>
                      <w:lang w:bidi="ar"/>
                    </w:rPr>
                    <w:t>3</w:t>
                  </w:r>
                  <w:r>
                    <w:rPr>
                      <w:rFonts w:hint="default" w:ascii="Times New Roman" w:hAnsi="Times New Roman" w:cs="Times New Roman" w:eastAsiaTheme="minorEastAsia"/>
                      <w:sz w:val="21"/>
                      <w:szCs w:val="21"/>
                      <w:lang w:bidi="ar"/>
                    </w:rPr>
                    <w:t>”。</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（6）有害成分：应填写废物中对生态环境或人体健康有害的主要污染物名称，可使用汉字、化学分子式、元素符号或英文缩写等。</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（7）注意事项：应根据危险废物的组成、成分和理化特性，填写收集、贮存、利用、处置时必要的注意事项，可参考附录B 常见的注意事项用语填写，也可根据废物具体的理化性质填写其他要求。</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8）产生/收集单位名称、联系人和联系方式：应填写危险废物产生单位的信息。当从事收集、贮存、利用、处置危险废物经营活动的单位收集危险废物时，在满足国家危险废物相关污染控制标准等规定的条件下，容器内盛装两家及以上单位的危险废物（如废矿物油）时，应填写收集单位的信息。</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9）产生日期：应填写开始盛装危险废物时的日期，可按照年月日的格式填写。当从事收集、贮存、利用和处置危险废物经营活动的单位收集危险废物时，在满足国家危险废物相关污染控制标准等规定的条件下，容器内盛装相同种类但不同初始产生日期的危险废物（如废矿物油）时，应填写收集危险废物时的日期。</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（10）废物重量：应填写完成收集后容器或包装物内危险废物的重量（kg 或t）。</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（11）数字识别码和二维码：数字识别码按照本标准第8 条的要求进行编码，并实现“一物一码”。危险废物标签二维码的编码数据结构中应包含数字识别码的内容，信息服务系统所含信息宜包含标签中设置的信息。从事收集、贮存、利用、处置危险废物经营活动的单位可利用电子标签等物联网技术对危险废物进行信息化管理。</w:t>
                  </w:r>
                </w:p>
                <w:p>
                  <w:pPr>
                    <w:widowControl/>
                    <w:ind w:firstLine="420" w:firstLineChars="200"/>
                    <w:rPr>
                      <w:rFonts w:hint="default" w:ascii="Times New Roman" w:hAnsi="Times New Roman" w:cs="Times New Roman" w:eastAsiaTheme="minorEastAsia"/>
                      <w:sz w:val="21"/>
                      <w:szCs w:val="21"/>
                      <w:lang w:bidi="ar"/>
                    </w:rPr>
                  </w:pPr>
                  <w:r>
                    <w:rPr>
                      <w:rFonts w:hint="default" w:ascii="Times New Roman" w:hAnsi="Times New Roman" w:cs="Times New Roman" w:eastAsiaTheme="minorEastAsia"/>
                      <w:sz w:val="21"/>
                      <w:szCs w:val="21"/>
                      <w:lang w:bidi="ar"/>
                    </w:rPr>
                    <w:t>（12）备注：危险废物标签的设置单位可根据自身实际管理需求或按照县级及以上生态环境主管部门的要求，填写与所盛装危险废物相关的信息。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9025" w:type="dxa"/>
                  <w:tcBorders>
                    <w:top w:val="single" w:color="auto" w:sz="4" w:space="0"/>
                    <w:left w:val="single" w:color="auto" w:sz="4" w:space="0"/>
                    <w:bottom w:val="single" w:color="auto" w:sz="4" w:space="0"/>
                    <w:right w:val="single" w:color="auto" w:sz="4" w:space="0"/>
                  </w:tcBorders>
                </w:tcPr>
                <w:p>
                  <w:pPr>
                    <w:pStyle w:val="22"/>
                    <w:spacing w:line="240" w:lineRule="auto"/>
                    <w:ind w:firstLine="482"/>
                    <w:jc w:val="center"/>
                    <w:rPr>
                      <w:rFonts w:hint="default" w:ascii="Times New Roman" w:hAnsi="Times New Roman" w:cs="Times New Roman" w:eastAsiaTheme="minorEastAsia"/>
                      <w:sz w:val="21"/>
                      <w:szCs w:val="21"/>
                      <w:highlight w:val="green"/>
                      <w:lang w:eastAsia="en-US"/>
                    </w:rPr>
                  </w:pPr>
                  <w:r>
                    <w:rPr>
                      <w:rFonts w:hint="default" w:ascii="Times New Roman" w:hAnsi="Times New Roman" w:cs="Times New Roman" w:eastAsiaTheme="minorEastAsia"/>
                      <w:sz w:val="21"/>
                      <w:szCs w:val="21"/>
                    </w:rPr>
                    <w:drawing>
                      <wp:inline distT="0" distB="0" distL="0" distR="0">
                        <wp:extent cx="2425700" cy="2425700"/>
                        <wp:effectExtent l="0" t="0" r="0" b="0"/>
                        <wp:docPr id="52" name="图片 52" descr="C:\Users\kevin\Documents\WeChat Files\a675416053\FileStorage\Temp\1683961661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kevin\Documents\WeChat Files\a675416053\FileStorage\Temp\168396166128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425700" cy="2425700"/>
                                </a:xfrm>
                                <a:prstGeom prst="rect">
                                  <a:avLst/>
                                </a:prstGeom>
                                <a:noFill/>
                                <a:ln>
                                  <a:noFill/>
                                </a:ln>
                              </pic:spPr>
                            </pic:pic>
                          </a:graphicData>
                        </a:graphic>
                      </wp:inline>
                    </w:drawing>
                  </w:r>
                </w:p>
              </w:tc>
            </w:tr>
          </w:tbl>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（4）危险固废运输污染防治措施</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危险废物运输中应做到以下几点：</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①危险废物的运输车辆须经主管单位检查，并持有有关单位签发的许可证，负责运输的司机应通过培训，持有证明文件。</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②承载危险废物的车辆须有明显的标志或适当的危险符号，以引起注意。</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③载有危险废物的车辆在公路上行驶时，需持有运输许可证，其上应注明废物来源、性质和运往地点，必要时须有专门单位人员负责押运。</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④组织危险废物的运输单位，在事先需作出周密的运输计划和行驶路线，其中包括有效的废物泄漏情况下的应急措施。</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（5）环境管理要求</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①将危险废物的产生、贮存、利用、处置等情况纳入生产记录，建立危险废物管理台账和企业内部产生和收集贮存部门危险废物交接制度。</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②规范建设危险废物贮存场所并按照要求设置警告标志。加强对危险废物包装、贮存的管理，对盛装危险废物的容器和包装物，要确保无破损、泄漏和其他缺陷。危废包装容器按照GB18597、苏环办[2019]327 号张贴标识。危废包装、容器和贮存场所应按照苏环办[2019]327 等有关要求张贴标识，详细标明危险废物的名称、数量、成分与特性。</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③严格执行危险废物申报及转移联单制度，危险废物运输应符合危险废物运输污染防治技术规定，禁止将危险废物提供或委托给无危险废物经营许可证的单位从事收集、贮存、利用、处置等经营活动。</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④公司应设置专门危险固废处置机构，作为厂内环境管理、监测的重要组成部分，主要负责危险固废的收集、贮存及处置，按月统计危险废物种类、产生量、暂存时间、交由处置时间等，并按月向当地环保部门报告。</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⑤按照《关于印发工业危险废物产生单位规范化管理实施指南的通知》（苏环办[2014]232 号）及《省生态环境厅关于进一步加强危险废物污染防治工作的实施意见》（苏环办[2019]327 号）中规定要求的要求，按照要求设置危险废物信息公开栏、贮存设施警示标志牌、包装识别标签，对危废进行包装，并在明显位置处附上危险废物标签，确保其安全性。按照危险废物贮存设施视频监控布设要求设置视频监控，并与中控室联网。</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⑥一般工业固废贮存场所应符合《一般工业固体废物贮存和填埋污染控制标准》（GB 18599-2020）。</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根据《中华人民共和国固体废物污染环境防治法》（2020 修订），建设单位应当建立健全工业固体废物产生、收集、贮存、运输、利用、处置全过程的污染环境防治责任制度，建立工业固体废物管理台账，如实记录产生工业固体废物的种类、数量、流向、贮存、利用、处置等信息。委托他人运输、利用、处置工业固体废物的，应当对受托方的主体资格和技术能力进行核实，依法签订书面合同，在合同中约定污染防治要求。</w:t>
            </w:r>
          </w:p>
          <w:p>
            <w:pPr>
              <w:spacing w:line="500" w:lineRule="exact"/>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采取以上的固体废弃物防治措施后，项目产生的固体废物基本上都可得到合理的处理处置，因此，不会对环境产生显著的不利影响。</w:t>
            </w:r>
          </w:p>
          <w:p>
            <w:pPr>
              <w:adjustRightInd w:val="0"/>
              <w:snapToGrid w:val="0"/>
              <w:spacing w:line="360" w:lineRule="auto"/>
              <w:ind w:firstLine="482" w:firstLineChars="200"/>
              <w:jc w:val="both"/>
              <w:rPr>
                <w:rFonts w:hint="default" w:ascii="Times New Roman" w:hAnsi="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5、地下水、土壤</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根据《环境影响评价技术导则 土壤环境（试行）》（HJ 964-2018）附录A 表A.1 土壤环境影响评价项目类别，本项目属于“其他行业”为Ⅳ类。</w:t>
            </w:r>
          </w:p>
          <w:p>
            <w:pPr>
              <w:spacing w:line="360" w:lineRule="auto"/>
              <w:ind w:firstLine="482" w:firstLineChars="200"/>
              <w:jc w:val="both"/>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5.1影响途径</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（1）大气沉降</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大气沉降是指大气中的污染物通过一定的途径被沉降至地面或水体的过程，分为干沉降和湿沉降，是土壤污染的重要途径之一。本项目属于</w:t>
            </w:r>
            <w:r>
              <w:rPr>
                <w:rFonts w:hint="default" w:ascii="Times New Roman" w:hAnsi="Times New Roman" w:cs="Times New Roman"/>
                <w:kern w:val="0"/>
                <w:sz w:val="24"/>
              </w:rPr>
              <w:t>C2923 塑料丝、绳及编织品制造</w:t>
            </w:r>
            <w:r>
              <w:rPr>
                <w:rFonts w:hint="default" w:ascii="Times New Roman" w:hAnsi="Times New Roman" w:cs="Times New Roman"/>
                <w:color w:val="000000" w:themeColor="text1"/>
                <w:sz w:val="24"/>
                <w14:textFill>
                  <w14:solidFill>
                    <w14:schemeClr w14:val="tx1"/>
                  </w14:solidFill>
                </w14:textFill>
              </w:rPr>
              <w:t>，根据《农用地土壤污染状况详查点位布设技术规定》附件1土壤污染重点行业分类及企业筛选原则，本项目不在土壤污染重点行业范围内。本项目大气污染因子主要为非甲烷总烃，为非持久性污染物，可以在大气中被稀释和降解。项目产生的大气污染物不涉及《农用地土壤污染状况详查点位布设技术规定》附件3中“附表3-1 农用地土壤和农产品样品必测项目”中无机及有机污染物，因此不考虑大气沉降的影响。</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（2）液态物质泄漏</w:t>
            </w:r>
          </w:p>
          <w:p>
            <w:pPr>
              <w:spacing w:line="360" w:lineRule="auto"/>
              <w:ind w:firstLine="480" w:firstLineChars="200"/>
              <w:jc w:val="both"/>
              <w:rPr>
                <w:rFonts w:hint="default" w:ascii="Times New Roman" w:hAnsi="Times New Roman" w:cs="Times New Roman"/>
                <w:color w:val="000000" w:themeColor="text1"/>
                <w:sz w:val="24"/>
                <w:szCs w:val="28"/>
                <w14:textFill>
                  <w14:solidFill>
                    <w14:schemeClr w14:val="tx1"/>
                  </w14:solidFill>
                </w14:textFill>
              </w:rPr>
            </w:pPr>
            <w:r>
              <w:rPr>
                <w:rFonts w:hint="default" w:ascii="Times New Roman" w:hAnsi="Times New Roman" w:cs="Times New Roman"/>
                <w:color w:val="000000" w:themeColor="text1"/>
                <w:sz w:val="24"/>
                <w:szCs w:val="28"/>
                <w14:textFill>
                  <w14:solidFill>
                    <w14:schemeClr w14:val="tx1"/>
                  </w14:solidFill>
                </w14:textFill>
              </w:rPr>
              <w:t>本项目地下水、土壤环境</w:t>
            </w:r>
            <w:r>
              <w:rPr>
                <w:rFonts w:hint="default" w:ascii="Times New Roman" w:hAnsi="Times New Roman" w:cs="Times New Roman"/>
                <w:bCs/>
                <w:color w:val="000000" w:themeColor="text1"/>
                <w:sz w:val="24"/>
                <w14:textFill>
                  <w14:solidFill>
                    <w14:schemeClr w14:val="tx1"/>
                  </w14:solidFill>
                </w14:textFill>
              </w:rPr>
              <w:t>影响源及影响因子识别见表4-</w:t>
            </w:r>
            <w:r>
              <w:rPr>
                <w:rFonts w:hint="eastAsia" w:ascii="Times New Roman" w:hAnsi="Times New Roman" w:cs="Times New Roman"/>
                <w:bCs/>
                <w:color w:val="000000" w:themeColor="text1"/>
                <w:sz w:val="24"/>
                <w:lang w:val="en-US" w:eastAsia="zh-CN"/>
                <w14:textFill>
                  <w14:solidFill>
                    <w14:schemeClr w14:val="tx1"/>
                  </w14:solidFill>
                </w14:textFill>
              </w:rPr>
              <w:t>19</w:t>
            </w:r>
            <w:r>
              <w:rPr>
                <w:rFonts w:hint="default" w:ascii="Times New Roman" w:hAnsi="Times New Roman" w:cs="Times New Roman"/>
                <w:bCs/>
                <w:color w:val="000000" w:themeColor="text1"/>
                <w:sz w:val="24"/>
                <w14:textFill>
                  <w14:solidFill>
                    <w14:schemeClr w14:val="tx1"/>
                  </w14:solidFill>
                </w14:textFill>
              </w:rPr>
              <w:t>。</w:t>
            </w:r>
          </w:p>
          <w:p>
            <w:pPr>
              <w:spacing w:line="240" w:lineRule="auto"/>
              <w:jc w:val="center"/>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表4-</w:t>
            </w:r>
            <w:r>
              <w:rPr>
                <w:rFonts w:hint="eastAsia" w:ascii="Times New Roman" w:hAnsi="Times New Roman" w:cs="Times New Roman"/>
                <w:b/>
                <w:color w:val="000000" w:themeColor="text1"/>
                <w:kern w:val="0"/>
                <w:sz w:val="21"/>
                <w:szCs w:val="21"/>
                <w:lang w:val="en-US" w:eastAsia="zh-CN"/>
                <w14:textFill>
                  <w14:solidFill>
                    <w14:schemeClr w14:val="tx1"/>
                  </w14:solidFill>
                </w14:textFill>
              </w:rPr>
              <w:t>19</w:t>
            </w:r>
            <w:r>
              <w:rPr>
                <w:rFonts w:hint="default" w:ascii="Times New Roman" w:hAnsi="Times New Roman" w:cs="Times New Roman"/>
                <w:b/>
                <w:color w:val="000000" w:themeColor="text1"/>
                <w:kern w:val="0"/>
                <w:sz w:val="21"/>
                <w:szCs w:val="21"/>
                <w14:textFill>
                  <w14:solidFill>
                    <w14:schemeClr w14:val="tx1"/>
                  </w14:solidFill>
                </w14:textFill>
              </w:rPr>
              <w:t xml:space="preserve">  项目土壤环境影响源及影响因子识别表</w:t>
            </w:r>
          </w:p>
          <w:tbl>
            <w:tblPr>
              <w:tblStyle w:val="23"/>
              <w:tblW w:w="8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4"/>
              <w:gridCol w:w="1467"/>
              <w:gridCol w:w="1166"/>
              <w:gridCol w:w="1945"/>
              <w:gridCol w:w="1067"/>
              <w:gridCol w:w="15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27" w:type="pct"/>
                  <w:vAlign w:val="center"/>
                </w:tcPr>
                <w:p>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污染源</w:t>
                  </w:r>
                </w:p>
              </w:tc>
              <w:tc>
                <w:tcPr>
                  <w:tcW w:w="890" w:type="pct"/>
                  <w:vAlign w:val="center"/>
                </w:tcPr>
                <w:p>
                  <w:pPr>
                    <w:spacing w:line="240" w:lineRule="auto"/>
                    <w:ind w:left="-110" w:leftChars="-50" w:right="-110" w:rightChars="-50"/>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工艺流程/节点</w:t>
                  </w:r>
                </w:p>
              </w:tc>
              <w:tc>
                <w:tcPr>
                  <w:tcW w:w="707" w:type="pct"/>
                  <w:vAlign w:val="center"/>
                </w:tcPr>
                <w:p>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污染途径</w:t>
                  </w:r>
                </w:p>
              </w:tc>
              <w:tc>
                <w:tcPr>
                  <w:tcW w:w="1180" w:type="pct"/>
                  <w:vAlign w:val="center"/>
                </w:tcPr>
                <w:p>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全部污染物指标</w:t>
                  </w:r>
                </w:p>
              </w:tc>
              <w:tc>
                <w:tcPr>
                  <w:tcW w:w="647" w:type="pct"/>
                  <w:vAlign w:val="center"/>
                </w:tcPr>
                <w:p>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特征因子</w:t>
                  </w:r>
                </w:p>
              </w:tc>
              <w:tc>
                <w:tcPr>
                  <w:tcW w:w="945" w:type="pct"/>
                  <w:vAlign w:val="center"/>
                </w:tcPr>
                <w:p>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27" w:type="pct"/>
                  <w:vAlign w:val="center"/>
                </w:tcPr>
                <w:p>
                  <w:pPr>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原料库</w:t>
                  </w:r>
                </w:p>
              </w:tc>
              <w:tc>
                <w:tcPr>
                  <w:tcW w:w="890" w:type="pct"/>
                  <w:vAlign w:val="center"/>
                </w:tcPr>
                <w:p>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原料</w:t>
                  </w:r>
                  <w:r>
                    <w:rPr>
                      <w:rFonts w:hint="default" w:ascii="Times New Roman" w:hAnsi="Times New Roman" w:cs="Times New Roman"/>
                      <w:color w:val="000000" w:themeColor="text1"/>
                      <w:sz w:val="21"/>
                      <w:szCs w:val="21"/>
                      <w14:textFill>
                        <w14:solidFill>
                          <w14:schemeClr w14:val="tx1"/>
                        </w14:solidFill>
                      </w14:textFill>
                    </w:rPr>
                    <w:t>暂存</w:t>
                  </w:r>
                </w:p>
              </w:tc>
              <w:tc>
                <w:tcPr>
                  <w:tcW w:w="707" w:type="pct"/>
                  <w:vAlign w:val="center"/>
                </w:tcPr>
                <w:p>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地面漫流</w:t>
                  </w:r>
                </w:p>
              </w:tc>
              <w:tc>
                <w:tcPr>
                  <w:tcW w:w="1180" w:type="pct"/>
                  <w:vAlign w:val="center"/>
                </w:tcPr>
                <w:p>
                  <w:pPr>
                    <w:widowControl/>
                    <w:spacing w:line="24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kern w:val="0"/>
                      <w:sz w:val="21"/>
                      <w:szCs w:val="21"/>
                      <w:lang w:val="en-US" w:eastAsia="zh-CN"/>
                    </w:rPr>
                    <w:t>水性油墨</w:t>
                  </w:r>
                </w:p>
              </w:tc>
              <w:tc>
                <w:tcPr>
                  <w:tcW w:w="647" w:type="pct"/>
                  <w:vAlign w:val="center"/>
                </w:tcPr>
                <w:p>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石油烃</w:t>
                  </w:r>
                </w:p>
              </w:tc>
              <w:tc>
                <w:tcPr>
                  <w:tcW w:w="945" w:type="pct"/>
                  <w:vAlign w:val="center"/>
                </w:tcPr>
                <w:p>
                  <w:pPr>
                    <w:spacing w:line="240"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非正常、事故</w:t>
                  </w:r>
                </w:p>
              </w:tc>
            </w:tr>
          </w:tbl>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sz w:val="24"/>
              </w:rPr>
              <w:t>项目</w:t>
            </w:r>
            <w:r>
              <w:rPr>
                <w:rFonts w:hint="default" w:ascii="Times New Roman" w:hAnsi="Times New Roman" w:cs="Times New Roman"/>
                <w:sz w:val="24"/>
                <w:lang w:val="en-US" w:eastAsia="zh-CN"/>
              </w:rPr>
              <w:t>原料库</w:t>
            </w:r>
            <w:r>
              <w:rPr>
                <w:rFonts w:hint="default" w:ascii="Times New Roman" w:hAnsi="Times New Roman" w:cs="Times New Roman"/>
                <w:sz w:val="24"/>
              </w:rPr>
              <w:t>暂存的</w:t>
            </w:r>
            <w:r>
              <w:rPr>
                <w:rFonts w:hint="default" w:ascii="Times New Roman" w:hAnsi="Times New Roman" w:cs="Times New Roman"/>
                <w:sz w:val="24"/>
                <w:lang w:val="en-US" w:eastAsia="zh-CN"/>
              </w:rPr>
              <w:t>水性油墨正常情况下采用密封桶装</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且原料库采取</w:t>
            </w:r>
            <w:r>
              <w:rPr>
                <w:rFonts w:hint="default" w:ascii="Times New Roman" w:hAnsi="Times New Roman" w:cs="Times New Roman"/>
                <w:sz w:val="24"/>
              </w:rPr>
              <w:t>防风、防雨、防渗漏等措施，运营期间做好巡查工作，不会存在固体废物泄漏污染土壤、地下水的情况。</w:t>
            </w:r>
          </w:p>
          <w:p>
            <w:pPr>
              <w:spacing w:line="360" w:lineRule="auto"/>
              <w:ind w:firstLine="482" w:firstLineChars="200"/>
              <w:jc w:val="both"/>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5.2分区防控</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建议项目对各区域分别采取防控措施，以水平防渗为主，对地面进行硬化。根据《环境影响评价技术导则 地下水环境》（HJ 610-2016）中“表7 地下水污染防渗分区参照表”，项目防渗分区见下表4-2</w:t>
            </w:r>
            <w:r>
              <w:rPr>
                <w:rFonts w:hint="eastAsia" w:ascii="Times New Roman" w:hAnsi="Times New Roman" w:cs="Times New Roman"/>
                <w:color w:val="000000" w:themeColor="text1"/>
                <w:sz w:val="24"/>
                <w:lang w:val="en-US" w:eastAsia="zh-CN"/>
                <w14:textFill>
                  <w14:solidFill>
                    <w14:schemeClr w14:val="tx1"/>
                  </w14:solidFill>
                </w14:textFill>
              </w:rPr>
              <w:t>0</w:t>
            </w:r>
            <w:r>
              <w:rPr>
                <w:rFonts w:hint="default" w:ascii="Times New Roman" w:hAnsi="Times New Roman" w:cs="Times New Roman"/>
                <w:color w:val="000000" w:themeColor="text1"/>
                <w:sz w:val="24"/>
                <w14:textFill>
                  <w14:solidFill>
                    <w14:schemeClr w14:val="tx1"/>
                  </w14:solidFill>
                </w14:textFill>
              </w:rPr>
              <w:t>。</w:t>
            </w:r>
          </w:p>
          <w:p>
            <w:pPr>
              <w:spacing w:line="240" w:lineRule="auto"/>
              <w:jc w:val="center"/>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表4-2</w:t>
            </w:r>
            <w:r>
              <w:rPr>
                <w:rFonts w:hint="eastAsia" w:ascii="Times New Roman" w:hAnsi="Times New Roman" w:cs="Times New Roman"/>
                <w:b/>
                <w:color w:val="000000" w:themeColor="text1"/>
                <w:kern w:val="0"/>
                <w:sz w:val="21"/>
                <w:szCs w:val="21"/>
                <w:lang w:val="en-US" w:eastAsia="zh-CN"/>
                <w14:textFill>
                  <w14:solidFill>
                    <w14:schemeClr w14:val="tx1"/>
                  </w14:solidFill>
                </w14:textFill>
              </w:rPr>
              <w:t>0</w:t>
            </w:r>
            <w:r>
              <w:rPr>
                <w:rFonts w:hint="default" w:ascii="Times New Roman" w:hAnsi="Times New Roman" w:cs="Times New Roman"/>
                <w:b/>
                <w:color w:val="000000" w:themeColor="text1"/>
                <w:kern w:val="0"/>
                <w:sz w:val="21"/>
                <w:szCs w:val="21"/>
                <w14:textFill>
                  <w14:solidFill>
                    <w14:schemeClr w14:val="tx1"/>
                  </w14:solidFill>
                </w14:textFill>
              </w:rPr>
              <w:t xml:space="preserve">  项目分区防控情况表</w:t>
            </w:r>
          </w:p>
          <w:tbl>
            <w:tblPr>
              <w:tblStyle w:val="24"/>
              <w:tblW w:w="81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1"/>
              <w:gridCol w:w="1474"/>
              <w:gridCol w:w="1189"/>
              <w:gridCol w:w="3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48" w:type="pct"/>
                  <w:vAlign w:val="center"/>
                </w:tcPr>
                <w:p>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项目区域</w:t>
                  </w:r>
                </w:p>
              </w:tc>
              <w:tc>
                <w:tcPr>
                  <w:tcW w:w="901" w:type="pct"/>
                  <w:vAlign w:val="center"/>
                </w:tcPr>
                <w:p>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污染控制难易程度</w:t>
                  </w:r>
                </w:p>
              </w:tc>
              <w:tc>
                <w:tcPr>
                  <w:tcW w:w="727" w:type="pct"/>
                  <w:vAlign w:val="center"/>
                </w:tcPr>
                <w:p>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防渗分区</w:t>
                  </w:r>
                </w:p>
              </w:tc>
              <w:tc>
                <w:tcPr>
                  <w:tcW w:w="2123" w:type="pct"/>
                  <w:vAlign w:val="center"/>
                </w:tcPr>
                <w:p>
                  <w:pPr>
                    <w:spacing w:line="240" w:lineRule="auto"/>
                    <w:jc w:val="center"/>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其他防渗技术要求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48" w:type="pct"/>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生产车间、生产装置区</w:t>
                  </w:r>
                </w:p>
              </w:tc>
              <w:tc>
                <w:tcPr>
                  <w:tcW w:w="901" w:type="pct"/>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易</w:t>
                  </w:r>
                </w:p>
              </w:tc>
              <w:tc>
                <w:tcPr>
                  <w:tcW w:w="727" w:type="pct"/>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一般防渗</w:t>
                  </w:r>
                </w:p>
              </w:tc>
              <w:tc>
                <w:tcPr>
                  <w:tcW w:w="2123" w:type="pct"/>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 xml:space="preserve"> </w:t>
                  </w:r>
                  <w:r>
                    <w:rPr>
                      <w:rFonts w:hint="default" w:ascii="Times New Roman" w:hAnsi="Times New Roman" w:cs="Times New Roman"/>
                      <w:b w:val="0"/>
                      <w:bCs w:val="0"/>
                      <w:color w:val="000000" w:themeColor="text1"/>
                      <w:sz w:val="21"/>
                      <w:szCs w:val="21"/>
                      <w:lang w:val="zh-CN"/>
                      <w14:textFill>
                        <w14:solidFill>
                          <w14:schemeClr w14:val="tx1"/>
                        </w14:solidFill>
                      </w14:textFill>
                    </w:rPr>
                    <w:t>参照</w:t>
                  </w:r>
                  <w:r>
                    <w:rPr>
                      <w:rFonts w:hint="default" w:ascii="Times New Roman" w:hAnsi="Times New Roman" w:cs="Times New Roman"/>
                      <w:b w:val="0"/>
                      <w:bCs w:val="0"/>
                      <w:color w:val="000000" w:themeColor="text1"/>
                      <w:sz w:val="21"/>
                      <w:szCs w:val="21"/>
                      <w14:textFill>
                        <w14:solidFill>
                          <w14:schemeClr w14:val="tx1"/>
                        </w14:solidFill>
                      </w14:textFill>
                    </w:rPr>
                    <w:t>《一般工业固体废物贮存和填埋污染控制标准》（GB18599-2020）</w:t>
                  </w:r>
                  <w:r>
                    <w:rPr>
                      <w:rFonts w:hint="default" w:ascii="Times New Roman" w:hAnsi="Times New Roman" w:cs="Times New Roman"/>
                      <w:b w:val="0"/>
                      <w:bCs w:val="0"/>
                      <w:color w:val="000000" w:themeColor="text1"/>
                      <w:sz w:val="21"/>
                      <w:szCs w:val="21"/>
                      <w:lang w:val="zh-CN"/>
                      <w14:textFill>
                        <w14:solidFill>
                          <w14:schemeClr w14:val="tx1"/>
                        </w14:solidFill>
                      </w14:textFill>
                    </w:rPr>
                    <w:t>进行地面硬化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48" w:type="pct"/>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其他无污染区、办公楼</w:t>
                  </w:r>
                </w:p>
              </w:tc>
              <w:tc>
                <w:tcPr>
                  <w:tcW w:w="901" w:type="pct"/>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易</w:t>
                  </w:r>
                </w:p>
              </w:tc>
              <w:tc>
                <w:tcPr>
                  <w:tcW w:w="727" w:type="pct"/>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简单防渗</w:t>
                  </w:r>
                </w:p>
              </w:tc>
              <w:tc>
                <w:tcPr>
                  <w:tcW w:w="2123" w:type="pct"/>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不需设置防渗等级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48" w:type="pct"/>
                  <w:vAlign w:val="center"/>
                </w:tcPr>
                <w:p>
                  <w:pPr>
                    <w:spacing w:line="240" w:lineRule="auto"/>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危废</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库、原料库</w:t>
                  </w:r>
                </w:p>
              </w:tc>
              <w:tc>
                <w:tcPr>
                  <w:tcW w:w="901" w:type="pct"/>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中-强</w:t>
                  </w:r>
                </w:p>
              </w:tc>
              <w:tc>
                <w:tcPr>
                  <w:tcW w:w="727" w:type="pct"/>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重点防渗</w:t>
                  </w:r>
                </w:p>
              </w:tc>
              <w:tc>
                <w:tcPr>
                  <w:tcW w:w="2123" w:type="pct"/>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参照《危险废物贮存污染控制标准》（GB18597-2023）的有关规定要求</w:t>
                  </w:r>
                </w:p>
              </w:tc>
            </w:tr>
          </w:tbl>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针对防渗分区的划分，主要采取以下措施：</w:t>
            </w:r>
          </w:p>
          <w:p>
            <w:pPr>
              <w:spacing w:line="360" w:lineRule="auto"/>
              <w:ind w:firstLine="480" w:firstLineChars="200"/>
              <w:jc w:val="both"/>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（1）危险废物暂存间</w:t>
            </w:r>
            <w:r>
              <w:rPr>
                <w:rFonts w:hint="default"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原料库</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①危险废物暂存间以及原辅料仓库是地下水重点防治区，地面进行防渗处理，防渗层采用渗透系数≤10</w:t>
            </w:r>
            <w:r>
              <w:rPr>
                <w:rFonts w:hint="default" w:ascii="Times New Roman" w:hAnsi="Times New Roman" w:cs="Times New Roman"/>
                <w:color w:val="000000" w:themeColor="text1"/>
                <w:sz w:val="24"/>
                <w:vertAlign w:val="superscript"/>
                <w14:textFill>
                  <w14:solidFill>
                    <w14:schemeClr w14:val="tx1"/>
                  </w14:solidFill>
                </w14:textFill>
              </w:rPr>
              <w:t>-10</w:t>
            </w:r>
            <w:r>
              <w:rPr>
                <w:rFonts w:hint="default" w:ascii="Times New Roman" w:hAnsi="Times New Roman" w:cs="Times New Roman"/>
                <w:color w:val="000000" w:themeColor="text1"/>
                <w:sz w:val="24"/>
                <w14:textFill>
                  <w14:solidFill>
                    <w14:schemeClr w14:val="tx1"/>
                  </w14:solidFill>
                </w14:textFill>
              </w:rPr>
              <w:t>cm/s的混凝土工层，可避免泄漏液态危险废物下渗，避免对地下水的影响。</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②选用符合标准的容器盛装危险废物和原辅料，有效减少渗滤液及物料的泄漏。</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③危险废物暂存间内设置毛毡、木屑、抹布等应急吸收材料，及时清理泄漏的液态化学品或危险废物。</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④危险废物暂存间内设置泄漏液收集渠或围堰，收集泄漏的液态原辅料。</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⑤危险废物暂存间和原辅料仓库设置漫坡，高20cm，防止外路面雨水流入仓库内。</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⑥加强厂区检查维护，防止原辅料、危险废物或生活污水泄漏渗漏引起地下水污染。</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据调查，一般情况下一旦发现物料泄漏时及时进行处理，污染源的存在只是短时的间断存在，只要及时发现，及时处理，污染物作用时间短，很难穿透基础防渗层，因此，其对地下水影响较小。</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（2）其他一般防渗区</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①项目成品仓库、生产车间所在地应做硬化处理，无需再做其他防渗措施。</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②定期对生产线员工进行应急泄漏培训，建立各级风险控制机构，各成员应有明确的分工与职责范围。</w:t>
            </w:r>
          </w:p>
          <w:p>
            <w:pPr>
              <w:spacing w:line="360" w:lineRule="auto"/>
              <w:ind w:firstLine="48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由污染途径及对应措施分析可知，项目对可能产生地下水、土壤影响的各项途径均进行有效预防，在做好各项防渗措施，并加强维护和厂区环境管理的基础上，可有效控制厂区内的液态危险废物等污染物下渗现象，不会出现污染地下水、土壤的情况。</w:t>
            </w:r>
          </w:p>
          <w:p>
            <w:pPr>
              <w:spacing w:line="360" w:lineRule="auto"/>
              <w:ind w:firstLine="482" w:firstLineChars="200"/>
              <w:jc w:val="both"/>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5.3跟踪监测</w:t>
            </w:r>
          </w:p>
          <w:p>
            <w:pPr>
              <w:spacing w:line="360" w:lineRule="auto"/>
              <w:ind w:firstLine="472" w:firstLineChars="200"/>
              <w:jc w:val="both"/>
              <w:rPr>
                <w:rFonts w:hint="default" w:ascii="Times New Roman" w:hAnsi="Times New Roman" w:cs="Times New Roman" w:eastAsiaTheme="minorEastAsia"/>
                <w:color w:val="000000" w:themeColor="text1"/>
                <w:spacing w:val="-2"/>
                <w:sz w:val="24"/>
                <w14:textFill>
                  <w14:solidFill>
                    <w14:schemeClr w14:val="tx1"/>
                  </w14:solidFill>
                </w14:textFill>
              </w:rPr>
            </w:pPr>
            <w:r>
              <w:rPr>
                <w:rFonts w:hint="default" w:ascii="Times New Roman" w:hAnsi="Times New Roman" w:cs="Times New Roman" w:eastAsiaTheme="minorEastAsia"/>
                <w:color w:val="000000" w:themeColor="text1"/>
                <w:spacing w:val="-2"/>
                <w:sz w:val="24"/>
                <w14:textFill>
                  <w14:solidFill>
                    <w14:schemeClr w14:val="tx1"/>
                  </w14:solidFill>
                </w14:textFill>
              </w:rPr>
              <w:t>建立地下水环境监测管理体系，包括制定地下水环境影响跟踪监测计划、建立地下水环境影响跟踪监测制度、配备先进的检测仪器和设备，以便及时发现问题，采取措施。</w:t>
            </w:r>
          </w:p>
          <w:p>
            <w:pPr>
              <w:spacing w:line="360" w:lineRule="auto"/>
              <w:ind w:firstLine="472" w:firstLineChars="200"/>
              <w:jc w:val="both"/>
              <w:rPr>
                <w:rFonts w:hint="default" w:ascii="Times New Roman" w:hAnsi="Times New Roman" w:cs="Times New Roman" w:eastAsiaTheme="minorEastAsia"/>
                <w:color w:val="000000" w:themeColor="text1"/>
                <w:spacing w:val="-2"/>
                <w:sz w:val="24"/>
                <w14:textFill>
                  <w14:solidFill>
                    <w14:schemeClr w14:val="tx1"/>
                  </w14:solidFill>
                </w14:textFill>
              </w:rPr>
            </w:pPr>
            <w:r>
              <w:rPr>
                <w:rFonts w:hint="default" w:ascii="Times New Roman" w:hAnsi="Times New Roman" w:cs="Times New Roman" w:eastAsiaTheme="minorEastAsia"/>
                <w:color w:val="000000" w:themeColor="text1"/>
                <w:spacing w:val="-2"/>
                <w:sz w:val="24"/>
                <w14:textFill>
                  <w14:solidFill>
                    <w14:schemeClr w14:val="tx1"/>
                  </w14:solidFill>
                </w14:textFill>
              </w:rPr>
              <w:t>经上述土壤及地下水环境影响途径分析，项目运行期间对地下水和土壤无污染影响途径，不再布设跟踪监测点。</w:t>
            </w:r>
          </w:p>
          <w:p>
            <w:pPr>
              <w:adjustRightInd w:val="0"/>
              <w:snapToGrid w:val="0"/>
              <w:spacing w:line="360" w:lineRule="auto"/>
              <w:ind w:firstLine="482" w:firstLineChars="200"/>
              <w:jc w:val="both"/>
              <w:rPr>
                <w:rFonts w:hint="default" w:ascii="Times New Roman" w:hAnsi="Times New Roman" w:cs="Times New Roman"/>
                <w:b/>
                <w:sz w:val="24"/>
              </w:rPr>
            </w:pPr>
            <w:r>
              <w:rPr>
                <w:rFonts w:hint="default" w:ascii="Times New Roman" w:hAnsi="Times New Roman" w:cs="Times New Roman"/>
                <w:b/>
                <w:sz w:val="24"/>
              </w:rPr>
              <w:t>6、环境风险</w:t>
            </w:r>
          </w:p>
          <w:p>
            <w:pPr>
              <w:spacing w:line="360" w:lineRule="auto"/>
              <w:ind w:firstLine="482" w:firstLineChars="200"/>
              <w:jc w:val="both"/>
              <w:rPr>
                <w:rFonts w:hint="default" w:ascii="Times New Roman" w:hAnsi="Times New Roman" w:cs="Times New Roman"/>
                <w:b/>
                <w:bCs/>
                <w:sz w:val="24"/>
              </w:rPr>
            </w:pPr>
            <w:r>
              <w:rPr>
                <w:rFonts w:hint="default" w:ascii="Times New Roman" w:hAnsi="Times New Roman" w:cs="Times New Roman"/>
                <w:b/>
                <w:bCs/>
                <w:sz w:val="24"/>
              </w:rPr>
              <w:t>6.1风险物质识别</w:t>
            </w:r>
          </w:p>
          <w:p>
            <w:pPr>
              <w:pStyle w:val="20"/>
              <w:snapToGrid w:val="0"/>
              <w:spacing w:after="0" w:line="360" w:lineRule="auto"/>
              <w:ind w:firstLine="480" w:firstLineChars="200"/>
              <w:rPr>
                <w:rFonts w:hint="default" w:ascii="Times New Roman" w:hAnsi="Times New Roman" w:eastAsia="宋体" w:cs="Times New Roman"/>
                <w:sz w:val="24"/>
                <w:szCs w:val="24"/>
              </w:rPr>
            </w:pPr>
            <w:r>
              <w:rPr>
                <w:rFonts w:hint="default" w:ascii="Times New Roman" w:hAnsi="Times New Roman" w:cs="Times New Roman"/>
                <w:color w:val="000000" w:themeColor="text1"/>
                <w:sz w:val="24"/>
                <w14:textFill>
                  <w14:solidFill>
                    <w14:schemeClr w14:val="tx1"/>
                  </w14:solidFill>
                </w14:textFill>
              </w:rPr>
              <w:t>根据《建设项目环境风险评价技术导则》（HJ169-2018）附录B</w:t>
            </w:r>
            <w:r>
              <w:rPr>
                <w:rFonts w:hint="default"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sz w:val="24"/>
                <w:szCs w:val="24"/>
                <w:lang w:val="en-US" w:eastAsia="zh-CN"/>
              </w:rPr>
              <w:t>本项目使用的原辅料</w:t>
            </w:r>
            <w:r>
              <w:rPr>
                <w:rFonts w:hint="default" w:ascii="Times New Roman" w:hAnsi="Times New Roman" w:cs="Times New Roman"/>
                <w:color w:val="000000" w:themeColor="text1"/>
                <w:sz w:val="24"/>
                <w14:textFill>
                  <w14:solidFill>
                    <w14:schemeClr w14:val="tx1"/>
                  </w14:solidFill>
                </w14:textFill>
              </w:rPr>
              <w:t>不涉及风险物质</w:t>
            </w:r>
            <w:r>
              <w:rPr>
                <w:rFonts w:hint="default" w:ascii="Times New Roman" w:hAnsi="Times New Roman" w:eastAsia="宋体" w:cs="Times New Roman"/>
                <w:sz w:val="24"/>
                <w:szCs w:val="24"/>
                <w:lang w:val="en-US" w:eastAsia="zh-CN"/>
              </w:rPr>
              <w:t xml:space="preserve">。 </w:t>
            </w:r>
          </w:p>
          <w:p>
            <w:pPr>
              <w:pStyle w:val="20"/>
              <w:snapToGrid w:val="0"/>
              <w:spacing w:after="0"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 xml:space="preserve">根据项目生产和贮运过程中可能存在的事故隐患有：可燃的原辅料会引起火灾事故，电器设备火灾造成二次污染，有机废气处理装置设施发生故障废气超标排放等，对水和土壤环境，对环境空气、地表水、地下水及土壤等产生不利影响。 </w:t>
            </w:r>
          </w:p>
          <w:p>
            <w:pPr>
              <w:spacing w:line="360" w:lineRule="auto"/>
              <w:ind w:firstLine="482" w:firstLineChars="200"/>
              <w:jc w:val="both"/>
              <w:rPr>
                <w:rFonts w:hint="default" w:ascii="Times New Roman" w:hAnsi="Times New Roman" w:cs="Times New Roman"/>
                <w:b/>
                <w:bCs/>
                <w:sz w:val="24"/>
              </w:rPr>
            </w:pPr>
            <w:r>
              <w:rPr>
                <w:rFonts w:hint="default" w:ascii="Times New Roman" w:hAnsi="Times New Roman" w:cs="Times New Roman"/>
                <w:b/>
                <w:bCs/>
                <w:sz w:val="24"/>
                <w:lang w:val="en-US" w:eastAsia="zh-CN"/>
              </w:rPr>
              <w:t xml:space="preserve">6.2 风险评价 </w:t>
            </w:r>
          </w:p>
          <w:p>
            <w:pPr>
              <w:pStyle w:val="20"/>
              <w:snapToGrid w:val="0"/>
              <w:spacing w:after="0" w:line="360" w:lineRule="auto"/>
              <w:ind w:firstLine="480" w:firstLineChars="200"/>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eastAsia="宋体" w:cs="Times New Roman"/>
                <w:sz w:val="24"/>
                <w:szCs w:val="24"/>
                <w:lang w:val="en-US" w:eastAsia="zh-CN"/>
              </w:rPr>
              <w:t>根据风险调查结果，项目不涉及危险物质，因此环境风险潜势为 I，风险评价等级为简单评价。分析内容见表 4-</w:t>
            </w:r>
            <w:r>
              <w:rPr>
                <w:rFonts w:hint="eastAsia" w:ascii="Times New Roman" w:hAnsi="Times New Roman" w:cs="Times New Roman"/>
                <w:sz w:val="24"/>
                <w:szCs w:val="24"/>
                <w:lang w:val="en-US" w:eastAsia="zh-CN"/>
              </w:rPr>
              <w:t>21</w:t>
            </w:r>
            <w:r>
              <w:rPr>
                <w:rFonts w:hint="default" w:ascii="Times New Roman" w:hAnsi="Times New Roman" w:eastAsia="宋体" w:cs="Times New Roman"/>
                <w:sz w:val="24"/>
                <w:szCs w:val="24"/>
                <w:lang w:val="en-US" w:eastAsia="zh-CN"/>
              </w:rPr>
              <w:t>。</w:t>
            </w:r>
          </w:p>
          <w:p>
            <w:pPr>
              <w:pStyle w:val="29"/>
              <w:spacing w:line="240" w:lineRule="auto"/>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表4-</w:t>
            </w:r>
            <w:r>
              <w:rPr>
                <w:rFonts w:hint="eastAsia" w:cs="Times New Roman" w:eastAsiaTheme="minorEastAsia"/>
                <w:b/>
                <w:bCs/>
                <w:color w:val="000000" w:themeColor="text1"/>
                <w:sz w:val="21"/>
                <w:szCs w:val="21"/>
                <w:lang w:val="en-US" w:eastAsia="zh-CN"/>
                <w14:textFill>
                  <w14:solidFill>
                    <w14:schemeClr w14:val="tx1"/>
                  </w14:solidFill>
                </w14:textFill>
              </w:rPr>
              <w:t>21</w:t>
            </w:r>
            <w:r>
              <w:rPr>
                <w:rFonts w:hint="default" w:ascii="Times New Roman" w:hAnsi="Times New Roman" w:cs="Times New Roman" w:eastAsiaTheme="minorEastAsia"/>
                <w:b/>
                <w:bCs/>
                <w:color w:val="000000" w:themeColor="text1"/>
                <w:sz w:val="21"/>
                <w:szCs w:val="21"/>
                <w:lang w:val="en-US" w:eastAsia="zh-CN"/>
                <w14:textFill>
                  <w14:solidFill>
                    <w14:schemeClr w14:val="tx1"/>
                  </w14:solidFill>
                </w14:textFill>
              </w:rPr>
              <w:t xml:space="preserve">  </w:t>
            </w:r>
            <w:r>
              <w:rPr>
                <w:rFonts w:hint="default" w:ascii="Times New Roman" w:hAnsi="Times New Roman" w:cs="Times New Roman" w:eastAsiaTheme="minorEastAsia"/>
                <w:b/>
                <w:bCs/>
                <w:color w:val="000000" w:themeColor="text1"/>
                <w:sz w:val="21"/>
                <w:szCs w:val="21"/>
                <w14:textFill>
                  <w14:solidFill>
                    <w14:schemeClr w14:val="tx1"/>
                  </w14:solidFill>
                </w14:textFill>
              </w:rPr>
              <w:t>建设项目环境风险简单分析内容表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1"/>
              <w:gridCol w:w="992"/>
              <w:gridCol w:w="1701"/>
              <w:gridCol w:w="1123"/>
              <w:gridCol w:w="1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341"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建设项目名称</w:t>
                  </w:r>
                </w:p>
              </w:tc>
              <w:tc>
                <w:tcPr>
                  <w:tcW w:w="5786" w:type="dxa"/>
                  <w:gridSpan w:val="4"/>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包装材料制造项目技术改造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41"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sz w:val="21"/>
                      <w:szCs w:val="21"/>
                      <w:lang w:eastAsia="en-US"/>
                    </w:rPr>
                  </w:pPr>
                  <w:r>
                    <w:rPr>
                      <w:rFonts w:hint="default" w:ascii="Times New Roman" w:hAnsi="Times New Roman" w:cs="Times New Roman" w:eastAsiaTheme="minorEastAsia"/>
                      <w:sz w:val="21"/>
                      <w:szCs w:val="21"/>
                    </w:rPr>
                    <w:t>建设地点</w:t>
                  </w:r>
                </w:p>
              </w:tc>
              <w:tc>
                <w:tcPr>
                  <w:tcW w:w="992"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江苏省</w:t>
                  </w:r>
                </w:p>
              </w:tc>
              <w:tc>
                <w:tcPr>
                  <w:tcW w:w="1701"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连云港市</w:t>
                  </w:r>
                </w:p>
              </w:tc>
              <w:tc>
                <w:tcPr>
                  <w:tcW w:w="1123"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经济技术开发区</w:t>
                  </w:r>
                </w:p>
              </w:tc>
              <w:tc>
                <w:tcPr>
                  <w:tcW w:w="1970"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东方大道36号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341"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地理坐标</w:t>
                  </w:r>
                </w:p>
              </w:tc>
              <w:tc>
                <w:tcPr>
                  <w:tcW w:w="992"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经度</w:t>
                  </w:r>
                </w:p>
              </w:tc>
              <w:tc>
                <w:tcPr>
                  <w:tcW w:w="1701"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119.3097772</w:t>
                  </w:r>
                  <w:r>
                    <w:rPr>
                      <w:rFonts w:hint="default" w:ascii="Times New Roman" w:hAnsi="Times New Roman" w:cs="Times New Roman" w:eastAsiaTheme="minorEastAsia"/>
                      <w:color w:val="auto"/>
                      <w:sz w:val="21"/>
                      <w:szCs w:val="21"/>
                    </w:rPr>
                    <w:t>°</w:t>
                  </w:r>
                </w:p>
              </w:tc>
              <w:tc>
                <w:tcPr>
                  <w:tcW w:w="1123"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纬度</w:t>
                  </w:r>
                </w:p>
              </w:tc>
              <w:tc>
                <w:tcPr>
                  <w:tcW w:w="1970"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34.7188962</w:t>
                  </w:r>
                  <w:r>
                    <w:rPr>
                      <w:rFonts w:hint="default" w:ascii="Times New Roman" w:hAnsi="Times New Roman" w:cs="Times New Roman" w:eastAsiaTheme="minor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2341"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主要危险物质及分布</w:t>
                  </w:r>
                </w:p>
              </w:tc>
              <w:tc>
                <w:tcPr>
                  <w:tcW w:w="5786" w:type="dxa"/>
                  <w:gridSpan w:val="4"/>
                  <w:tcBorders>
                    <w:top w:val="single" w:color="auto" w:sz="4" w:space="0"/>
                    <w:left w:val="single" w:color="auto" w:sz="4" w:space="0"/>
                    <w:bottom w:val="single" w:color="auto" w:sz="4" w:space="0"/>
                    <w:right w:val="single" w:color="auto" w:sz="4" w:space="0"/>
                  </w:tcBorders>
                  <w:noWrap/>
                  <w:vAlign w:val="center"/>
                </w:tcPr>
                <w:p>
                  <w:pPr>
                    <w:ind w:firstLine="456" w:firstLineChars="0"/>
                    <w:jc w:val="both"/>
                    <w:rPr>
                      <w:rFonts w:hint="default" w:ascii="Times New Roman" w:hAnsi="Times New Roman" w:cs="Times New Roman" w:eastAsiaTheme="minorEastAsia"/>
                      <w:color w:val="auto"/>
                      <w:sz w:val="21"/>
                      <w:szCs w:val="21"/>
                    </w:rPr>
                  </w:pPr>
                  <w:r>
                    <w:rPr>
                      <w:rFonts w:hint="default" w:ascii="Times New Roman" w:hAnsi="Times New Roman" w:cs="Times New Roman"/>
                      <w:color w:val="auto"/>
                      <w:sz w:val="21"/>
                      <w:szCs w:val="21"/>
                    </w:rPr>
                    <w:t>火灾、爆炸燃烧过程中次生/伴生污染物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2341"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环境影响途径及危害后果（大气、地表水、地下水等）</w:t>
                  </w:r>
                </w:p>
              </w:tc>
              <w:tc>
                <w:tcPr>
                  <w:tcW w:w="5786" w:type="dxa"/>
                  <w:gridSpan w:val="4"/>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left"/>
                    <w:rPr>
                      <w:rFonts w:hint="default" w:ascii="Times New Roman" w:hAnsi="Times New Roman" w:cs="Times New Roman"/>
                      <w:sz w:val="21"/>
                      <w:szCs w:val="21"/>
                    </w:rPr>
                  </w:pPr>
                  <w:r>
                    <w:rPr>
                      <w:rFonts w:hint="default" w:ascii="Times New Roman" w:hAnsi="Times New Roman" w:eastAsia="宋体" w:cs="Times New Roman"/>
                      <w:color w:val="000000"/>
                      <w:kern w:val="0"/>
                      <w:sz w:val="21"/>
                      <w:szCs w:val="21"/>
                      <w:lang w:val="en-US" w:eastAsia="zh-CN" w:bidi="ar"/>
                    </w:rPr>
                    <w:t xml:space="preserve">主要风险为火灾事故、废气处理设施事故排放风险。发生火灾事故时影响范围是在厂区内，对厂界外影响较小；事故状，态下，废气排放浓度有所增加，影响环境空气质量。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5" w:hRule="atLeast"/>
                <w:jc w:val="center"/>
              </w:trPr>
              <w:tc>
                <w:tcPr>
                  <w:tcW w:w="2341" w:type="dxa"/>
                  <w:tcBorders>
                    <w:top w:val="single" w:color="auto" w:sz="4" w:space="0"/>
                    <w:left w:val="single" w:color="auto" w:sz="4" w:space="0"/>
                    <w:bottom w:val="single" w:color="auto" w:sz="4" w:space="0"/>
                    <w:right w:val="single" w:color="auto" w:sz="4" w:space="0"/>
                  </w:tcBorders>
                  <w:noWrap/>
                  <w:vAlign w:val="center"/>
                </w:tcPr>
                <w:p>
                  <w:pPr>
                    <w:jc w:val="center"/>
                    <w:rPr>
                      <w:rFonts w:hint="default" w:ascii="Times New Roman" w:hAnsi="Times New Roman" w:cs="Times New Roman" w:eastAsiaTheme="minorEastAsia"/>
                      <w:sz w:val="21"/>
                      <w:szCs w:val="21"/>
                      <w:lang w:eastAsia="en-US"/>
                    </w:rPr>
                  </w:pPr>
                  <w:r>
                    <w:rPr>
                      <w:rFonts w:hint="default" w:ascii="Times New Roman" w:hAnsi="Times New Roman" w:cs="Times New Roman" w:eastAsiaTheme="minorEastAsia"/>
                      <w:sz w:val="21"/>
                      <w:szCs w:val="21"/>
                    </w:rPr>
                    <w:t>风险防范措施要求</w:t>
                  </w:r>
                </w:p>
              </w:tc>
              <w:tc>
                <w:tcPr>
                  <w:tcW w:w="5786" w:type="dxa"/>
                  <w:gridSpan w:val="4"/>
                  <w:tcBorders>
                    <w:top w:val="single" w:color="auto" w:sz="4" w:space="0"/>
                    <w:left w:val="single" w:color="auto" w:sz="4" w:space="0"/>
                    <w:bottom w:val="single" w:color="auto" w:sz="4" w:space="0"/>
                    <w:right w:val="single" w:color="auto" w:sz="4" w:space="0"/>
                  </w:tcBorders>
                  <w:noWrap/>
                  <w:vAlign w:val="center"/>
                </w:tcPr>
                <w:p>
                  <w:pPr>
                    <w:keepNext w:val="0"/>
                    <w:keepLines w:val="0"/>
                    <w:widowControl/>
                    <w:suppressLineNumbers w:val="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①生产过程中，必须加强安全管理，提高事故防范措施；严格把好工程设计、施工关；提高认识，完善制度，严格检查；加强技术培训，提高安全意识；提高应急处理的能力；在运输中应特别小心谨慎、确保安全。合理地规划运输路线及时间；装运应做到定车、定人；担负长途运输的车辆，途中不得停车住宿；被装运的物品必须在其外包装的明显部位按规定粘贴规定的物品标志，包装标志的粘贴要正确、牢 固；发生意外采取应急处理并报环保、公安等部门。</w:t>
                  </w:r>
                </w:p>
                <w:p>
                  <w:pPr>
                    <w:keepNext w:val="0"/>
                    <w:keepLines w:val="0"/>
                    <w:widowControl/>
                    <w:suppressLineNumbers w:val="0"/>
                    <w:jc w:val="both"/>
                    <w:rPr>
                      <w:rFonts w:hint="default" w:ascii="Times New Roman" w:hAnsi="Times New Roman" w:cs="Times New Roman"/>
                    </w:rPr>
                  </w:pPr>
                  <w:r>
                    <w:rPr>
                      <w:rFonts w:hint="default" w:ascii="Times New Roman" w:hAnsi="Times New Roman" w:eastAsia="宋体" w:cs="Times New Roman"/>
                      <w:color w:val="000000"/>
                      <w:kern w:val="0"/>
                      <w:sz w:val="21"/>
                      <w:szCs w:val="21"/>
                      <w:lang w:val="en-US" w:eastAsia="zh-CN" w:bidi="ar"/>
                    </w:rPr>
                    <w:t xml:space="preserve">②大气：废气治理措施必须确保日常运行；为确保处理效率，在车间设备检修期间，废气处理系统也应同时进行检修，日常应有专人负责进行维护。总平面布置与建筑安全防范措施。项目平面及竖向布置、厂区消防道路、安全疏散通道及出口的设置等应符合相应设计规范。在消防道路和安全疏散通道上不能堆放东西，全厂按规定布置消防栓和消防灭火器材。在存放仓库及使用区域预留消防安全通道，设置明显的警示牌，告诫禁止明火、禁止吸烟。 </w:t>
                  </w:r>
                </w:p>
                <w:p>
                  <w:pPr>
                    <w:keepNext w:val="0"/>
                    <w:keepLines w:val="0"/>
                    <w:widowControl/>
                    <w:suppressLineNumbers w:val="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③地表水：危废不得露天堆放，须存放于危废仓库，并张贴明显标注；出入库必须检查验收登记；遵守储存相关法律法规；做好四防措施。为防止废水泄漏污染地表水，需加强对废水收集管道的维护，加强各类废水的分流工作，落实雨污分流制，污水处理设备定期维护；配备专职管理人员。</w:t>
                  </w:r>
                </w:p>
                <w:p>
                  <w:pPr>
                    <w:keepNext w:val="0"/>
                    <w:keepLines w:val="0"/>
                    <w:widowControl/>
                    <w:suppressLineNumbers w:val="0"/>
                    <w:jc w:val="both"/>
                    <w:rPr>
                      <w:rFonts w:hint="default" w:ascii="Times New Roman" w:hAnsi="Times New Roman" w:cs="Times New Roman" w:eastAsiaTheme="minorEastAsia"/>
                      <w:sz w:val="21"/>
                      <w:szCs w:val="21"/>
                    </w:rPr>
                  </w:pPr>
                  <w:r>
                    <w:rPr>
                      <w:rFonts w:hint="default" w:ascii="Times New Roman" w:hAnsi="Times New Roman" w:eastAsia="宋体" w:cs="Times New Roman"/>
                      <w:color w:val="000000"/>
                      <w:kern w:val="0"/>
                      <w:sz w:val="21"/>
                      <w:szCs w:val="21"/>
                      <w:lang w:val="en-US" w:eastAsia="zh-CN" w:bidi="ar"/>
                    </w:rPr>
                    <w:t>④地下水及土壤：厂区需做好分区防渗，防止污染物的跑、冒、滴、漏，将污染物泄漏的环境风险事故降到最低限度。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8127" w:type="dxa"/>
                  <w:gridSpan w:val="5"/>
                  <w:tcBorders>
                    <w:top w:val="single" w:color="auto" w:sz="4" w:space="0"/>
                    <w:left w:val="single" w:color="auto" w:sz="4" w:space="0"/>
                    <w:bottom w:val="single" w:color="auto" w:sz="4" w:space="0"/>
                    <w:right w:val="single" w:color="auto" w:sz="4" w:space="0"/>
                  </w:tcBorders>
                  <w:noWrap/>
                </w:tcPr>
                <w:p>
                  <w:pP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填表说明（列出项目相关信息及评价说明）：</w:t>
                  </w:r>
                </w:p>
                <w:p>
                  <w:pPr>
                    <w:ind w:firstLine="315" w:firstLineChars="150"/>
                    <w:jc w:val="both"/>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根据（环发[2012]77号）《关于进一步加强环境影响评价管理防范环境风险的通知》，新、扩、改建相关建设项目环境影响评价应按照相应技术导则要求，科学预测评价突发事件或事故可能引发的环境风险，提出环境风险防范和应急措施。</w:t>
                  </w:r>
                </w:p>
              </w:tc>
            </w:tr>
          </w:tbl>
          <w:p>
            <w:pPr>
              <w:spacing w:line="460" w:lineRule="exact"/>
              <w:ind w:firstLine="482" w:firstLineChars="200"/>
              <w:jc w:val="both"/>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14:textFill>
                  <w14:solidFill>
                    <w14:schemeClr w14:val="tx1"/>
                  </w14:solidFill>
                </w14:textFill>
              </w:rPr>
              <w:t>6.</w:t>
            </w:r>
            <w:r>
              <w:rPr>
                <w:rFonts w:hint="eastAsia" w:ascii="Times New Roman" w:hAnsi="Times New Roman" w:cs="Times New Roman"/>
                <w:b/>
                <w:bCs/>
                <w:color w:val="000000" w:themeColor="text1"/>
                <w:sz w:val="24"/>
                <w:lang w:val="en-US" w:eastAsia="zh-CN"/>
                <w14:textFill>
                  <w14:solidFill>
                    <w14:schemeClr w14:val="tx1"/>
                  </w14:solidFill>
                </w14:textFill>
              </w:rPr>
              <w:t>3</w:t>
            </w:r>
            <w:r>
              <w:rPr>
                <w:rFonts w:hint="default" w:ascii="Times New Roman" w:hAnsi="Times New Roman" w:cs="Times New Roman"/>
                <w:b/>
                <w:bCs/>
                <w:sz w:val="24"/>
              </w:rPr>
              <w:t>环境风险应急预案</w:t>
            </w:r>
          </w:p>
          <w:p>
            <w:pPr>
              <w:spacing w:line="460" w:lineRule="exact"/>
              <w:ind w:firstLine="480" w:firstLineChars="200"/>
              <w:jc w:val="both"/>
              <w:rPr>
                <w:rFonts w:hint="default" w:ascii="Times New Roman" w:hAnsi="Times New Roman" w:cs="Times New Roman"/>
                <w:sz w:val="24"/>
              </w:rPr>
            </w:pPr>
            <w:r>
              <w:rPr>
                <w:rFonts w:hint="default" w:ascii="Times New Roman" w:hAnsi="Times New Roman" w:cs="Times New Roman"/>
                <w:sz w:val="24"/>
              </w:rPr>
              <w:t>根据江苏省政府办公厅发布《省政府办公厅关于印发&lt;江苏省突发环境事件应急预案&gt;的通知》（苏政办函[2020]37号），为响应省政府办公厅关于突发环境事件应急预案的要求，根据《企业事业单位突发环境事件应急预案备案管理办法（试行）》（环发[2015]4号）以及《国务院办公厅印发国家突发环境事件应急预案的通知》（国办函[2014]119号），企业应按要求编制企业环境应急预案，并向相应生态环境部门备案，平时应按要求加强应急预案演练。</w:t>
            </w:r>
          </w:p>
          <w:p>
            <w:pPr>
              <w:spacing w:line="460" w:lineRule="exact"/>
              <w:ind w:firstLine="480" w:firstLineChars="200"/>
              <w:jc w:val="both"/>
              <w:rPr>
                <w:rFonts w:hint="default" w:ascii="Times New Roman" w:hAnsi="Times New Roman" w:cs="Times New Roman"/>
                <w:sz w:val="24"/>
              </w:rPr>
            </w:pPr>
            <w:r>
              <w:rPr>
                <w:rFonts w:hint="default" w:ascii="Times New Roman" w:hAnsi="Times New Roman" w:cs="Times New Roman"/>
                <w:sz w:val="24"/>
              </w:rPr>
              <w:t>①组织机构及职责：建立各级风险控制机构，各成员应有明确的分工与职责范围，各级成员的电话24小时开通过。</w:t>
            </w:r>
          </w:p>
          <w:p>
            <w:pPr>
              <w:spacing w:line="460" w:lineRule="exact"/>
              <w:ind w:firstLine="480" w:firstLineChars="200"/>
              <w:jc w:val="both"/>
              <w:rPr>
                <w:rFonts w:hint="default" w:ascii="Times New Roman" w:hAnsi="Times New Roman" w:cs="Times New Roman"/>
                <w:sz w:val="24"/>
              </w:rPr>
            </w:pPr>
            <w:r>
              <w:rPr>
                <w:rFonts w:hint="default" w:ascii="Times New Roman" w:hAnsi="Times New Roman" w:cs="Times New Roman"/>
                <w:sz w:val="24"/>
              </w:rPr>
              <w:t>②应急设备、材料：仓库和</w:t>
            </w:r>
            <w:r>
              <w:rPr>
                <w:rFonts w:hint="eastAsia" w:ascii="Times New Roman" w:hAnsi="Times New Roman" w:cs="Times New Roman"/>
                <w:sz w:val="24"/>
                <w:lang w:val="en-US" w:eastAsia="zh-CN"/>
              </w:rPr>
              <w:t>生产车间</w:t>
            </w:r>
            <w:r>
              <w:rPr>
                <w:rFonts w:hint="default" w:ascii="Times New Roman" w:hAnsi="Times New Roman" w:cs="Times New Roman"/>
                <w:sz w:val="24"/>
              </w:rPr>
              <w:t>现场应配备必要的应急设备、材料，如砂土、铲、消防水枪等。</w:t>
            </w:r>
          </w:p>
          <w:p>
            <w:pPr>
              <w:spacing w:line="460" w:lineRule="exact"/>
              <w:ind w:firstLine="480" w:firstLineChars="200"/>
              <w:jc w:val="both"/>
              <w:rPr>
                <w:rFonts w:hint="default" w:ascii="Times New Roman" w:hAnsi="Times New Roman" w:cs="Times New Roman"/>
                <w:sz w:val="24"/>
              </w:rPr>
            </w:pPr>
            <w:r>
              <w:rPr>
                <w:rFonts w:hint="default" w:ascii="Times New Roman" w:hAnsi="Times New Roman" w:cs="Times New Roman"/>
                <w:sz w:val="24"/>
              </w:rPr>
              <w:t>③应急培训及演练：制定培训计划，对各岗位员工进行应急培训及演练，熟悉各自的职责和职能，熟悉应急设施的使用方法，事故处理方式，以及事故发生时的应急处理技能。</w:t>
            </w:r>
          </w:p>
          <w:p>
            <w:pPr>
              <w:spacing w:line="460" w:lineRule="exact"/>
              <w:ind w:firstLine="480" w:firstLineChars="200"/>
              <w:jc w:val="both"/>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sz w:val="24"/>
              </w:rPr>
              <w:t>④记录和报告：设置应急事故专门记录，建立档案的报告制度，并由专门部门负责管理，以便总结经验，改善应急计划和提高处理应急的综合能力。</w:t>
            </w:r>
          </w:p>
          <w:p>
            <w:pPr>
              <w:adjustRightInd w:val="0"/>
              <w:snapToGrid w:val="0"/>
              <w:spacing w:line="500" w:lineRule="exact"/>
              <w:ind w:firstLine="482" w:firstLineChars="200"/>
              <w:jc w:val="both"/>
              <w:rPr>
                <w:rFonts w:hint="default" w:ascii="Times New Roman" w:hAnsi="Times New Roman" w:cs="Times New Roman"/>
                <w:b/>
                <w:sz w:val="24"/>
              </w:rPr>
            </w:pPr>
            <w:r>
              <w:rPr>
                <w:rFonts w:hint="default" w:ascii="Times New Roman" w:hAnsi="Times New Roman" w:cs="Times New Roman"/>
                <w:b/>
                <w:sz w:val="24"/>
              </w:rPr>
              <w:t>7、生态环境</w:t>
            </w:r>
          </w:p>
          <w:p>
            <w:pPr>
              <w:spacing w:line="460" w:lineRule="exact"/>
              <w:ind w:firstLine="472" w:firstLineChars="200"/>
              <w:jc w:val="both"/>
              <w:rPr>
                <w:rFonts w:hint="default" w:ascii="Times New Roman" w:hAnsi="Times New Roman" w:cs="Times New Roman" w:eastAsiaTheme="minorEastAsia"/>
                <w:color w:val="000000" w:themeColor="text1"/>
                <w:spacing w:val="-2"/>
                <w:sz w:val="24"/>
                <w14:textFill>
                  <w14:solidFill>
                    <w14:schemeClr w14:val="tx1"/>
                  </w14:solidFill>
                </w14:textFill>
              </w:rPr>
            </w:pPr>
            <w:r>
              <w:rPr>
                <w:rFonts w:hint="default" w:ascii="Times New Roman" w:hAnsi="Times New Roman" w:cs="Times New Roman" w:eastAsiaTheme="minorEastAsia"/>
                <w:color w:val="000000" w:themeColor="text1"/>
                <w:spacing w:val="-2"/>
                <w:sz w:val="24"/>
                <w14:textFill>
                  <w14:solidFill>
                    <w14:schemeClr w14:val="tx1"/>
                  </w14:solidFill>
                </w14:textFill>
              </w:rPr>
              <w:t>本项目位于</w:t>
            </w:r>
            <w:r>
              <w:rPr>
                <w:rFonts w:hint="default" w:ascii="Times New Roman" w:hAnsi="Times New Roman" w:cs="Times New Roman"/>
                <w:color w:val="000000"/>
                <w:sz w:val="24"/>
              </w:rPr>
              <w:t>江苏省</w:t>
            </w:r>
            <w:r>
              <w:rPr>
                <w:rFonts w:hint="default" w:ascii="Times New Roman" w:hAnsi="Times New Roman" w:eastAsia="宋体" w:cs="Times New Roman"/>
                <w:color w:val="000000"/>
                <w:sz w:val="24"/>
                <w:lang w:val="en-US" w:eastAsia="zh-CN"/>
              </w:rPr>
              <w:t>连云港市</w:t>
            </w:r>
            <w:r>
              <w:rPr>
                <w:rFonts w:hint="eastAsia" w:ascii="Times New Roman" w:hAnsi="Times New Roman" w:cs="Times New Roman"/>
                <w:color w:val="000000"/>
                <w:sz w:val="24"/>
                <w:lang w:val="en-US" w:eastAsia="zh-CN"/>
              </w:rPr>
              <w:t>经济技术开发区</w:t>
            </w:r>
            <w:r>
              <w:rPr>
                <w:rFonts w:hint="default" w:ascii="Times New Roman" w:hAnsi="Times New Roman" w:cs="Times New Roman" w:eastAsiaTheme="minorEastAsia"/>
                <w:color w:val="000000" w:themeColor="text1"/>
                <w:spacing w:val="-2"/>
                <w:sz w:val="24"/>
                <w14:textFill>
                  <w14:solidFill>
                    <w14:schemeClr w14:val="tx1"/>
                  </w14:solidFill>
                </w14:textFill>
              </w:rPr>
              <w:t>，用地性质为工业用地，周边植物主要为人工植物，无天然、珍稀野生动、植物种，项目建成营运后，产生的废气、固废均得到妥善处理、处置，不会对当地原有的生态系统产生影响，无需单独设置生态保护措施。</w:t>
            </w:r>
          </w:p>
          <w:p>
            <w:pPr>
              <w:spacing w:line="460" w:lineRule="exact"/>
              <w:ind w:left="482"/>
              <w:jc w:val="both"/>
              <w:rPr>
                <w:rFonts w:hint="default" w:ascii="Times New Roman" w:hAnsi="Times New Roman" w:cs="Times New Roman" w:eastAsiaTheme="majorEastAsia"/>
                <w:b/>
                <w:bCs/>
                <w:sz w:val="24"/>
              </w:rPr>
            </w:pPr>
            <w:r>
              <w:rPr>
                <w:rFonts w:hint="default" w:ascii="Times New Roman" w:hAnsi="Times New Roman" w:cs="Times New Roman" w:eastAsiaTheme="majorEastAsia"/>
                <w:b/>
                <w:bCs/>
                <w:sz w:val="24"/>
              </w:rPr>
              <w:t>8、环保投资估算和“三同时”验收内容</w:t>
            </w:r>
          </w:p>
          <w:p>
            <w:pPr>
              <w:spacing w:line="460" w:lineRule="exact"/>
              <w:ind w:firstLine="480" w:firstLineChars="200"/>
              <w:jc w:val="both"/>
              <w:rPr>
                <w:rFonts w:hint="default" w:ascii="Times New Roman" w:hAnsi="Times New Roman" w:cs="Times New Roman" w:eastAsiaTheme="majorEastAsia"/>
                <w:sz w:val="24"/>
              </w:rPr>
            </w:pPr>
            <w:r>
              <w:rPr>
                <w:rFonts w:hint="default" w:ascii="Times New Roman" w:hAnsi="Times New Roman" w:cs="Times New Roman" w:eastAsiaTheme="majorEastAsia"/>
                <w:sz w:val="24"/>
              </w:rPr>
              <w:t>结合本环境保护和污染防治工作拟采用一些必要的工程措施，对本环境保护投资进行估算，具体结果见表4-</w:t>
            </w:r>
            <w:r>
              <w:rPr>
                <w:rFonts w:hint="eastAsia" w:ascii="Times New Roman" w:hAnsi="Times New Roman" w:cs="Times New Roman" w:eastAsiaTheme="majorEastAsia"/>
                <w:sz w:val="24"/>
                <w:lang w:val="en-US" w:eastAsia="zh-CN"/>
              </w:rPr>
              <w:t>22</w:t>
            </w:r>
            <w:r>
              <w:rPr>
                <w:rFonts w:hint="default" w:ascii="Times New Roman" w:hAnsi="Times New Roman" w:cs="Times New Roman" w:eastAsiaTheme="majorEastAsia"/>
                <w:sz w:val="24"/>
              </w:rPr>
              <w:t>。</w:t>
            </w:r>
          </w:p>
          <w:p>
            <w:pPr>
              <w:spacing w:line="460" w:lineRule="exact"/>
              <w:jc w:val="both"/>
              <w:rPr>
                <w:rFonts w:hint="default" w:ascii="Times New Roman" w:hAnsi="Times New Roman" w:eastAsia="宋体" w:cs="Times New Roman"/>
                <w:b/>
                <w:bCs/>
                <w:sz w:val="24"/>
                <w:szCs w:val="24"/>
                <w:lang w:eastAsia="zh-CN"/>
              </w:rPr>
            </w:pPr>
          </w:p>
        </w:tc>
      </w:tr>
    </w:tbl>
    <w:p>
      <w:pPr>
        <w:rPr>
          <w:rFonts w:hint="default" w:ascii="Times New Roman" w:hAnsi="Times New Roman" w:cs="Times New Roman"/>
          <w:lang w:eastAsia="zh-CN"/>
        </w:rPr>
        <w:sectPr>
          <w:footerReference r:id="rId7" w:type="default"/>
          <w:pgSz w:w="11910" w:h="16840"/>
          <w:pgMar w:top="1580" w:right="1440" w:bottom="1020" w:left="1497" w:header="0" w:footer="833" w:gutter="0"/>
          <w:pgBorders>
            <w:top w:val="none" w:sz="0" w:space="0"/>
            <w:left w:val="none" w:sz="0" w:space="0"/>
            <w:bottom w:val="none" w:sz="0" w:space="0"/>
            <w:right w:val="none" w:sz="0" w:space="0"/>
          </w:pgBorders>
          <w:pgNumType w:fmt="decimal"/>
          <w:cols w:space="720" w:num="1"/>
        </w:sectPr>
      </w:pPr>
    </w:p>
    <w:p>
      <w:pPr>
        <w:spacing w:line="460" w:lineRule="exact"/>
        <w:ind w:firstLine="422" w:firstLineChars="200"/>
        <w:jc w:val="center"/>
        <w:rPr>
          <w:rFonts w:hint="default" w:ascii="Times New Roman" w:hAnsi="Times New Roman" w:cs="Times New Roman"/>
          <w:b/>
          <w:sz w:val="21"/>
          <w:szCs w:val="21"/>
        </w:rPr>
      </w:pPr>
      <w:r>
        <w:rPr>
          <w:rFonts w:hint="default" w:ascii="Times New Roman" w:hAnsi="Times New Roman" w:cs="Times New Roman"/>
          <w:b/>
          <w:sz w:val="21"/>
          <w:szCs w:val="21"/>
        </w:rPr>
        <w:t>表4-</w:t>
      </w:r>
      <w:r>
        <w:rPr>
          <w:rFonts w:hint="eastAsia" w:ascii="Times New Roman" w:hAnsi="Times New Roman" w:cs="Times New Roman"/>
          <w:b/>
          <w:sz w:val="21"/>
          <w:szCs w:val="21"/>
          <w:lang w:val="en-US" w:eastAsia="zh-CN"/>
        </w:rPr>
        <w:t>22</w:t>
      </w:r>
      <w:r>
        <w:rPr>
          <w:rFonts w:hint="default" w:ascii="Times New Roman" w:hAnsi="Times New Roman" w:cs="Times New Roman"/>
          <w:b/>
          <w:sz w:val="21"/>
          <w:szCs w:val="21"/>
        </w:rPr>
        <w:t xml:space="preserve">  本项目环保工程投资一览表</w:t>
      </w:r>
    </w:p>
    <w:tbl>
      <w:tblPr>
        <w:tblStyle w:val="24"/>
        <w:tblW w:w="136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1276"/>
        <w:gridCol w:w="1559"/>
        <w:gridCol w:w="2012"/>
        <w:gridCol w:w="2949"/>
        <w:gridCol w:w="851"/>
        <w:gridCol w:w="1134"/>
        <w:gridCol w:w="2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18"/>
              <w:jc w:val="center"/>
              <w:rPr>
                <w:rFonts w:hint="default" w:ascii="Times New Roman" w:hAnsi="Times New Roman" w:cs="Times New Roman"/>
                <w:b/>
                <w:sz w:val="21"/>
                <w:szCs w:val="21"/>
              </w:rPr>
            </w:pPr>
            <w:r>
              <w:rPr>
                <w:rFonts w:hint="default" w:ascii="Times New Roman" w:hAnsi="Times New Roman" w:cs="Times New Roman"/>
                <w:b/>
                <w:color w:val="000000"/>
                <w:sz w:val="21"/>
                <w:szCs w:val="21"/>
              </w:rPr>
              <w:t>类别</w:t>
            </w:r>
          </w:p>
        </w:tc>
        <w:tc>
          <w:tcPr>
            <w:tcW w:w="1276" w:type="dxa"/>
            <w:vAlign w:val="center"/>
          </w:tcPr>
          <w:p>
            <w:pPr>
              <w:pStyle w:val="18"/>
              <w:jc w:val="center"/>
              <w:rPr>
                <w:rFonts w:hint="default" w:ascii="Times New Roman" w:hAnsi="Times New Roman" w:cs="Times New Roman"/>
                <w:b/>
                <w:sz w:val="21"/>
                <w:szCs w:val="21"/>
              </w:rPr>
            </w:pPr>
            <w:r>
              <w:rPr>
                <w:rFonts w:hint="default" w:ascii="Times New Roman" w:hAnsi="Times New Roman" w:cs="Times New Roman"/>
                <w:b/>
                <w:color w:val="000000"/>
                <w:sz w:val="21"/>
                <w:szCs w:val="21"/>
              </w:rPr>
              <w:t>污染源</w:t>
            </w:r>
          </w:p>
        </w:tc>
        <w:tc>
          <w:tcPr>
            <w:tcW w:w="1559" w:type="dxa"/>
            <w:vAlign w:val="center"/>
          </w:tcPr>
          <w:p>
            <w:pPr>
              <w:pStyle w:val="18"/>
              <w:jc w:val="center"/>
              <w:rPr>
                <w:rFonts w:hint="default" w:ascii="Times New Roman" w:hAnsi="Times New Roman" w:cs="Times New Roman"/>
                <w:b/>
                <w:sz w:val="21"/>
                <w:szCs w:val="21"/>
              </w:rPr>
            </w:pPr>
            <w:r>
              <w:rPr>
                <w:rFonts w:hint="default" w:ascii="Times New Roman" w:hAnsi="Times New Roman" w:cs="Times New Roman"/>
                <w:b/>
                <w:color w:val="000000"/>
                <w:sz w:val="21"/>
                <w:szCs w:val="21"/>
              </w:rPr>
              <w:t>污染物</w:t>
            </w:r>
          </w:p>
        </w:tc>
        <w:tc>
          <w:tcPr>
            <w:tcW w:w="2012" w:type="dxa"/>
            <w:vAlign w:val="center"/>
          </w:tcPr>
          <w:p>
            <w:pPr>
              <w:pStyle w:val="18"/>
              <w:jc w:val="center"/>
              <w:rPr>
                <w:rFonts w:hint="default" w:ascii="Times New Roman" w:hAnsi="Times New Roman" w:cs="Times New Roman"/>
                <w:b/>
                <w:sz w:val="21"/>
                <w:szCs w:val="21"/>
              </w:rPr>
            </w:pPr>
            <w:r>
              <w:rPr>
                <w:rFonts w:hint="default" w:ascii="Times New Roman" w:hAnsi="Times New Roman" w:cs="Times New Roman"/>
                <w:b/>
                <w:color w:val="000000"/>
                <w:sz w:val="21"/>
                <w:szCs w:val="21"/>
              </w:rPr>
              <w:t>治理措施（建设数量、规模、处理能力等）</w:t>
            </w:r>
          </w:p>
        </w:tc>
        <w:tc>
          <w:tcPr>
            <w:tcW w:w="2949" w:type="dxa"/>
            <w:vAlign w:val="center"/>
          </w:tcPr>
          <w:p>
            <w:pPr>
              <w:pStyle w:val="18"/>
              <w:jc w:val="center"/>
              <w:rPr>
                <w:rFonts w:hint="default" w:ascii="Times New Roman" w:hAnsi="Times New Roman" w:cs="Times New Roman"/>
                <w:b/>
                <w:sz w:val="21"/>
                <w:szCs w:val="21"/>
              </w:rPr>
            </w:pPr>
            <w:r>
              <w:rPr>
                <w:rFonts w:hint="default" w:ascii="Times New Roman" w:hAnsi="Times New Roman" w:cs="Times New Roman"/>
                <w:b/>
                <w:color w:val="000000"/>
                <w:sz w:val="21"/>
                <w:szCs w:val="21"/>
              </w:rPr>
              <w:t>处理效果、执行标准或拟达要求</w:t>
            </w:r>
          </w:p>
        </w:tc>
        <w:tc>
          <w:tcPr>
            <w:tcW w:w="851" w:type="dxa"/>
            <w:vAlign w:val="center"/>
          </w:tcPr>
          <w:p>
            <w:pPr>
              <w:pStyle w:val="18"/>
              <w:jc w:val="center"/>
              <w:rPr>
                <w:rFonts w:hint="default" w:ascii="Times New Roman" w:hAnsi="Times New Roman" w:cs="Times New Roman"/>
                <w:b/>
                <w:sz w:val="21"/>
                <w:szCs w:val="21"/>
              </w:rPr>
            </w:pPr>
            <w:r>
              <w:rPr>
                <w:rFonts w:hint="default" w:ascii="Times New Roman" w:hAnsi="Times New Roman" w:cs="Times New Roman"/>
                <w:b/>
                <w:color w:val="000000"/>
                <w:sz w:val="21"/>
                <w:szCs w:val="21"/>
              </w:rPr>
              <w:t>环保投资（万元）</w:t>
            </w:r>
          </w:p>
        </w:tc>
        <w:tc>
          <w:tcPr>
            <w:tcW w:w="1134" w:type="dxa"/>
            <w:vAlign w:val="center"/>
          </w:tcPr>
          <w:p>
            <w:pPr>
              <w:pStyle w:val="18"/>
              <w:jc w:val="center"/>
              <w:rPr>
                <w:rFonts w:hint="default" w:ascii="Times New Roman" w:hAnsi="Times New Roman" w:cs="Times New Roman"/>
                <w:b/>
                <w:sz w:val="21"/>
                <w:szCs w:val="21"/>
              </w:rPr>
            </w:pPr>
            <w:r>
              <w:rPr>
                <w:rFonts w:hint="default" w:ascii="Times New Roman" w:hAnsi="Times New Roman" w:cs="Times New Roman"/>
                <w:b/>
                <w:color w:val="000000"/>
                <w:sz w:val="21"/>
                <w:szCs w:val="21"/>
              </w:rPr>
              <w:t>完成时间</w:t>
            </w:r>
          </w:p>
        </w:tc>
        <w:tc>
          <w:tcPr>
            <w:tcW w:w="2610" w:type="dxa"/>
            <w:vAlign w:val="center"/>
          </w:tcPr>
          <w:p>
            <w:pPr>
              <w:pStyle w:val="28"/>
              <w:rPr>
                <w:rFonts w:hint="default" w:ascii="Times New Roman" w:hAnsi="Times New Roman" w:cs="Times New Roman"/>
                <w:sz w:val="21"/>
                <w:szCs w:val="21"/>
              </w:rPr>
            </w:pPr>
            <w:r>
              <w:rPr>
                <w:rFonts w:hint="default" w:ascii="Times New Roman" w:hAnsi="Times New Roman" w:cs="Times New Roman"/>
                <w:b/>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271"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废气</w:t>
            </w:r>
          </w:p>
        </w:tc>
        <w:tc>
          <w:tcPr>
            <w:tcW w:w="1276" w:type="dxa"/>
            <w:vAlign w:val="center"/>
          </w:tcPr>
          <w:p>
            <w:pPr>
              <w:pStyle w:val="18"/>
              <w:jc w:val="center"/>
              <w:rPr>
                <w:rFonts w:hint="default" w:ascii="Times New Roman" w:hAnsi="Times New Roman" w:eastAsia="宋体" w:cs="Times New Roman"/>
                <w:sz w:val="21"/>
                <w:szCs w:val="21"/>
                <w:lang w:val="en-US" w:eastAsia="zh-CN"/>
              </w:rPr>
            </w:pPr>
            <w:r>
              <w:rPr>
                <w:rFonts w:hint="eastAsia" w:ascii="Times New Roman" w:hAnsi="Times New Roman" w:cs="Times New Roman"/>
                <w:color w:val="000000"/>
                <w:sz w:val="21"/>
                <w:szCs w:val="21"/>
                <w:lang w:val="en-US" w:eastAsia="zh-CN"/>
              </w:rPr>
              <w:t>涂膜、印刷工段废气</w:t>
            </w:r>
          </w:p>
        </w:tc>
        <w:tc>
          <w:tcPr>
            <w:tcW w:w="1559" w:type="dxa"/>
            <w:vAlign w:val="center"/>
          </w:tcPr>
          <w:p>
            <w:pPr>
              <w:pStyle w:val="18"/>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非甲烷总烃</w:t>
            </w:r>
          </w:p>
        </w:tc>
        <w:tc>
          <w:tcPr>
            <w:tcW w:w="2012" w:type="dxa"/>
            <w:vAlign w:val="center"/>
          </w:tcPr>
          <w:p>
            <w:pPr>
              <w:pStyle w:val="18"/>
              <w:jc w:val="center"/>
              <w:rPr>
                <w:rFonts w:hint="default" w:ascii="Times New Roman" w:hAnsi="Times New Roman" w:cs="Times New Roman"/>
                <w:sz w:val="21"/>
                <w:szCs w:val="21"/>
              </w:rPr>
            </w:pPr>
            <w:r>
              <w:rPr>
                <w:rFonts w:hint="eastAsia" w:ascii="Times New Roman" w:hAnsi="Times New Roman" w:cs="Times New Roman"/>
                <w:color w:val="000000"/>
                <w:sz w:val="21"/>
                <w:szCs w:val="21"/>
                <w:lang w:val="en-US" w:eastAsia="zh-CN"/>
              </w:rPr>
              <w:t>二级活性炭吸附</w:t>
            </w:r>
            <w:r>
              <w:rPr>
                <w:rFonts w:hint="default" w:ascii="Times New Roman" w:hAnsi="Times New Roman" w:eastAsia="宋体" w:cs="Times New Roman"/>
                <w:color w:val="000000"/>
                <w:sz w:val="21"/>
                <w:szCs w:val="21"/>
                <w:lang w:val="en-US" w:eastAsia="zh-CN"/>
              </w:rPr>
              <w:t>+1根15</w:t>
            </w:r>
            <w:r>
              <w:rPr>
                <w:rFonts w:hint="default" w:ascii="Times New Roman" w:hAnsi="Times New Roman" w:cs="Times New Roman"/>
                <w:color w:val="000000"/>
                <w:sz w:val="21"/>
                <w:szCs w:val="21"/>
              </w:rPr>
              <w:t>m高排气筒</w:t>
            </w:r>
          </w:p>
        </w:tc>
        <w:tc>
          <w:tcPr>
            <w:tcW w:w="2949" w:type="dxa"/>
            <w:vAlign w:val="center"/>
          </w:tcPr>
          <w:p>
            <w:pPr>
              <w:pStyle w:val="18"/>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color w:val="auto"/>
                <w:sz w:val="21"/>
                <w:szCs w:val="21"/>
                <w:lang w:val="en-US" w:eastAsia="zh-CN"/>
              </w:rPr>
              <w:t>《工业涂装工序大气污染物排放标准》（DB32/4439-2022）</w:t>
            </w:r>
            <w:r>
              <w:rPr>
                <w:rFonts w:hint="default" w:ascii="Times New Roman" w:hAnsi="Times New Roman" w:eastAsia="宋体" w:cs="Times New Roman"/>
                <w:color w:val="000000"/>
                <w:sz w:val="21"/>
                <w:szCs w:val="21"/>
                <w:lang w:val="en-US" w:eastAsia="zh-CN"/>
              </w:rPr>
              <w:t>表1标准</w:t>
            </w:r>
          </w:p>
        </w:tc>
        <w:tc>
          <w:tcPr>
            <w:tcW w:w="851" w:type="dxa"/>
            <w:vAlign w:val="center"/>
          </w:tcPr>
          <w:p>
            <w:pPr>
              <w:pStyle w:val="28"/>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6</w:t>
            </w:r>
          </w:p>
        </w:tc>
        <w:tc>
          <w:tcPr>
            <w:tcW w:w="1134" w:type="dxa"/>
            <w:vMerge w:val="restart"/>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与建设项目主体工程同时设计、同时开工、同时建成运行</w:t>
            </w:r>
          </w:p>
        </w:tc>
        <w:tc>
          <w:tcPr>
            <w:tcW w:w="2610" w:type="dxa"/>
            <w:vAlign w:val="center"/>
          </w:tcPr>
          <w:p>
            <w:pPr>
              <w:pStyle w:val="18"/>
              <w:jc w:val="center"/>
              <w:rPr>
                <w:rFonts w:hint="default" w:ascii="Times New Roman" w:hAnsi="Times New Roman" w:eastAsia="宋体" w:cs="Times New Roman"/>
                <w:sz w:val="21"/>
                <w:szCs w:val="21"/>
                <w:lang w:val="en-US" w:eastAsia="zh-CN"/>
              </w:rPr>
            </w:pPr>
            <w:r>
              <w:rPr>
                <w:rFonts w:hint="eastAsia" w:ascii="Times New Roman" w:hAnsi="Times New Roman" w:cs="Times New Roman"/>
                <w:color w:val="000000"/>
                <w:sz w:val="21"/>
                <w:szCs w:val="21"/>
                <w:lang w:val="en-US" w:eastAsia="zh-CN"/>
              </w:rPr>
              <w:t>新建</w:t>
            </w:r>
            <w:r>
              <w:rPr>
                <w:rFonts w:hint="default" w:ascii="Times New Roman" w:hAnsi="Times New Roman" w:cs="Times New Roman"/>
                <w:color w:val="000000"/>
                <w:sz w:val="21"/>
                <w:szCs w:val="21"/>
              </w:rPr>
              <w:t>根据供应商报价约</w:t>
            </w:r>
            <w:r>
              <w:rPr>
                <w:rFonts w:hint="eastAsia" w:ascii="Times New Roman" w:hAnsi="Times New Roman" w:cs="Times New Roman"/>
                <w:color w:val="000000"/>
                <w:sz w:val="21"/>
                <w:szCs w:val="21"/>
                <w:lang w:val="en-US" w:eastAsia="zh-CN"/>
              </w:rPr>
              <w:t>6</w:t>
            </w:r>
            <w:r>
              <w:rPr>
                <w:rFonts w:hint="default" w:ascii="Times New Roman" w:hAnsi="Times New Roman" w:cs="Times New Roman"/>
                <w:color w:val="000000"/>
                <w:sz w:val="21"/>
                <w:szCs w:val="21"/>
              </w:rPr>
              <w:t>万元，含安装费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废水</w:t>
            </w:r>
          </w:p>
        </w:tc>
        <w:tc>
          <w:tcPr>
            <w:tcW w:w="1276" w:type="dxa"/>
            <w:vAlign w:val="center"/>
          </w:tcPr>
          <w:p>
            <w:pPr>
              <w:pStyle w:val="18"/>
              <w:jc w:val="center"/>
              <w:rPr>
                <w:rFonts w:hint="default" w:ascii="Times New Roman" w:hAnsi="Times New Roman" w:eastAsia="宋体" w:cs="Times New Roman"/>
                <w:sz w:val="21"/>
                <w:szCs w:val="21"/>
                <w:lang w:val="en-US" w:eastAsia="zh-CN"/>
              </w:rPr>
            </w:pPr>
            <w:r>
              <w:rPr>
                <w:rFonts w:hint="default" w:ascii="Times New Roman" w:hAnsi="Times New Roman" w:cs="Times New Roman"/>
                <w:color w:val="000000"/>
                <w:sz w:val="21"/>
                <w:szCs w:val="21"/>
                <w:lang w:val="en-US" w:eastAsia="zh-CN"/>
              </w:rPr>
              <w:t>/</w:t>
            </w:r>
          </w:p>
        </w:tc>
        <w:tc>
          <w:tcPr>
            <w:tcW w:w="1559"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w:t>
            </w:r>
          </w:p>
        </w:tc>
        <w:tc>
          <w:tcPr>
            <w:tcW w:w="2012" w:type="dxa"/>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cs="Times New Roman"/>
                <w:color w:val="000000"/>
                <w:sz w:val="21"/>
                <w:szCs w:val="21"/>
                <w:lang w:val="en-US" w:eastAsia="zh-CN"/>
              </w:rPr>
              <w:t>/</w:t>
            </w:r>
          </w:p>
        </w:tc>
        <w:tc>
          <w:tcPr>
            <w:tcW w:w="2949" w:type="dxa"/>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color w:val="000000"/>
                <w:sz w:val="21"/>
                <w:szCs w:val="21"/>
                <w:lang w:val="en-US" w:eastAsia="zh-CN"/>
              </w:rPr>
              <w:t>/</w:t>
            </w:r>
          </w:p>
        </w:tc>
        <w:tc>
          <w:tcPr>
            <w:tcW w:w="851" w:type="dxa"/>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color w:val="000000"/>
                <w:sz w:val="21"/>
                <w:szCs w:val="21"/>
                <w:lang w:val="en-US" w:eastAsia="zh-CN"/>
              </w:rPr>
              <w:t>0</w:t>
            </w:r>
          </w:p>
        </w:tc>
        <w:tc>
          <w:tcPr>
            <w:tcW w:w="1134" w:type="dxa"/>
            <w:vMerge w:val="continue"/>
            <w:vAlign w:val="center"/>
          </w:tcPr>
          <w:p>
            <w:pPr>
              <w:pStyle w:val="28"/>
              <w:rPr>
                <w:rFonts w:hint="default" w:ascii="Times New Roman" w:hAnsi="Times New Roman" w:cs="Times New Roman"/>
                <w:sz w:val="21"/>
                <w:szCs w:val="21"/>
              </w:rPr>
            </w:pPr>
          </w:p>
        </w:tc>
        <w:tc>
          <w:tcPr>
            <w:tcW w:w="2610" w:type="dxa"/>
            <w:vAlign w:val="center"/>
          </w:tcPr>
          <w:p>
            <w:pPr>
              <w:pStyle w:val="28"/>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噪声</w:t>
            </w:r>
          </w:p>
        </w:tc>
        <w:tc>
          <w:tcPr>
            <w:tcW w:w="1276"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噪声设备</w:t>
            </w:r>
          </w:p>
        </w:tc>
        <w:tc>
          <w:tcPr>
            <w:tcW w:w="1559"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噪声</w:t>
            </w:r>
          </w:p>
        </w:tc>
        <w:tc>
          <w:tcPr>
            <w:tcW w:w="2012"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厂房隔声、消声减振</w:t>
            </w:r>
          </w:p>
        </w:tc>
        <w:tc>
          <w:tcPr>
            <w:tcW w:w="2949"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满足《工业企业厂界环境噪声排放标准》（GB12348-2008）</w:t>
            </w:r>
            <w:r>
              <w:rPr>
                <w:rFonts w:hint="default" w:ascii="Times New Roman" w:hAnsi="Times New Roman" w:eastAsia="宋体" w:cs="Times New Roman"/>
                <w:color w:val="000000"/>
                <w:sz w:val="21"/>
                <w:szCs w:val="21"/>
                <w:lang w:val="en-US" w:eastAsia="zh-CN"/>
              </w:rPr>
              <w:t>3</w:t>
            </w:r>
            <w:r>
              <w:rPr>
                <w:rFonts w:hint="default" w:ascii="Times New Roman" w:hAnsi="Times New Roman" w:cs="Times New Roman"/>
                <w:color w:val="000000"/>
                <w:sz w:val="21"/>
                <w:szCs w:val="21"/>
              </w:rPr>
              <w:t>类标准要求</w:t>
            </w:r>
          </w:p>
        </w:tc>
        <w:tc>
          <w:tcPr>
            <w:tcW w:w="851" w:type="dxa"/>
            <w:vAlign w:val="center"/>
          </w:tcPr>
          <w:p>
            <w:pPr>
              <w:pStyle w:val="18"/>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color w:val="000000"/>
                <w:sz w:val="21"/>
                <w:szCs w:val="21"/>
                <w:lang w:val="en-US" w:eastAsia="zh-CN"/>
              </w:rPr>
              <w:t>2</w:t>
            </w:r>
          </w:p>
        </w:tc>
        <w:tc>
          <w:tcPr>
            <w:tcW w:w="1134" w:type="dxa"/>
            <w:vMerge w:val="continue"/>
            <w:vAlign w:val="center"/>
          </w:tcPr>
          <w:p>
            <w:pPr>
              <w:pStyle w:val="28"/>
              <w:rPr>
                <w:rFonts w:hint="default" w:ascii="Times New Roman" w:hAnsi="Times New Roman" w:cs="Times New Roman"/>
                <w:sz w:val="21"/>
                <w:szCs w:val="21"/>
              </w:rPr>
            </w:pPr>
          </w:p>
        </w:tc>
        <w:tc>
          <w:tcPr>
            <w:tcW w:w="2610" w:type="dxa"/>
            <w:vAlign w:val="center"/>
          </w:tcPr>
          <w:p>
            <w:pPr>
              <w:pStyle w:val="28"/>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厂房依托厂区现有</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新增机加工设备</w:t>
            </w:r>
            <w:r>
              <w:rPr>
                <w:rFonts w:hint="default" w:ascii="Times New Roman" w:hAnsi="Times New Roman" w:cs="Times New Roman"/>
                <w:color w:val="000000"/>
                <w:sz w:val="21"/>
                <w:szCs w:val="21"/>
              </w:rPr>
              <w:t>消声减振</w:t>
            </w:r>
            <w:r>
              <w:rPr>
                <w:rFonts w:hint="default" w:ascii="Times New Roman" w:hAnsi="Times New Roman" w:eastAsia="宋体" w:cs="Times New Roman"/>
                <w:color w:val="000000"/>
                <w:sz w:val="21"/>
                <w:szCs w:val="21"/>
                <w:lang w:val="en-US" w:eastAsia="zh-CN"/>
              </w:rPr>
              <w:t>设施约2万元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restart"/>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固废</w:t>
            </w:r>
          </w:p>
        </w:tc>
        <w:tc>
          <w:tcPr>
            <w:tcW w:w="1276" w:type="dxa"/>
            <w:vMerge w:val="restart"/>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sz w:val="21"/>
                <w:szCs w:val="21"/>
              </w:rPr>
              <w:t>生产</w:t>
            </w:r>
          </w:p>
        </w:tc>
        <w:tc>
          <w:tcPr>
            <w:tcW w:w="1559" w:type="dxa"/>
            <w:vAlign w:val="center"/>
          </w:tcPr>
          <w:p>
            <w:pPr>
              <w:pStyle w:val="18"/>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废包装物、</w:t>
            </w:r>
            <w:r>
              <w:rPr>
                <w:rFonts w:hint="default" w:ascii="Times New Roman" w:hAnsi="Times New Roman" w:eastAsia="宋体" w:cs="Times New Roman"/>
                <w:sz w:val="21"/>
                <w:szCs w:val="21"/>
                <w:lang w:val="en-US" w:eastAsia="zh-CN"/>
              </w:rPr>
              <w:t>废边角料、</w:t>
            </w:r>
            <w:r>
              <w:rPr>
                <w:rFonts w:hint="default" w:ascii="Times New Roman" w:hAnsi="Times New Roman" w:cs="Times New Roman"/>
                <w:sz w:val="21"/>
                <w:szCs w:val="21"/>
              </w:rPr>
              <w:t>不</w:t>
            </w:r>
            <w:r>
              <w:rPr>
                <w:rFonts w:hint="default" w:ascii="Times New Roman" w:hAnsi="Times New Roman" w:eastAsia="宋体" w:cs="Times New Roman"/>
                <w:sz w:val="21"/>
                <w:szCs w:val="21"/>
                <w:lang w:val="en-US" w:eastAsia="zh-CN"/>
              </w:rPr>
              <w:t>合格产品</w:t>
            </w:r>
          </w:p>
        </w:tc>
        <w:tc>
          <w:tcPr>
            <w:tcW w:w="2012"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一般固废库</w:t>
            </w:r>
            <w:r>
              <w:rPr>
                <w:rFonts w:hint="default" w:ascii="Times New Roman" w:hAnsi="Times New Roman" w:eastAsia="宋体" w:cs="Times New Roman"/>
                <w:color w:val="000000"/>
                <w:sz w:val="21"/>
                <w:szCs w:val="21"/>
                <w:lang w:val="en-US" w:eastAsia="zh-CN"/>
              </w:rPr>
              <w:t>10</w:t>
            </w:r>
            <w:r>
              <w:rPr>
                <w:rFonts w:hint="default" w:ascii="Times New Roman" w:hAnsi="Times New Roman" w:cs="Times New Roman"/>
                <w:color w:val="000000"/>
                <w:sz w:val="21"/>
                <w:szCs w:val="21"/>
              </w:rPr>
              <w:t>m</w:t>
            </w:r>
            <w:r>
              <w:rPr>
                <w:rFonts w:hint="default" w:ascii="Times New Roman" w:hAnsi="Times New Roman" w:cs="Times New Roman"/>
                <w:color w:val="000000"/>
                <w:sz w:val="21"/>
                <w:szCs w:val="21"/>
                <w:vertAlign w:val="superscript"/>
              </w:rPr>
              <w:t>2</w:t>
            </w:r>
          </w:p>
        </w:tc>
        <w:tc>
          <w:tcPr>
            <w:tcW w:w="2949"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全部合理处置</w:t>
            </w:r>
          </w:p>
        </w:tc>
        <w:tc>
          <w:tcPr>
            <w:tcW w:w="851"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0</w:t>
            </w:r>
          </w:p>
        </w:tc>
        <w:tc>
          <w:tcPr>
            <w:tcW w:w="1134" w:type="dxa"/>
            <w:vMerge w:val="continue"/>
            <w:vAlign w:val="center"/>
          </w:tcPr>
          <w:p>
            <w:pPr>
              <w:pStyle w:val="28"/>
              <w:rPr>
                <w:rFonts w:hint="default" w:ascii="Times New Roman" w:hAnsi="Times New Roman" w:cs="Times New Roman"/>
                <w:sz w:val="21"/>
                <w:szCs w:val="21"/>
              </w:rPr>
            </w:pPr>
          </w:p>
        </w:tc>
        <w:tc>
          <w:tcPr>
            <w:tcW w:w="2610"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依托现有，已建成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vAlign w:val="center"/>
          </w:tcPr>
          <w:p>
            <w:pPr>
              <w:pStyle w:val="28"/>
              <w:rPr>
                <w:rFonts w:hint="default" w:ascii="Times New Roman" w:hAnsi="Times New Roman" w:cs="Times New Roman"/>
                <w:sz w:val="21"/>
                <w:szCs w:val="21"/>
              </w:rPr>
            </w:pPr>
          </w:p>
        </w:tc>
        <w:tc>
          <w:tcPr>
            <w:tcW w:w="1276" w:type="dxa"/>
            <w:vMerge w:val="continue"/>
            <w:vAlign w:val="center"/>
          </w:tcPr>
          <w:p>
            <w:pPr>
              <w:pStyle w:val="18"/>
              <w:jc w:val="center"/>
              <w:rPr>
                <w:rFonts w:hint="default" w:ascii="Times New Roman" w:hAnsi="Times New Roman" w:cs="Times New Roman"/>
                <w:sz w:val="21"/>
                <w:szCs w:val="21"/>
              </w:rPr>
            </w:pPr>
          </w:p>
        </w:tc>
        <w:tc>
          <w:tcPr>
            <w:tcW w:w="1559" w:type="dxa"/>
            <w:vAlign w:val="center"/>
          </w:tcPr>
          <w:p>
            <w:pPr>
              <w:pStyle w:val="18"/>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废水性油墨桶、废活性炭</w:t>
            </w:r>
          </w:p>
        </w:tc>
        <w:tc>
          <w:tcPr>
            <w:tcW w:w="2012" w:type="dxa"/>
            <w:vAlign w:val="center"/>
          </w:tcPr>
          <w:p>
            <w:pPr>
              <w:pStyle w:val="18"/>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危废库</w:t>
            </w:r>
            <w:r>
              <w:rPr>
                <w:rFonts w:hint="default" w:ascii="Times New Roman" w:hAnsi="Times New Roman" w:eastAsia="宋体" w:cs="Times New Roman"/>
                <w:color w:val="000000"/>
                <w:sz w:val="21"/>
                <w:szCs w:val="21"/>
                <w:lang w:val="en-US" w:eastAsia="zh-CN"/>
              </w:rPr>
              <w:t>10</w:t>
            </w:r>
            <w:r>
              <w:rPr>
                <w:rFonts w:hint="default" w:ascii="Times New Roman" w:hAnsi="Times New Roman" w:cs="Times New Roman"/>
                <w:color w:val="000000"/>
                <w:sz w:val="21"/>
                <w:szCs w:val="21"/>
              </w:rPr>
              <w:t>m</w:t>
            </w:r>
            <w:r>
              <w:rPr>
                <w:rFonts w:hint="default" w:ascii="Times New Roman" w:hAnsi="Times New Roman" w:cs="Times New Roman"/>
                <w:color w:val="000000"/>
                <w:sz w:val="21"/>
                <w:szCs w:val="21"/>
                <w:vertAlign w:val="superscript"/>
              </w:rPr>
              <w:t>2</w:t>
            </w:r>
          </w:p>
        </w:tc>
        <w:tc>
          <w:tcPr>
            <w:tcW w:w="2949" w:type="dxa"/>
            <w:vAlign w:val="center"/>
          </w:tcPr>
          <w:p>
            <w:pPr>
              <w:pStyle w:val="18"/>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全部合理处置</w:t>
            </w:r>
          </w:p>
        </w:tc>
        <w:tc>
          <w:tcPr>
            <w:tcW w:w="851" w:type="dxa"/>
            <w:vAlign w:val="center"/>
          </w:tcPr>
          <w:p>
            <w:pPr>
              <w:pStyle w:val="28"/>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w:t>
            </w:r>
          </w:p>
        </w:tc>
        <w:tc>
          <w:tcPr>
            <w:tcW w:w="1134" w:type="dxa"/>
            <w:vMerge w:val="continue"/>
            <w:vAlign w:val="center"/>
          </w:tcPr>
          <w:p>
            <w:pPr>
              <w:pStyle w:val="28"/>
              <w:rPr>
                <w:rFonts w:hint="default" w:ascii="Times New Roman" w:hAnsi="Times New Roman" w:cs="Times New Roman"/>
                <w:sz w:val="21"/>
                <w:szCs w:val="21"/>
              </w:rPr>
            </w:pPr>
          </w:p>
        </w:tc>
        <w:tc>
          <w:tcPr>
            <w:tcW w:w="2610" w:type="dxa"/>
            <w:vAlign w:val="center"/>
          </w:tcPr>
          <w:p>
            <w:pPr>
              <w:pStyle w:val="18"/>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依托现有，已建成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绿化</w:t>
            </w:r>
          </w:p>
        </w:tc>
        <w:tc>
          <w:tcPr>
            <w:tcW w:w="2835" w:type="dxa"/>
            <w:gridSpan w:val="2"/>
            <w:vAlign w:val="center"/>
          </w:tcPr>
          <w:p>
            <w:pPr>
              <w:pStyle w:val="18"/>
              <w:jc w:val="center"/>
              <w:rPr>
                <w:rFonts w:hint="default" w:ascii="Times New Roman" w:hAnsi="Times New Roman" w:cs="Times New Roman"/>
                <w:sz w:val="21"/>
                <w:szCs w:val="21"/>
              </w:rPr>
            </w:pPr>
            <w:r>
              <w:rPr>
                <w:rFonts w:hint="eastAsia" w:ascii="Times New Roman" w:hAnsi="Times New Roman" w:cs="Times New Roman"/>
                <w:color w:val="000000"/>
                <w:sz w:val="21"/>
                <w:szCs w:val="21"/>
                <w:lang w:val="en-US" w:eastAsia="zh-CN"/>
              </w:rPr>
              <w:t>10</w:t>
            </w:r>
            <w:r>
              <w:rPr>
                <w:rFonts w:hint="default" w:ascii="Times New Roman" w:hAnsi="Times New Roman" w:cs="Times New Roman"/>
                <w:color w:val="000000"/>
                <w:sz w:val="21"/>
                <w:szCs w:val="21"/>
              </w:rPr>
              <w:t>00m</w:t>
            </w:r>
            <w:r>
              <w:rPr>
                <w:rFonts w:hint="default" w:ascii="Times New Roman" w:hAnsi="Times New Roman" w:cs="Times New Roman"/>
                <w:color w:val="000000"/>
                <w:sz w:val="21"/>
                <w:szCs w:val="21"/>
                <w:vertAlign w:val="superscript"/>
              </w:rPr>
              <w:t>2</w:t>
            </w:r>
          </w:p>
        </w:tc>
        <w:tc>
          <w:tcPr>
            <w:tcW w:w="4961" w:type="dxa"/>
            <w:gridSpan w:val="2"/>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w:t>
            </w:r>
          </w:p>
        </w:tc>
        <w:tc>
          <w:tcPr>
            <w:tcW w:w="851"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0</w:t>
            </w:r>
          </w:p>
        </w:tc>
        <w:tc>
          <w:tcPr>
            <w:tcW w:w="1134" w:type="dxa"/>
            <w:vMerge w:val="continue"/>
            <w:vAlign w:val="center"/>
          </w:tcPr>
          <w:p>
            <w:pPr>
              <w:pStyle w:val="28"/>
              <w:rPr>
                <w:rFonts w:hint="default" w:ascii="Times New Roman" w:hAnsi="Times New Roman" w:cs="Times New Roman"/>
                <w:sz w:val="21"/>
                <w:szCs w:val="21"/>
              </w:rPr>
            </w:pPr>
          </w:p>
        </w:tc>
        <w:tc>
          <w:tcPr>
            <w:tcW w:w="2610"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依托厂区现有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环境管理（机构、监测能力等）</w:t>
            </w:r>
          </w:p>
        </w:tc>
        <w:tc>
          <w:tcPr>
            <w:tcW w:w="2835" w:type="dxa"/>
            <w:gridSpan w:val="2"/>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配备专职管理人员</w:t>
            </w:r>
          </w:p>
        </w:tc>
        <w:tc>
          <w:tcPr>
            <w:tcW w:w="4961" w:type="dxa"/>
            <w:gridSpan w:val="2"/>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w:t>
            </w:r>
          </w:p>
        </w:tc>
        <w:tc>
          <w:tcPr>
            <w:tcW w:w="851"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0</w:t>
            </w:r>
          </w:p>
        </w:tc>
        <w:tc>
          <w:tcPr>
            <w:tcW w:w="1134" w:type="dxa"/>
            <w:vMerge w:val="continue"/>
            <w:vAlign w:val="center"/>
          </w:tcPr>
          <w:p>
            <w:pPr>
              <w:pStyle w:val="28"/>
              <w:rPr>
                <w:rFonts w:hint="default" w:ascii="Times New Roman" w:hAnsi="Times New Roman" w:cs="Times New Roman"/>
                <w:sz w:val="21"/>
                <w:szCs w:val="21"/>
              </w:rPr>
            </w:pPr>
          </w:p>
        </w:tc>
        <w:tc>
          <w:tcPr>
            <w:tcW w:w="2610"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依托厂区现有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18"/>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环境风险</w:t>
            </w:r>
          </w:p>
        </w:tc>
        <w:tc>
          <w:tcPr>
            <w:tcW w:w="2835" w:type="dxa"/>
            <w:gridSpan w:val="2"/>
            <w:vAlign w:val="center"/>
          </w:tcPr>
          <w:p>
            <w:pPr>
              <w:pStyle w:val="18"/>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视频监控设施、环境风险事故应急预案等</w:t>
            </w:r>
          </w:p>
        </w:tc>
        <w:tc>
          <w:tcPr>
            <w:tcW w:w="4961" w:type="dxa"/>
            <w:gridSpan w:val="2"/>
            <w:vAlign w:val="center"/>
          </w:tcPr>
          <w:p>
            <w:pPr>
              <w:pStyle w:val="18"/>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将风险水平降到可接受水平</w:t>
            </w:r>
          </w:p>
        </w:tc>
        <w:tc>
          <w:tcPr>
            <w:tcW w:w="851" w:type="dxa"/>
            <w:vAlign w:val="center"/>
          </w:tcPr>
          <w:p>
            <w:pPr>
              <w:pStyle w:val="18"/>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3</w:t>
            </w:r>
          </w:p>
        </w:tc>
        <w:tc>
          <w:tcPr>
            <w:tcW w:w="1134" w:type="dxa"/>
            <w:vMerge w:val="continue"/>
            <w:vAlign w:val="center"/>
          </w:tcPr>
          <w:p>
            <w:pPr>
              <w:pStyle w:val="28"/>
              <w:rPr>
                <w:rFonts w:hint="default" w:ascii="Times New Roman" w:hAnsi="Times New Roman" w:cs="Times New Roman"/>
                <w:sz w:val="21"/>
                <w:szCs w:val="21"/>
              </w:rPr>
            </w:pPr>
          </w:p>
        </w:tc>
        <w:tc>
          <w:tcPr>
            <w:tcW w:w="2610"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风险设施依托厂区现有，突发环境事件应急预案修编</w:t>
            </w:r>
            <w:r>
              <w:rPr>
                <w:rFonts w:hint="default" w:ascii="Times New Roman" w:hAnsi="Times New Roman" w:eastAsia="宋体" w:cs="Times New Roman"/>
                <w:sz w:val="21"/>
                <w:szCs w:val="21"/>
                <w:lang w:val="en-US" w:eastAsia="zh-CN"/>
              </w:rPr>
              <w:t>及其他费用</w:t>
            </w:r>
            <w:r>
              <w:rPr>
                <w:rFonts w:hint="default" w:ascii="Times New Roman" w:hAnsi="Times New Roman" w:cs="Times New Roman"/>
                <w:sz w:val="21"/>
                <w:szCs w:val="21"/>
              </w:rPr>
              <w:t>约</w:t>
            </w:r>
            <w:r>
              <w:rPr>
                <w:rFonts w:hint="default" w:ascii="Times New Roman" w:hAnsi="Times New Roman" w:eastAsia="宋体" w:cs="Times New Roman"/>
                <w:sz w:val="21"/>
                <w:szCs w:val="21"/>
                <w:lang w:val="en-US" w:eastAsia="zh-CN"/>
              </w:rPr>
              <w:t>3</w:t>
            </w:r>
            <w:r>
              <w:rPr>
                <w:rFonts w:hint="default" w:ascii="Times New Roman" w:hAnsi="Times New Roman" w:cs="Times New Roman"/>
                <w:sz w:val="21"/>
                <w:szCs w:val="21"/>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清污分流、排污口规范化设置（流量计、在线监测仪等）</w:t>
            </w:r>
          </w:p>
        </w:tc>
        <w:tc>
          <w:tcPr>
            <w:tcW w:w="2835" w:type="dxa"/>
            <w:gridSpan w:val="2"/>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排气筒应设置便于采样、监测的采样口、监测平台；在净化设施前同样设采样口；雨污分流管网依托厂区现有。固废：设置专用的</w:t>
            </w:r>
            <w:r>
              <w:rPr>
                <w:rFonts w:hint="default" w:ascii="Times New Roman" w:hAnsi="Times New Roman" w:eastAsia="宋体" w:cs="Times New Roman"/>
                <w:color w:val="000000"/>
                <w:sz w:val="21"/>
                <w:szCs w:val="21"/>
                <w:lang w:val="en-US" w:eastAsia="zh-CN"/>
              </w:rPr>
              <w:t>固废库</w:t>
            </w:r>
            <w:r>
              <w:rPr>
                <w:rFonts w:hint="default" w:ascii="Times New Roman" w:hAnsi="Times New Roman" w:cs="Times New Roman"/>
                <w:color w:val="000000"/>
                <w:sz w:val="21"/>
                <w:szCs w:val="21"/>
              </w:rPr>
              <w:t>，设置标志牌等；噪声：在噪声设备点，设置环境保护标志牌等。</w:t>
            </w:r>
          </w:p>
        </w:tc>
        <w:tc>
          <w:tcPr>
            <w:tcW w:w="4961" w:type="dxa"/>
            <w:gridSpan w:val="2"/>
            <w:vAlign w:val="center"/>
          </w:tcPr>
          <w:p>
            <w:pPr>
              <w:pStyle w:val="18"/>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满足相关要求</w:t>
            </w:r>
          </w:p>
        </w:tc>
        <w:tc>
          <w:tcPr>
            <w:tcW w:w="851"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0.5</w:t>
            </w:r>
          </w:p>
        </w:tc>
        <w:tc>
          <w:tcPr>
            <w:tcW w:w="1134" w:type="dxa"/>
            <w:vMerge w:val="continue"/>
            <w:vAlign w:val="center"/>
          </w:tcPr>
          <w:p>
            <w:pPr>
              <w:pStyle w:val="28"/>
              <w:rPr>
                <w:rFonts w:hint="default" w:ascii="Times New Roman" w:hAnsi="Times New Roman" w:cs="Times New Roman"/>
                <w:sz w:val="21"/>
                <w:szCs w:val="21"/>
              </w:rPr>
            </w:pPr>
          </w:p>
        </w:tc>
        <w:tc>
          <w:tcPr>
            <w:tcW w:w="2610"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厂区废气、</w:t>
            </w:r>
            <w:r>
              <w:rPr>
                <w:rFonts w:hint="default" w:ascii="Times New Roman" w:hAnsi="Times New Roman" w:eastAsia="宋体" w:cs="Times New Roman"/>
                <w:sz w:val="21"/>
                <w:szCs w:val="21"/>
                <w:lang w:val="en-US" w:eastAsia="zh-CN"/>
              </w:rPr>
              <w:t>固</w:t>
            </w:r>
            <w:r>
              <w:rPr>
                <w:rFonts w:hint="default" w:ascii="Times New Roman" w:hAnsi="Times New Roman" w:cs="Times New Roman"/>
                <w:sz w:val="21"/>
                <w:szCs w:val="21"/>
              </w:rPr>
              <w:t>废和噪声设备等标识牌制作费用约0.5万元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总量平衡具体方案</w:t>
            </w:r>
          </w:p>
        </w:tc>
        <w:tc>
          <w:tcPr>
            <w:tcW w:w="7796" w:type="dxa"/>
            <w:gridSpan w:val="4"/>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项目总量在</w:t>
            </w:r>
            <w:r>
              <w:rPr>
                <w:rFonts w:hint="eastAsia" w:ascii="Times New Roman" w:hAnsi="Times New Roman" w:cs="Times New Roman"/>
                <w:sz w:val="21"/>
                <w:szCs w:val="21"/>
                <w:lang w:val="en-US" w:eastAsia="zh-CN"/>
              </w:rPr>
              <w:t>开发区</w:t>
            </w:r>
            <w:r>
              <w:rPr>
                <w:rFonts w:hint="default" w:ascii="Times New Roman" w:hAnsi="Times New Roman" w:eastAsia="宋体" w:cs="Times New Roman"/>
                <w:sz w:val="21"/>
                <w:szCs w:val="21"/>
                <w:lang w:val="en-US" w:eastAsia="zh-CN"/>
              </w:rPr>
              <w:t>内</w:t>
            </w:r>
            <w:r>
              <w:rPr>
                <w:rFonts w:hint="default" w:ascii="Times New Roman" w:hAnsi="Times New Roman" w:cs="Times New Roman"/>
                <w:sz w:val="21"/>
                <w:szCs w:val="21"/>
              </w:rPr>
              <w:t>平衡；固体废物均得到有效处置。</w:t>
            </w:r>
          </w:p>
        </w:tc>
        <w:tc>
          <w:tcPr>
            <w:tcW w:w="851"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w:t>
            </w:r>
          </w:p>
        </w:tc>
        <w:tc>
          <w:tcPr>
            <w:tcW w:w="1134" w:type="dxa"/>
            <w:vMerge w:val="continue"/>
            <w:vAlign w:val="center"/>
          </w:tcPr>
          <w:p>
            <w:pPr>
              <w:pStyle w:val="28"/>
              <w:rPr>
                <w:rFonts w:hint="default" w:ascii="Times New Roman" w:hAnsi="Times New Roman" w:cs="Times New Roman"/>
                <w:sz w:val="21"/>
                <w:szCs w:val="21"/>
              </w:rPr>
            </w:pPr>
          </w:p>
        </w:tc>
        <w:tc>
          <w:tcPr>
            <w:tcW w:w="2610"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区域解决问题</w:t>
            </w:r>
          </w:p>
        </w:tc>
        <w:tc>
          <w:tcPr>
            <w:tcW w:w="7796" w:type="dxa"/>
            <w:gridSpan w:val="4"/>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w:t>
            </w:r>
          </w:p>
        </w:tc>
        <w:tc>
          <w:tcPr>
            <w:tcW w:w="851"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w:t>
            </w:r>
          </w:p>
        </w:tc>
        <w:tc>
          <w:tcPr>
            <w:tcW w:w="1134" w:type="dxa"/>
            <w:vMerge w:val="continue"/>
            <w:vAlign w:val="center"/>
          </w:tcPr>
          <w:p>
            <w:pPr>
              <w:pStyle w:val="28"/>
              <w:rPr>
                <w:rFonts w:hint="default" w:ascii="Times New Roman" w:hAnsi="Times New Roman" w:cs="Times New Roman"/>
                <w:sz w:val="21"/>
                <w:szCs w:val="21"/>
              </w:rPr>
            </w:pPr>
          </w:p>
        </w:tc>
        <w:tc>
          <w:tcPr>
            <w:tcW w:w="2610"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大气环境防护距离及卫生防护距离设置</w:t>
            </w:r>
          </w:p>
        </w:tc>
        <w:tc>
          <w:tcPr>
            <w:tcW w:w="7796" w:type="dxa"/>
            <w:gridSpan w:val="4"/>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以</w:t>
            </w:r>
            <w:r>
              <w:rPr>
                <w:rFonts w:hint="default" w:ascii="Times New Roman" w:hAnsi="Times New Roman" w:eastAsia="宋体" w:cs="Times New Roman"/>
                <w:sz w:val="21"/>
                <w:szCs w:val="21"/>
                <w:lang w:val="en-US" w:eastAsia="zh-CN"/>
              </w:rPr>
              <w:t>生产车间</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rPr>
              <w:t>为执行边界50m范围</w:t>
            </w:r>
          </w:p>
        </w:tc>
        <w:tc>
          <w:tcPr>
            <w:tcW w:w="851"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w:t>
            </w:r>
          </w:p>
        </w:tc>
        <w:tc>
          <w:tcPr>
            <w:tcW w:w="1134" w:type="dxa"/>
            <w:vMerge w:val="continue"/>
            <w:vAlign w:val="center"/>
          </w:tcPr>
          <w:p>
            <w:pPr>
              <w:pStyle w:val="28"/>
              <w:rPr>
                <w:rFonts w:hint="default" w:ascii="Times New Roman" w:hAnsi="Times New Roman" w:cs="Times New Roman"/>
                <w:sz w:val="21"/>
                <w:szCs w:val="21"/>
              </w:rPr>
            </w:pPr>
          </w:p>
        </w:tc>
        <w:tc>
          <w:tcPr>
            <w:tcW w:w="2610"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7" w:type="dxa"/>
            <w:gridSpan w:val="5"/>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环保投资合计</w:t>
            </w:r>
          </w:p>
        </w:tc>
        <w:tc>
          <w:tcPr>
            <w:tcW w:w="851" w:type="dxa"/>
            <w:vAlign w:val="center"/>
          </w:tcPr>
          <w:p>
            <w:pPr>
              <w:pStyle w:val="28"/>
              <w:rPr>
                <w:rFonts w:hint="default" w:ascii="Times New Roman" w:hAnsi="Times New Roman" w:cs="Times New Roman"/>
                <w:sz w:val="21"/>
                <w:szCs w:val="21"/>
              </w:rPr>
            </w:pPr>
            <w:r>
              <w:rPr>
                <w:rFonts w:hint="eastAsia" w:ascii="Times New Roman" w:hAnsi="Times New Roman" w:cs="Times New Roman"/>
                <w:sz w:val="21"/>
                <w:szCs w:val="21"/>
                <w:lang w:val="en-US" w:eastAsia="zh-CN"/>
              </w:rPr>
              <w:t>11</w:t>
            </w:r>
            <w:r>
              <w:rPr>
                <w:rFonts w:hint="default" w:ascii="Times New Roman" w:hAnsi="Times New Roman" w:cs="Times New Roman"/>
                <w:sz w:val="21"/>
                <w:szCs w:val="21"/>
              </w:rPr>
              <w:t>.5</w:t>
            </w:r>
          </w:p>
        </w:tc>
        <w:tc>
          <w:tcPr>
            <w:tcW w:w="1134"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w:t>
            </w:r>
          </w:p>
        </w:tc>
        <w:tc>
          <w:tcPr>
            <w:tcW w:w="2610" w:type="dxa"/>
            <w:vAlign w:val="center"/>
          </w:tcPr>
          <w:p>
            <w:pPr>
              <w:pStyle w:val="28"/>
              <w:rPr>
                <w:rFonts w:hint="default" w:ascii="Times New Roman" w:hAnsi="Times New Roman" w:cs="Times New Roman"/>
                <w:sz w:val="21"/>
                <w:szCs w:val="21"/>
              </w:rPr>
            </w:pPr>
            <w:r>
              <w:rPr>
                <w:rFonts w:hint="default" w:ascii="Times New Roman" w:hAnsi="Times New Roman" w:cs="Times New Roman"/>
                <w:sz w:val="21"/>
                <w:szCs w:val="21"/>
              </w:rPr>
              <w:t>/</w:t>
            </w:r>
          </w:p>
        </w:tc>
      </w:tr>
    </w:tbl>
    <w:p>
      <w:pPr>
        <w:pStyle w:val="3"/>
        <w:spacing w:before="0" w:line="360" w:lineRule="auto"/>
        <w:jc w:val="center"/>
        <w:rPr>
          <w:rFonts w:hint="default" w:ascii="Times New Roman" w:hAnsi="Times New Roman" w:eastAsia="宋体" w:cs="Times New Roman"/>
          <w:b/>
          <w:bCs/>
        </w:rPr>
        <w:sectPr>
          <w:pgSz w:w="16840" w:h="11910" w:orient="landscape"/>
          <w:pgMar w:top="1440" w:right="1440" w:bottom="1440" w:left="1440" w:header="0" w:footer="833" w:gutter="0"/>
          <w:pgBorders>
            <w:top w:val="none" w:sz="0" w:space="0"/>
            <w:left w:val="none" w:sz="0" w:space="0"/>
            <w:bottom w:val="none" w:sz="0" w:space="0"/>
            <w:right w:val="none" w:sz="0" w:space="0"/>
          </w:pgBorders>
          <w:pgNumType w:fmt="decimal"/>
          <w:cols w:space="720" w:num="1"/>
        </w:sectPr>
      </w:pPr>
    </w:p>
    <w:p>
      <w:pPr>
        <w:pStyle w:val="3"/>
        <w:numPr>
          <w:ilvl w:val="0"/>
          <w:numId w:val="3"/>
        </w:numPr>
        <w:spacing w:before="0" w:line="360" w:lineRule="auto"/>
        <w:jc w:val="center"/>
        <w:rPr>
          <w:rFonts w:hint="default" w:ascii="Times New Roman" w:hAnsi="Times New Roman" w:eastAsia="宋体" w:cs="Times New Roman"/>
          <w:b/>
          <w:bCs/>
          <w:lang w:eastAsia="zh-CN"/>
        </w:rPr>
      </w:pPr>
      <w:bookmarkStart w:id="8" w:name="_Toc22998"/>
      <w:r>
        <w:rPr>
          <w:rFonts w:hint="default" w:ascii="Times New Roman" w:hAnsi="Times New Roman" w:eastAsia="宋体" w:cs="Times New Roman"/>
          <w:b/>
          <w:bCs/>
          <w:lang w:eastAsia="zh-CN"/>
        </w:rPr>
        <w:t>环境保护措施监督检查清单</w:t>
      </w:r>
      <w:bookmarkEnd w:id="8"/>
    </w:p>
    <w:tbl>
      <w:tblPr>
        <w:tblStyle w:val="23"/>
        <w:tblpPr w:leftFromText="180" w:rightFromText="180" w:vertAnchor="text" w:tblpY="1"/>
        <w:tblOverlap w:val="never"/>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6"/>
        <w:gridCol w:w="693"/>
        <w:gridCol w:w="1061"/>
        <w:gridCol w:w="1647"/>
        <w:gridCol w:w="2406"/>
        <w:gridCol w:w="2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tcBorders>
              <w:tl2br w:val="nil"/>
              <w:tr2bl w:val="nil"/>
            </w:tcBorders>
          </w:tcPr>
          <w:p>
            <w:pPr>
              <w:adjustRightInd w:val="0"/>
              <w:snapToGrid w:val="0"/>
              <w:spacing w:line="240" w:lineRule="auto"/>
              <w:ind w:firstLine="422" w:firstLineChars="200"/>
              <w:rPr>
                <w:rFonts w:hint="default" w:ascii="Times New Roman" w:hAnsi="Times New Roman" w:cs="Times New Roman"/>
                <w:b/>
                <w:bCs/>
                <w:sz w:val="21"/>
                <w:szCs w:val="21"/>
              </w:rPr>
            </w:pPr>
            <w:r>
              <w:rPr>
                <w:rFonts w:hint="default" w:ascii="Times New Roman" w:hAnsi="Times New Roman" w:cs="Times New Roman"/>
                <w:b/>
                <w:bCs/>
                <w:sz w:val="21"/>
                <w:szCs w:val="21"/>
              </w:rPr>
              <w:t>内容</w:t>
            </w:r>
          </w:p>
          <w:p>
            <w:pPr>
              <w:adjustRightInd w:val="0"/>
              <w:snapToGrid w:val="0"/>
              <w:spacing w:line="240" w:lineRule="auto"/>
              <w:rPr>
                <w:rFonts w:hint="default" w:ascii="Times New Roman" w:hAnsi="Times New Roman" w:cs="Times New Roman"/>
                <w:b/>
                <w:bCs/>
                <w:sz w:val="21"/>
                <w:szCs w:val="21"/>
              </w:rPr>
            </w:pPr>
            <w:r>
              <w:rPr>
                <w:rFonts w:hint="default" w:ascii="Times New Roman" w:hAnsi="Times New Roman" w:cs="Times New Roman"/>
                <w:b/>
                <w:bCs/>
                <w:sz w:val="21"/>
                <w:szCs w:val="21"/>
              </w:rPr>
              <w:t>要素</w:t>
            </w:r>
          </w:p>
        </w:tc>
        <w:tc>
          <w:tcPr>
            <w:tcW w:w="949" w:type="pct"/>
            <w:gridSpan w:val="2"/>
            <w:tcBorders>
              <w:tl2br w:val="nil"/>
              <w:tr2bl w:val="nil"/>
            </w:tcBorders>
            <w:vAlign w:val="center"/>
          </w:tcPr>
          <w:p>
            <w:pPr>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排放口(编号、</w:t>
            </w:r>
          </w:p>
          <w:p>
            <w:pPr>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名称)/污染源</w:t>
            </w:r>
          </w:p>
        </w:tc>
        <w:tc>
          <w:tcPr>
            <w:tcW w:w="891" w:type="pct"/>
            <w:tcBorders>
              <w:tl2br w:val="nil"/>
              <w:tr2bl w:val="nil"/>
            </w:tcBorders>
            <w:vAlign w:val="center"/>
          </w:tcPr>
          <w:p>
            <w:pPr>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污染物项目</w:t>
            </w:r>
          </w:p>
        </w:tc>
        <w:tc>
          <w:tcPr>
            <w:tcW w:w="1302" w:type="pct"/>
            <w:tcBorders>
              <w:tl2br w:val="nil"/>
              <w:tr2bl w:val="nil"/>
            </w:tcBorders>
            <w:vAlign w:val="center"/>
          </w:tcPr>
          <w:p>
            <w:pPr>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环境保护措施</w:t>
            </w:r>
          </w:p>
        </w:tc>
        <w:tc>
          <w:tcPr>
            <w:tcW w:w="1172" w:type="pct"/>
            <w:tcBorders>
              <w:tl2br w:val="nil"/>
              <w:tr2bl w:val="nil"/>
            </w:tcBorders>
            <w:vAlign w:val="center"/>
          </w:tcPr>
          <w:p>
            <w:pPr>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685" w:type="pct"/>
            <w:vMerge w:val="restart"/>
            <w:tcBorders>
              <w:tl2br w:val="nil"/>
              <w:tr2bl w:val="nil"/>
            </w:tcBorders>
            <w:vAlign w:val="center"/>
          </w:tcPr>
          <w:p>
            <w:pPr>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大气环境</w:t>
            </w:r>
          </w:p>
        </w:tc>
        <w:tc>
          <w:tcPr>
            <w:tcW w:w="375" w:type="pct"/>
            <w:vMerge w:val="restart"/>
            <w:tcBorders>
              <w:tl2br w:val="nil"/>
              <w:tr2bl w:val="nil"/>
            </w:tcBorders>
            <w:vAlign w:val="center"/>
          </w:tcPr>
          <w:p>
            <w:pPr>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有组织</w:t>
            </w:r>
          </w:p>
        </w:tc>
        <w:tc>
          <w:tcPr>
            <w:tcW w:w="574" w:type="pct"/>
            <w:tcBorders>
              <w:tl2br w:val="nil"/>
              <w:tr2bl w:val="nil"/>
            </w:tcBorders>
            <w:vAlign w:val="center"/>
          </w:tcPr>
          <w:p>
            <w:pPr>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涂膜、印刷废气</w:t>
            </w:r>
          </w:p>
        </w:tc>
        <w:tc>
          <w:tcPr>
            <w:tcW w:w="891" w:type="pct"/>
            <w:tcBorders>
              <w:tl2br w:val="nil"/>
              <w:tr2bl w:val="nil"/>
            </w:tcBorders>
            <w:vAlign w:val="center"/>
          </w:tcPr>
          <w:p>
            <w:pPr>
              <w:pStyle w:val="18"/>
              <w:jc w:val="center"/>
              <w:rPr>
                <w:rFonts w:hint="default" w:ascii="Times New Roman" w:hAnsi="Times New Roman" w:cs="Times New Roman"/>
                <w:sz w:val="21"/>
                <w:szCs w:val="21"/>
              </w:rPr>
            </w:pPr>
            <w:r>
              <w:rPr>
                <w:rFonts w:hint="eastAsia" w:ascii="Times New Roman" w:hAnsi="Times New Roman" w:cs="Times New Roman"/>
                <w:sz w:val="21"/>
                <w:szCs w:val="21"/>
                <w:lang w:val="en-US" w:eastAsia="zh-CN"/>
              </w:rPr>
              <w:t>非甲烷总烃</w:t>
            </w:r>
          </w:p>
        </w:tc>
        <w:tc>
          <w:tcPr>
            <w:tcW w:w="1302" w:type="pct"/>
            <w:vMerge w:val="restart"/>
            <w:tcBorders>
              <w:tl2br w:val="nil"/>
              <w:tr2bl w:val="nil"/>
            </w:tcBorders>
            <w:vAlign w:val="center"/>
          </w:tcPr>
          <w:p>
            <w:pPr>
              <w:pStyle w:val="18"/>
              <w:jc w:val="center"/>
              <w:rPr>
                <w:rFonts w:hint="eastAsia" w:ascii="Times New Roman" w:hAnsi="Times New Roman" w:eastAsia="宋体" w:cs="Times New Roman"/>
                <w:sz w:val="21"/>
                <w:szCs w:val="21"/>
                <w:lang w:val="en-US" w:eastAsia="zh-CN"/>
              </w:rPr>
            </w:pPr>
            <w:r>
              <w:rPr>
                <w:rFonts w:hint="eastAsia" w:ascii="Times New Roman" w:hAnsi="Times New Roman" w:cs="Times New Roman"/>
                <w:color w:val="000000"/>
                <w:sz w:val="21"/>
                <w:szCs w:val="21"/>
                <w:lang w:val="en-US" w:eastAsia="zh-CN"/>
              </w:rPr>
              <w:t>二级活性炭吸附</w:t>
            </w:r>
            <w:r>
              <w:rPr>
                <w:rFonts w:hint="default" w:ascii="Times New Roman" w:hAnsi="Times New Roman" w:eastAsia="宋体" w:cs="Times New Roman"/>
                <w:color w:val="000000"/>
                <w:sz w:val="21"/>
                <w:szCs w:val="21"/>
                <w:lang w:val="en-US" w:eastAsia="zh-CN"/>
              </w:rPr>
              <w:t>+15</w:t>
            </w:r>
            <w:r>
              <w:rPr>
                <w:rFonts w:hint="default" w:ascii="Times New Roman" w:hAnsi="Times New Roman" w:cs="Times New Roman"/>
                <w:color w:val="000000"/>
                <w:sz w:val="21"/>
                <w:szCs w:val="21"/>
              </w:rPr>
              <w:t>m高排气筒</w:t>
            </w:r>
            <w:r>
              <w:rPr>
                <w:rFonts w:hint="eastAsia" w:ascii="Times New Roman" w:hAnsi="Times New Roman" w:cs="Times New Roman"/>
                <w:color w:val="000000"/>
                <w:sz w:val="21"/>
                <w:szCs w:val="21"/>
                <w:lang w:eastAsia="zh-CN"/>
              </w:rPr>
              <w:t>（</w:t>
            </w:r>
            <w:r>
              <w:rPr>
                <w:rFonts w:hint="eastAsia" w:ascii="Times New Roman" w:hAnsi="Times New Roman" w:cs="Times New Roman"/>
                <w:color w:val="000000"/>
                <w:sz w:val="21"/>
                <w:szCs w:val="21"/>
                <w:lang w:val="en-US" w:eastAsia="zh-CN"/>
              </w:rPr>
              <w:t>DA002</w:t>
            </w:r>
            <w:r>
              <w:rPr>
                <w:rFonts w:hint="eastAsia" w:ascii="Times New Roman" w:hAnsi="Times New Roman" w:cs="Times New Roman"/>
                <w:color w:val="000000"/>
                <w:sz w:val="21"/>
                <w:szCs w:val="21"/>
                <w:lang w:eastAsia="zh-CN"/>
              </w:rPr>
              <w:t>）</w:t>
            </w:r>
          </w:p>
        </w:tc>
        <w:tc>
          <w:tcPr>
            <w:tcW w:w="1172" w:type="pct"/>
            <w:vMerge w:val="restart"/>
            <w:tcBorders>
              <w:tl2br w:val="nil"/>
              <w:tr2bl w:val="nil"/>
            </w:tcBorders>
            <w:vAlign w:val="center"/>
          </w:tcPr>
          <w:p>
            <w:pPr>
              <w:pStyle w:val="18"/>
              <w:jc w:val="center"/>
              <w:rPr>
                <w:rFonts w:hint="default" w:ascii="Times New Roman" w:hAnsi="Times New Roman" w:eastAsia="宋体" w:cs="Times New Roman"/>
                <w:color w:val="000000"/>
                <w:sz w:val="21"/>
                <w:szCs w:val="21"/>
                <w:lang w:val="en-US" w:eastAsia="zh-CN" w:bidi="ar-SA"/>
              </w:rPr>
            </w:pPr>
            <w:r>
              <w:rPr>
                <w:rFonts w:hint="eastAsia" w:ascii="Times New Roman" w:hAnsi="Times New Roman" w:cs="Times New Roman"/>
                <w:color w:val="auto"/>
                <w:sz w:val="21"/>
                <w:szCs w:val="21"/>
                <w:lang w:val="en-US" w:eastAsia="zh-CN"/>
              </w:rPr>
              <w:t>《工业涂装工序大气污染物排放标准》（DB32/4439-2022）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Merge w:val="continue"/>
            <w:tcBorders>
              <w:tl2br w:val="nil"/>
              <w:tr2bl w:val="nil"/>
            </w:tcBorders>
            <w:vAlign w:val="center"/>
          </w:tcPr>
          <w:p>
            <w:pPr>
              <w:adjustRightInd w:val="0"/>
              <w:snapToGrid w:val="0"/>
              <w:spacing w:line="240" w:lineRule="auto"/>
              <w:jc w:val="center"/>
              <w:rPr>
                <w:rFonts w:hint="default" w:ascii="Times New Roman" w:hAnsi="Times New Roman" w:cs="Times New Roman"/>
                <w:b/>
                <w:bCs/>
                <w:sz w:val="21"/>
                <w:szCs w:val="21"/>
              </w:rPr>
            </w:pPr>
          </w:p>
        </w:tc>
        <w:tc>
          <w:tcPr>
            <w:tcW w:w="375" w:type="pct"/>
            <w:vMerge w:val="restart"/>
            <w:tcBorders>
              <w:tl2br w:val="nil"/>
              <w:tr2bl w:val="nil"/>
            </w:tcBorders>
            <w:vAlign w:val="center"/>
          </w:tcPr>
          <w:p>
            <w:pPr>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无组织</w:t>
            </w:r>
          </w:p>
        </w:tc>
        <w:tc>
          <w:tcPr>
            <w:tcW w:w="574" w:type="pct"/>
            <w:tcBorders>
              <w:tl2br w:val="nil"/>
              <w:tr2bl w:val="nil"/>
            </w:tcBorders>
            <w:vAlign w:val="center"/>
          </w:tcPr>
          <w:p>
            <w:pPr>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eastAsia="宋体" w:cs="Times New Roman"/>
                <w:sz w:val="21"/>
                <w:szCs w:val="21"/>
                <w:lang w:val="en-US" w:eastAsia="zh-CN"/>
              </w:rPr>
              <w:t>生产</w:t>
            </w:r>
            <w:r>
              <w:rPr>
                <w:rFonts w:hint="default" w:ascii="Times New Roman" w:hAnsi="Times New Roman" w:cs="Times New Roman"/>
                <w:sz w:val="21"/>
                <w:szCs w:val="21"/>
              </w:rPr>
              <w:t>车间外</w:t>
            </w:r>
          </w:p>
        </w:tc>
        <w:tc>
          <w:tcPr>
            <w:tcW w:w="891" w:type="pct"/>
            <w:tcBorders>
              <w:tl2br w:val="nil"/>
              <w:tr2bl w:val="nil"/>
            </w:tcBorders>
            <w:vAlign w:val="center"/>
          </w:tcPr>
          <w:p>
            <w:pPr>
              <w:adjustRightInd w:val="0"/>
              <w:snapToGrid w:val="0"/>
              <w:spacing w:line="240" w:lineRule="auto"/>
              <w:jc w:val="center"/>
              <w:rPr>
                <w:rFonts w:hint="default" w:ascii="Times New Roman" w:hAnsi="Times New Roman" w:eastAsia="宋体" w:cs="Times New Roman"/>
                <w:sz w:val="21"/>
                <w:szCs w:val="21"/>
                <w:lang w:eastAsia="zh-CN"/>
              </w:rPr>
            </w:pPr>
            <w:r>
              <w:rPr>
                <w:rFonts w:hint="eastAsia" w:ascii="Times New Roman" w:hAnsi="Times New Roman" w:cs="Times New Roman"/>
                <w:sz w:val="21"/>
                <w:szCs w:val="21"/>
                <w:lang w:val="en-US" w:eastAsia="zh-CN"/>
              </w:rPr>
              <w:t>非甲烷总烃</w:t>
            </w:r>
          </w:p>
        </w:tc>
        <w:tc>
          <w:tcPr>
            <w:tcW w:w="1302" w:type="pct"/>
            <w:vMerge w:val="restart"/>
            <w:tcBorders>
              <w:tl2br w:val="nil"/>
              <w:tr2bl w:val="nil"/>
            </w:tcBorders>
            <w:vAlign w:val="center"/>
          </w:tcPr>
          <w:p>
            <w:pPr>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车间加强排气通风设施</w:t>
            </w:r>
          </w:p>
        </w:tc>
        <w:tc>
          <w:tcPr>
            <w:tcW w:w="1172" w:type="pct"/>
            <w:vMerge w:val="restart"/>
            <w:tcBorders>
              <w:tl2br w:val="nil"/>
              <w:tr2bl w:val="nil"/>
            </w:tcBorders>
            <w:vAlign w:val="center"/>
          </w:tcPr>
          <w:p>
            <w:pPr>
              <w:adjustRightInd w:val="0"/>
              <w:snapToGrid w:val="0"/>
              <w:spacing w:line="240" w:lineRule="auto"/>
              <w:jc w:val="center"/>
              <w:rPr>
                <w:rFonts w:hint="default" w:ascii="Times New Roman" w:hAnsi="Times New Roman" w:cs="Times New Roman"/>
                <w:color w:val="000000"/>
                <w:sz w:val="21"/>
                <w:szCs w:val="21"/>
                <w:lang w:eastAsia="zh-CN"/>
              </w:rPr>
            </w:pPr>
            <w:r>
              <w:rPr>
                <w:rFonts w:hint="default" w:ascii="Times New Roman" w:hAnsi="Times New Roman" w:cs="Times New Roman"/>
                <w:color w:val="000000"/>
                <w:sz w:val="21"/>
                <w:szCs w:val="21"/>
                <w:lang w:eastAsia="zh-CN"/>
              </w:rPr>
              <w:t>《大气污染物综合排放标准》（DB32/4041-2021）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vMerge w:val="continue"/>
            <w:tcBorders>
              <w:tl2br w:val="nil"/>
              <w:tr2bl w:val="nil"/>
            </w:tcBorders>
            <w:vAlign w:val="center"/>
          </w:tcPr>
          <w:p>
            <w:pPr>
              <w:adjustRightInd w:val="0"/>
              <w:snapToGrid w:val="0"/>
              <w:spacing w:line="240" w:lineRule="auto"/>
              <w:jc w:val="center"/>
              <w:rPr>
                <w:rFonts w:hint="default" w:ascii="Times New Roman" w:hAnsi="Times New Roman" w:cs="Times New Roman"/>
                <w:b/>
                <w:bCs/>
                <w:sz w:val="21"/>
                <w:szCs w:val="21"/>
              </w:rPr>
            </w:pPr>
          </w:p>
        </w:tc>
        <w:tc>
          <w:tcPr>
            <w:tcW w:w="375" w:type="pct"/>
            <w:vMerge w:val="continue"/>
            <w:tcBorders>
              <w:tl2br w:val="nil"/>
              <w:tr2bl w:val="nil"/>
            </w:tcBorders>
            <w:vAlign w:val="center"/>
          </w:tcPr>
          <w:p>
            <w:pPr>
              <w:adjustRightInd w:val="0"/>
              <w:snapToGrid w:val="0"/>
              <w:spacing w:line="240" w:lineRule="auto"/>
              <w:jc w:val="center"/>
              <w:rPr>
                <w:rFonts w:hint="default" w:ascii="Times New Roman" w:hAnsi="Times New Roman" w:cs="Times New Roman"/>
                <w:sz w:val="21"/>
                <w:szCs w:val="21"/>
              </w:rPr>
            </w:pPr>
          </w:p>
        </w:tc>
        <w:tc>
          <w:tcPr>
            <w:tcW w:w="574" w:type="pct"/>
            <w:tcBorders>
              <w:tl2br w:val="nil"/>
              <w:tr2bl w:val="nil"/>
            </w:tcBorders>
            <w:vAlign w:val="center"/>
          </w:tcPr>
          <w:p>
            <w:pPr>
              <w:adjustRightInd w:val="0"/>
              <w:snapToGrid w:val="0"/>
              <w:spacing w:line="24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厂界</w:t>
            </w:r>
          </w:p>
        </w:tc>
        <w:tc>
          <w:tcPr>
            <w:tcW w:w="891" w:type="pct"/>
            <w:tcBorders>
              <w:tl2br w:val="nil"/>
              <w:tr2bl w:val="nil"/>
            </w:tcBorders>
            <w:vAlign w:val="center"/>
          </w:tcPr>
          <w:p>
            <w:pPr>
              <w:adjustRightInd w:val="0"/>
              <w:snapToGrid w:val="0"/>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非甲烷总烃</w:t>
            </w:r>
          </w:p>
        </w:tc>
        <w:tc>
          <w:tcPr>
            <w:tcW w:w="1302" w:type="pct"/>
            <w:vMerge w:val="continue"/>
            <w:tcBorders>
              <w:tl2br w:val="nil"/>
              <w:tr2bl w:val="nil"/>
            </w:tcBorders>
            <w:vAlign w:val="center"/>
          </w:tcPr>
          <w:p>
            <w:pPr>
              <w:adjustRightInd w:val="0"/>
              <w:snapToGrid w:val="0"/>
              <w:spacing w:line="240" w:lineRule="auto"/>
              <w:jc w:val="center"/>
              <w:rPr>
                <w:rFonts w:hint="default" w:ascii="Times New Roman" w:hAnsi="Times New Roman" w:eastAsia="宋体" w:cs="Times New Roman"/>
                <w:sz w:val="21"/>
                <w:szCs w:val="21"/>
                <w:lang w:val="en-US" w:eastAsia="zh-CN"/>
              </w:rPr>
            </w:pPr>
          </w:p>
        </w:tc>
        <w:tc>
          <w:tcPr>
            <w:tcW w:w="1172" w:type="pct"/>
            <w:vMerge w:val="continue"/>
            <w:tcBorders>
              <w:tl2br w:val="nil"/>
              <w:tr2bl w:val="nil"/>
            </w:tcBorders>
            <w:vAlign w:val="center"/>
          </w:tcPr>
          <w:p>
            <w:pPr>
              <w:adjustRightInd w:val="0"/>
              <w:snapToGrid w:val="0"/>
              <w:spacing w:line="240" w:lineRule="auto"/>
              <w:jc w:val="center"/>
              <w:rPr>
                <w:rFonts w:hint="default" w:ascii="Times New Roman" w:hAnsi="Times New Roman" w:cs="Times New Roman"/>
                <w:color w:val="000000"/>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tcBorders>
              <w:tl2br w:val="nil"/>
              <w:tr2bl w:val="nil"/>
            </w:tcBorders>
            <w:vAlign w:val="center"/>
          </w:tcPr>
          <w:p>
            <w:pPr>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地表水环境</w:t>
            </w:r>
          </w:p>
        </w:tc>
        <w:tc>
          <w:tcPr>
            <w:tcW w:w="949" w:type="pct"/>
            <w:gridSpan w:val="2"/>
            <w:tcBorders>
              <w:tl2br w:val="nil"/>
              <w:tr2bl w:val="nil"/>
            </w:tcBorders>
            <w:vAlign w:val="center"/>
          </w:tcPr>
          <w:p>
            <w:pPr>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c>
          <w:tcPr>
            <w:tcW w:w="891" w:type="pct"/>
            <w:tcBorders>
              <w:tl2br w:val="nil"/>
              <w:tr2bl w:val="nil"/>
            </w:tcBorders>
            <w:vAlign w:val="center"/>
          </w:tcPr>
          <w:p>
            <w:pPr>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cs="Times New Roman"/>
                <w:color w:val="000000"/>
                <w:sz w:val="21"/>
                <w:szCs w:val="21"/>
                <w:lang w:val="en-US" w:eastAsia="zh-CN"/>
              </w:rPr>
              <w:t>/</w:t>
            </w:r>
          </w:p>
        </w:tc>
        <w:tc>
          <w:tcPr>
            <w:tcW w:w="1302" w:type="pct"/>
            <w:tcBorders>
              <w:tl2br w:val="nil"/>
              <w:tr2bl w:val="nil"/>
            </w:tcBorders>
            <w:vAlign w:val="center"/>
          </w:tcPr>
          <w:p>
            <w:pPr>
              <w:spacing w:line="240" w:lineRule="auto"/>
              <w:jc w:val="both"/>
              <w:rPr>
                <w:rFonts w:hint="default" w:ascii="Times New Roman" w:hAnsi="Times New Roman" w:cs="Times New Roman"/>
                <w:lang w:val="en-US" w:eastAsia="zh-CN"/>
              </w:rPr>
            </w:pPr>
            <w:r>
              <w:rPr>
                <w:rFonts w:hint="eastAsia" w:ascii="Times New Roman" w:hAnsi="Times New Roman" w:cs="Times New Roman"/>
                <w:lang w:val="en-US" w:eastAsia="zh-CN"/>
              </w:rPr>
              <w:t>/</w:t>
            </w:r>
          </w:p>
        </w:tc>
        <w:tc>
          <w:tcPr>
            <w:tcW w:w="1172" w:type="pct"/>
            <w:tcBorders>
              <w:tl2br w:val="nil"/>
              <w:tr2bl w:val="nil"/>
            </w:tcBorders>
            <w:vAlign w:val="center"/>
          </w:tcPr>
          <w:p>
            <w:pPr>
              <w:spacing w:line="240" w:lineRule="auto"/>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tcBorders>
              <w:tl2br w:val="nil"/>
              <w:tr2bl w:val="nil"/>
            </w:tcBorders>
            <w:vAlign w:val="center"/>
          </w:tcPr>
          <w:p>
            <w:pPr>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声环境</w:t>
            </w:r>
          </w:p>
        </w:tc>
        <w:tc>
          <w:tcPr>
            <w:tcW w:w="949" w:type="pct"/>
            <w:gridSpan w:val="2"/>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生产设备及废气处理设施</w:t>
            </w:r>
          </w:p>
        </w:tc>
        <w:tc>
          <w:tcPr>
            <w:tcW w:w="891" w:type="pct"/>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等效连续A声级(dB(A))</w:t>
            </w:r>
          </w:p>
        </w:tc>
        <w:tc>
          <w:tcPr>
            <w:tcW w:w="1302" w:type="pct"/>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eastAsia="宋体" w:cs="Times New Roman"/>
                <w:sz w:val="21"/>
                <w:szCs w:val="21"/>
                <w:lang w:val="en-US" w:eastAsia="zh-CN"/>
              </w:rPr>
              <w:t>选用低噪声设备、</w:t>
            </w:r>
            <w:r>
              <w:rPr>
                <w:rFonts w:hint="default" w:ascii="Times New Roman" w:hAnsi="Times New Roman" w:cs="Times New Roman"/>
                <w:sz w:val="21"/>
                <w:szCs w:val="21"/>
              </w:rPr>
              <w:t>车间设备合理布局，厂房建筑隔声、隔声减震等</w:t>
            </w:r>
          </w:p>
        </w:tc>
        <w:tc>
          <w:tcPr>
            <w:tcW w:w="1172" w:type="pct"/>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《工业企业厂界环境噪声排放标准》(GB12348-2008)</w:t>
            </w:r>
            <w:r>
              <w:rPr>
                <w:rFonts w:hint="default" w:ascii="Times New Roman" w:hAnsi="Times New Roman" w:eastAsia="宋体" w:cs="Times New Roman"/>
                <w:sz w:val="21"/>
                <w:szCs w:val="21"/>
                <w:lang w:val="en-US" w:eastAsia="zh-CN"/>
              </w:rPr>
              <w:t>3</w:t>
            </w:r>
            <w:r>
              <w:rPr>
                <w:rFonts w:hint="default" w:ascii="Times New Roman" w:hAnsi="Times New Roman" w:cs="Times New Roman"/>
                <w:sz w:val="21"/>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tcBorders>
              <w:tl2br w:val="nil"/>
              <w:tr2bl w:val="nil"/>
            </w:tcBorders>
            <w:vAlign w:val="center"/>
          </w:tcPr>
          <w:p>
            <w:pPr>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电磁辐射</w:t>
            </w:r>
          </w:p>
        </w:tc>
        <w:tc>
          <w:tcPr>
            <w:tcW w:w="4314" w:type="pct"/>
            <w:gridSpan w:val="5"/>
            <w:tcBorders>
              <w:tl2br w:val="nil"/>
              <w:tr2bl w:val="nil"/>
            </w:tcBorders>
            <w:vAlign w:val="center"/>
          </w:tcPr>
          <w:p>
            <w:pPr>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tcBorders>
              <w:tl2br w:val="nil"/>
              <w:tr2bl w:val="nil"/>
            </w:tcBorders>
            <w:vAlign w:val="center"/>
          </w:tcPr>
          <w:p>
            <w:pPr>
              <w:spacing w:line="240" w:lineRule="auto"/>
              <w:jc w:val="center"/>
              <w:rPr>
                <w:rFonts w:hint="default" w:ascii="Times New Roman" w:hAnsi="Times New Roman" w:cs="Times New Roman"/>
                <w:b/>
                <w:sz w:val="21"/>
                <w:szCs w:val="21"/>
              </w:rPr>
            </w:pPr>
            <w:r>
              <w:rPr>
                <w:rFonts w:hint="default" w:ascii="Times New Roman" w:hAnsi="Times New Roman" w:cs="Times New Roman"/>
                <w:b/>
                <w:sz w:val="21"/>
                <w:szCs w:val="21"/>
              </w:rPr>
              <w:t>固体废物</w:t>
            </w:r>
          </w:p>
        </w:tc>
        <w:tc>
          <w:tcPr>
            <w:tcW w:w="4314" w:type="pct"/>
            <w:gridSpan w:val="5"/>
            <w:tcBorders>
              <w:tl2br w:val="nil"/>
              <w:tr2bl w:val="nil"/>
            </w:tcBorders>
            <w:vAlign w:val="center"/>
          </w:tcPr>
          <w:p>
            <w:pPr>
              <w:spacing w:line="240" w:lineRule="auto"/>
              <w:jc w:val="left"/>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一般固废：</w:t>
            </w:r>
            <w:r>
              <w:rPr>
                <w:rFonts w:hint="eastAsia" w:ascii="Times New Roman" w:hAnsi="Times New Roman" w:eastAsia="宋体" w:cs="Times New Roman"/>
                <w:sz w:val="21"/>
                <w:szCs w:val="21"/>
                <w:lang w:val="en-US" w:eastAsia="zh-CN"/>
              </w:rPr>
              <w:t>废包装物、</w:t>
            </w:r>
            <w:r>
              <w:rPr>
                <w:rFonts w:hint="default" w:ascii="Times New Roman" w:hAnsi="Times New Roman" w:eastAsia="宋体" w:cs="Times New Roman"/>
                <w:sz w:val="21"/>
                <w:szCs w:val="21"/>
                <w:lang w:val="en-US" w:eastAsia="zh-CN"/>
              </w:rPr>
              <w:t>废边角料、不合格产品。</w:t>
            </w:r>
          </w:p>
          <w:p>
            <w:pPr>
              <w:spacing w:line="240" w:lineRule="auto"/>
              <w:jc w:val="left"/>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危险废物：</w:t>
            </w:r>
            <w:r>
              <w:rPr>
                <w:rFonts w:hint="eastAsia" w:ascii="Times New Roman" w:hAnsi="Times New Roman" w:eastAsia="宋体" w:cs="Times New Roman"/>
                <w:sz w:val="21"/>
                <w:szCs w:val="21"/>
                <w:lang w:val="en-US" w:eastAsia="zh-CN"/>
              </w:rPr>
              <w:t>废水性油墨桶、废活性炭</w:t>
            </w:r>
          </w:p>
          <w:p>
            <w:pPr>
              <w:spacing w:line="240" w:lineRule="auto"/>
              <w:ind w:firstLine="420" w:firstLineChars="200"/>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项目一般固废存放于一般固废库内，一般固废库按照《一般工业固体废物贮存和填埋污染控制标准》（GB18599-2020）要求建设，同时强化固废产生、收集、贮放等各环节的管理，各类固废按照类别分类存放，杜绝固废在厂区内散失、渗漏，达到无害化目的，各类固废均得到有效处置，避免产生二次污染。</w:t>
            </w:r>
          </w:p>
          <w:p>
            <w:pPr>
              <w:spacing w:line="240" w:lineRule="auto"/>
              <w:ind w:firstLine="420" w:firstLineChars="200"/>
              <w:jc w:val="both"/>
              <w:rPr>
                <w:rFonts w:hint="default"/>
                <w:lang w:eastAsia="zh-CN"/>
              </w:rPr>
            </w:pPr>
            <w:r>
              <w:rPr>
                <w:rFonts w:hint="eastAsia" w:ascii="Times New Roman" w:hAnsi="Times New Roman" w:eastAsia="宋体" w:cs="Times New Roman"/>
                <w:sz w:val="21"/>
                <w:szCs w:val="21"/>
                <w:lang w:val="en-US" w:eastAsia="zh-CN"/>
              </w:rPr>
              <w:t>项目危废存放于危废</w:t>
            </w:r>
            <w:r>
              <w:rPr>
                <w:rFonts w:hint="eastAsia" w:ascii="Times New Roman" w:hAnsi="Times New Roman" w:cs="Times New Roman"/>
                <w:sz w:val="21"/>
                <w:szCs w:val="21"/>
                <w:lang w:val="en-US" w:eastAsia="zh-CN"/>
              </w:rPr>
              <w:t>库</w:t>
            </w:r>
            <w:r>
              <w:rPr>
                <w:rFonts w:hint="eastAsia" w:ascii="Times New Roman" w:hAnsi="Times New Roman" w:eastAsia="宋体" w:cs="Times New Roman"/>
                <w:sz w:val="21"/>
                <w:szCs w:val="21"/>
                <w:lang w:val="en-US" w:eastAsia="zh-CN"/>
              </w:rPr>
              <w:t>内，根据危险废物的种类和特性进行分区、分类贮存，设置防雨、防火、防雷、防扬散、防渗漏装置及泄漏液体收集装置。按照《省生态环境厅关于进一步加强危险废物污染防治工作的实施意见》（苏环办</w:t>
            </w:r>
            <w:r>
              <w:rPr>
                <w:rFonts w:hint="default" w:ascii="Times New Roman" w:hAnsi="Times New Roman" w:eastAsia="宋体" w:cs="Times New Roman"/>
                <w:sz w:val="21"/>
                <w:szCs w:val="21"/>
                <w:lang w:val="en-US" w:eastAsia="zh-CN"/>
              </w:rPr>
              <w:t xml:space="preserve">[2019]327 </w:t>
            </w:r>
            <w:r>
              <w:rPr>
                <w:rFonts w:hint="eastAsia" w:ascii="Times New Roman" w:hAnsi="Times New Roman" w:eastAsia="宋体" w:cs="Times New Roman"/>
                <w:sz w:val="21"/>
                <w:szCs w:val="21"/>
                <w:lang w:val="en-US" w:eastAsia="zh-CN"/>
              </w:rPr>
              <w:t>号）、</w:t>
            </w:r>
            <w:r>
              <w:rPr>
                <w:rFonts w:hint="default" w:ascii="Times New Roman" w:hAnsi="Times New Roman" w:eastAsia="宋体" w:cs="Times New Roman"/>
                <w:sz w:val="21"/>
                <w:szCs w:val="21"/>
                <w:lang w:val="en-US" w:eastAsia="zh-CN"/>
              </w:rPr>
              <w:t>环境保护图形标志 固体废物贮存（处置）场》（GB 15562.2-1995）（含2023修改单）</w:t>
            </w:r>
            <w:r>
              <w:rPr>
                <w:rFonts w:hint="eastAsia" w:ascii="Times New Roman" w:hAnsi="Times New Roman" w:eastAsia="宋体" w:cs="Times New Roman"/>
                <w:sz w:val="21"/>
                <w:szCs w:val="21"/>
                <w:lang w:val="en-US" w:eastAsia="zh-CN"/>
              </w:rPr>
              <w:t>和《</w:t>
            </w:r>
            <w:r>
              <w:rPr>
                <w:rFonts w:hint="default" w:ascii="Times New Roman" w:hAnsi="Times New Roman" w:eastAsia="宋体" w:cs="Times New Roman"/>
                <w:sz w:val="21"/>
                <w:szCs w:val="21"/>
                <w:lang w:val="en-US" w:eastAsia="zh-CN"/>
              </w:rPr>
              <w:t>省生态环境厅关于做好</w:t>
            </w:r>
            <w:r>
              <w:rPr>
                <w:rFonts w:hint="eastAsia" w:ascii="Times New Roman" w:hAnsi="Times New Roman" w:eastAsia="宋体" w:cs="Times New Roman"/>
                <w:sz w:val="21"/>
                <w:szCs w:val="21"/>
                <w:lang w:val="en-US" w:eastAsia="zh-CN"/>
              </w:rPr>
              <w:t>&lt;</w:t>
            </w:r>
            <w:r>
              <w:rPr>
                <w:rFonts w:hint="default" w:ascii="Times New Roman" w:hAnsi="Times New Roman" w:eastAsia="宋体" w:cs="Times New Roman"/>
                <w:sz w:val="21"/>
                <w:szCs w:val="21"/>
                <w:lang w:val="en-US" w:eastAsia="zh-CN"/>
              </w:rPr>
              <w:t>危险废物贮存污染控制标准</w:t>
            </w:r>
            <w:r>
              <w:rPr>
                <w:rFonts w:hint="eastAsia" w:ascii="Times New Roman" w:hAnsi="Times New Roman" w:eastAsia="宋体" w:cs="Times New Roman"/>
                <w:sz w:val="21"/>
                <w:szCs w:val="21"/>
                <w:lang w:val="en-US" w:eastAsia="zh-CN"/>
              </w:rPr>
              <w:t>&gt;</w:t>
            </w:r>
            <w:r>
              <w:rPr>
                <w:rFonts w:hint="default" w:ascii="Times New Roman" w:hAnsi="Times New Roman" w:eastAsia="宋体" w:cs="Times New Roman"/>
                <w:sz w:val="21"/>
                <w:szCs w:val="21"/>
                <w:lang w:val="en-US" w:eastAsia="zh-CN"/>
              </w:rPr>
              <w:t>等标准规范实施后危险废物环境管理衔接工作的通知</w:t>
            </w:r>
            <w:r>
              <w:rPr>
                <w:rFonts w:hint="eastAsia" w:ascii="Times New Roman" w:hAnsi="Times New Roman" w:eastAsia="宋体" w:cs="Times New Roman"/>
                <w:sz w:val="21"/>
                <w:szCs w:val="21"/>
                <w:lang w:val="en-US" w:eastAsia="zh-CN"/>
              </w:rPr>
              <w:t>》（苏环办[2023]154号）</w:t>
            </w:r>
            <w:r>
              <w:rPr>
                <w:rFonts w:hint="eastAsia" w:ascii="Times New Roman" w:hAnsi="Times New Roman" w:eastAsia="宋体" w:cs="Times New Roman"/>
                <w:sz w:val="21"/>
                <w:szCs w:val="21"/>
                <w:lang w:val="en-US" w:eastAsia="zh-CN"/>
              </w:rPr>
              <w:t>等相关文件要求设置危险废物信息公开栏、贮存设施警示标志牌、包装识别标签，按照危险废物贮存设施视频监控布设要求设置视频监控，并与中控室联网。配备通讯设备、照明设施和消防设施，废活性炭采用密闭桶装</w:t>
            </w:r>
            <w:r>
              <w:rPr>
                <w:rFonts w:hint="eastAsia" w:ascii="Times New Roman" w:hAnsi="Times New Roman" w:cs="Times New Roman"/>
                <w:sz w:val="21"/>
                <w:szCs w:val="21"/>
                <w:lang w:val="en-US" w:eastAsia="zh-CN"/>
              </w:rPr>
              <w:t>、</w:t>
            </w:r>
            <w:r>
              <w:rPr>
                <w:rFonts w:hint="eastAsia" w:ascii="Times New Roman" w:hAnsi="Times New Roman" w:eastAsia="宋体" w:cs="Times New Roman"/>
                <w:sz w:val="21"/>
                <w:szCs w:val="21"/>
                <w:lang w:val="en-US" w:eastAsia="zh-CN"/>
              </w:rPr>
              <w:t>废水性油墨桶</w:t>
            </w:r>
            <w:r>
              <w:rPr>
                <w:rFonts w:hint="eastAsia" w:ascii="Times New Roman" w:hAnsi="Times New Roman" w:cs="Times New Roman"/>
                <w:sz w:val="21"/>
                <w:szCs w:val="21"/>
                <w:lang w:val="en-US" w:eastAsia="zh-CN"/>
              </w:rPr>
              <w:t>捆扎堆放</w:t>
            </w:r>
            <w:r>
              <w:rPr>
                <w:rFonts w:hint="eastAsia" w:ascii="Times New Roman" w:hAnsi="Times New Roman" w:eastAsia="宋体" w:cs="Times New Roman"/>
                <w:sz w:val="21"/>
                <w:szCs w:val="21"/>
                <w:lang w:val="en-US" w:eastAsia="zh-CN"/>
              </w:rPr>
              <w:t>。项目危险固废及时委托有资质单位安全处置，贮存期原</w:t>
            </w:r>
            <w:r>
              <w:rPr>
                <w:rFonts w:hint="eastAsia" w:ascii="Times New Roman" w:hAnsi="Times New Roman" w:cs="Times New Roman"/>
                <w:sz w:val="21"/>
                <w:szCs w:val="21"/>
                <w:lang w:val="en-US" w:eastAsia="zh-CN"/>
              </w:rPr>
              <w:t>则</w:t>
            </w:r>
            <w:r>
              <w:rPr>
                <w:rFonts w:hint="eastAsia" w:ascii="Times New Roman" w:hAnsi="Times New Roman" w:eastAsia="宋体" w:cs="Times New Roman"/>
                <w:sz w:val="21"/>
                <w:szCs w:val="21"/>
                <w:lang w:val="en-US" w:eastAsia="zh-CN"/>
              </w:rPr>
              <w:t>不超过</w:t>
            </w:r>
            <w:r>
              <w:rPr>
                <w:rFonts w:hint="default" w:ascii="Times New Roman" w:hAnsi="Times New Roman" w:eastAsia="宋体" w:cs="Times New Roman"/>
                <w:sz w:val="21"/>
                <w:szCs w:val="21"/>
                <w:lang w:val="en-US" w:eastAsia="zh-CN"/>
              </w:rPr>
              <w:t>3</w:t>
            </w:r>
            <w:r>
              <w:rPr>
                <w:rFonts w:hint="eastAsia" w:ascii="Times New Roman" w:hAnsi="Times New Roman" w:eastAsia="宋体" w:cs="Times New Roman"/>
                <w:sz w:val="21"/>
                <w:szCs w:val="21"/>
                <w:lang w:val="en-US" w:eastAsia="zh-CN"/>
              </w:rPr>
              <w:t>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tcBorders>
              <w:tl2br w:val="nil"/>
              <w:tr2bl w:val="nil"/>
            </w:tcBorders>
            <w:vAlign w:val="center"/>
          </w:tcPr>
          <w:p>
            <w:pPr>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土壤及地下水污染防治措施</w:t>
            </w:r>
          </w:p>
        </w:tc>
        <w:tc>
          <w:tcPr>
            <w:tcW w:w="4314" w:type="pct"/>
            <w:gridSpan w:val="5"/>
            <w:tcBorders>
              <w:tl2br w:val="nil"/>
              <w:tr2bl w:val="nil"/>
            </w:tcBorders>
            <w:vAlign w:val="center"/>
          </w:tcPr>
          <w:p>
            <w:pPr>
              <w:spacing w:line="240" w:lineRule="auto"/>
              <w:jc w:val="center"/>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危废</w:t>
            </w:r>
            <w:r>
              <w:rPr>
                <w:rFonts w:hint="eastAsia" w:ascii="Times New Roman" w:hAnsi="Times New Roman" w:cs="Times New Roman"/>
                <w:sz w:val="21"/>
                <w:szCs w:val="21"/>
                <w:lang w:val="en-US" w:eastAsia="zh-CN"/>
              </w:rPr>
              <w:t>库和原料库</w:t>
            </w:r>
            <w:r>
              <w:rPr>
                <w:rFonts w:hint="eastAsia" w:ascii="Times New Roman" w:hAnsi="Times New Roman" w:eastAsia="宋体" w:cs="Times New Roman"/>
                <w:sz w:val="21"/>
                <w:szCs w:val="21"/>
                <w:lang w:val="en-US" w:eastAsia="zh-CN"/>
              </w:rPr>
              <w:t>进行重点防渗，设置防渗措施；生产车间等其他区域做地面硬化。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tcBorders>
              <w:tl2br w:val="nil"/>
              <w:tr2bl w:val="nil"/>
            </w:tcBorders>
            <w:vAlign w:val="center"/>
          </w:tcPr>
          <w:p>
            <w:pPr>
              <w:adjustRightInd w:val="0"/>
              <w:snapToGrid w:val="0"/>
              <w:spacing w:line="240" w:lineRule="auto"/>
              <w:jc w:val="center"/>
              <w:rPr>
                <w:rFonts w:hint="default" w:ascii="Times New Roman" w:hAnsi="Times New Roman" w:cs="Times New Roman"/>
                <w:b/>
                <w:bCs/>
                <w:sz w:val="21"/>
                <w:szCs w:val="21"/>
              </w:rPr>
            </w:pPr>
            <w:r>
              <w:rPr>
                <w:rFonts w:hint="default" w:ascii="Times New Roman" w:hAnsi="Times New Roman" w:cs="Times New Roman"/>
                <w:b/>
                <w:bCs/>
                <w:sz w:val="21"/>
                <w:szCs w:val="21"/>
              </w:rPr>
              <w:t>生态保护措施</w:t>
            </w:r>
          </w:p>
        </w:tc>
        <w:tc>
          <w:tcPr>
            <w:tcW w:w="4314" w:type="pct"/>
            <w:gridSpan w:val="5"/>
            <w:tcBorders>
              <w:tl2br w:val="nil"/>
              <w:tr2bl w:val="nil"/>
            </w:tcBorders>
            <w:vAlign w:val="center"/>
          </w:tcPr>
          <w:p>
            <w:pPr>
              <w:adjustRightInd w:val="0"/>
              <w:snapToGrid w:val="0"/>
              <w:spacing w:line="240" w:lineRule="auto"/>
              <w:ind w:firstLine="420" w:firstLineChars="200"/>
              <w:jc w:val="both"/>
              <w:rPr>
                <w:rFonts w:hint="default" w:ascii="Times New Roman" w:hAnsi="Times New Roman" w:cs="Times New Roman"/>
                <w:sz w:val="21"/>
                <w:szCs w:val="21"/>
              </w:rPr>
            </w:pPr>
            <w:r>
              <w:rPr>
                <w:rFonts w:hint="default" w:ascii="Times New Roman" w:hAnsi="Times New Roman" w:cs="Times New Roman"/>
                <w:color w:val="000000" w:themeColor="text1"/>
                <w:sz w:val="21"/>
                <w:szCs w:val="21"/>
                <w14:textFill>
                  <w14:solidFill>
                    <w14:schemeClr w14:val="tx1"/>
                  </w14:solidFill>
                </w14:textFill>
              </w:rPr>
              <w:t>本项目占地范围内不涉及生态环境保护目标，项目产生的废气、固废均得到妥善处理、处置，故本项目的建设对周边生态环境影响较小。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tcBorders>
              <w:tl2br w:val="nil"/>
              <w:tr2bl w:val="nil"/>
            </w:tcBorders>
            <w:vAlign w:val="center"/>
          </w:tcPr>
          <w:p>
            <w:pPr>
              <w:adjustRightInd w:val="0"/>
              <w:snapToGrid w:val="0"/>
              <w:spacing w:line="240" w:lineRule="auto"/>
              <w:jc w:val="center"/>
              <w:rPr>
                <w:rFonts w:hint="default" w:ascii="Times New Roman" w:hAnsi="Times New Roman" w:cs="Times New Roman"/>
                <w:b/>
                <w:bCs/>
                <w:spacing w:val="-8"/>
                <w:sz w:val="21"/>
                <w:szCs w:val="21"/>
              </w:rPr>
            </w:pPr>
            <w:r>
              <w:rPr>
                <w:rFonts w:hint="default" w:ascii="Times New Roman" w:hAnsi="Times New Roman" w:cs="Times New Roman"/>
                <w:b/>
                <w:bCs/>
                <w:spacing w:val="-8"/>
                <w:sz w:val="21"/>
                <w:szCs w:val="21"/>
              </w:rPr>
              <w:t>环境风险</w:t>
            </w:r>
          </w:p>
          <w:p>
            <w:pPr>
              <w:adjustRightInd w:val="0"/>
              <w:snapToGrid w:val="0"/>
              <w:spacing w:line="240" w:lineRule="auto"/>
              <w:jc w:val="center"/>
              <w:rPr>
                <w:rFonts w:hint="default" w:ascii="Times New Roman" w:hAnsi="Times New Roman" w:cs="Times New Roman"/>
                <w:b/>
                <w:bCs/>
                <w:spacing w:val="-8"/>
                <w:sz w:val="21"/>
                <w:szCs w:val="21"/>
              </w:rPr>
            </w:pPr>
            <w:r>
              <w:rPr>
                <w:rFonts w:hint="default" w:ascii="Times New Roman" w:hAnsi="Times New Roman" w:cs="Times New Roman"/>
                <w:b/>
                <w:bCs/>
                <w:spacing w:val="-8"/>
                <w:sz w:val="21"/>
                <w:szCs w:val="21"/>
              </w:rPr>
              <w:t>防范措施</w:t>
            </w:r>
          </w:p>
        </w:tc>
        <w:tc>
          <w:tcPr>
            <w:tcW w:w="4314" w:type="pct"/>
            <w:gridSpan w:val="5"/>
            <w:tcBorders>
              <w:tl2br w:val="nil"/>
              <w:tr2bl w:val="nil"/>
            </w:tcBorders>
            <w:vAlign w:val="center"/>
          </w:tcPr>
          <w:p>
            <w:pPr>
              <w:adjustRightInd w:val="0"/>
              <w:snapToGrid w:val="0"/>
              <w:spacing w:line="240" w:lineRule="auto"/>
              <w:ind w:firstLine="420" w:firstLineChars="200"/>
              <w:jc w:val="both"/>
              <w:rPr>
                <w:rFonts w:hint="eastAsia" w:ascii="Times New Roman" w:hAnsi="Times New Roman" w:eastAsia="宋体" w:cs="Times New Roman"/>
                <w:sz w:val="21"/>
                <w:szCs w:val="21"/>
                <w:lang w:eastAsia="zh-CN"/>
              </w:rPr>
            </w:pPr>
            <w:r>
              <w:rPr>
                <w:sz w:val="21"/>
                <w:szCs w:val="21"/>
              </w:rPr>
              <w:t>地面防渗；落实防治火灾措施；加强设施的日常维护与保养，定期清理或更换耗材；落实日常巡检、巡视制度，发现事故及时上报；制定应急管理计划，全面落实各项应急措施，加强员工管理，将各项应急措施落实到专人负责，建立环保管理制度</w:t>
            </w:r>
            <w:r>
              <w:rPr>
                <w:rFonts w:hint="eastAsia"/>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85" w:type="pct"/>
            <w:tcBorders>
              <w:tl2br w:val="nil"/>
              <w:tr2bl w:val="nil"/>
            </w:tcBorders>
            <w:vAlign w:val="center"/>
          </w:tcPr>
          <w:p>
            <w:pPr>
              <w:adjustRightInd w:val="0"/>
              <w:snapToGrid w:val="0"/>
              <w:spacing w:line="240" w:lineRule="auto"/>
              <w:jc w:val="center"/>
              <w:rPr>
                <w:rFonts w:hint="default" w:ascii="Times New Roman" w:hAnsi="Times New Roman" w:cs="Times New Roman"/>
                <w:b/>
                <w:bCs/>
                <w:spacing w:val="-8"/>
                <w:sz w:val="21"/>
                <w:szCs w:val="21"/>
              </w:rPr>
            </w:pPr>
            <w:r>
              <w:rPr>
                <w:rFonts w:hint="default" w:ascii="Times New Roman" w:hAnsi="Times New Roman" w:cs="Times New Roman"/>
                <w:b/>
                <w:bCs/>
                <w:spacing w:val="-8"/>
                <w:sz w:val="21"/>
                <w:szCs w:val="21"/>
              </w:rPr>
              <w:t>其他环境</w:t>
            </w:r>
          </w:p>
          <w:p>
            <w:pPr>
              <w:adjustRightInd w:val="0"/>
              <w:snapToGrid w:val="0"/>
              <w:spacing w:line="240" w:lineRule="auto"/>
              <w:jc w:val="center"/>
              <w:rPr>
                <w:rFonts w:hint="default" w:ascii="Times New Roman" w:hAnsi="Times New Roman" w:cs="Times New Roman"/>
                <w:b/>
                <w:bCs/>
                <w:spacing w:val="-8"/>
                <w:sz w:val="21"/>
                <w:szCs w:val="21"/>
              </w:rPr>
            </w:pPr>
            <w:r>
              <w:rPr>
                <w:rFonts w:hint="default" w:ascii="Times New Roman" w:hAnsi="Times New Roman" w:cs="Times New Roman"/>
                <w:b/>
                <w:bCs/>
                <w:spacing w:val="-8"/>
                <w:sz w:val="21"/>
                <w:szCs w:val="21"/>
              </w:rPr>
              <w:t>管理要求</w:t>
            </w:r>
          </w:p>
        </w:tc>
        <w:tc>
          <w:tcPr>
            <w:tcW w:w="4314" w:type="pct"/>
            <w:gridSpan w:val="5"/>
            <w:tcBorders>
              <w:tl2br w:val="nil"/>
              <w:tr2bl w:val="nil"/>
            </w:tcBorders>
            <w:vAlign w:val="center"/>
          </w:tcPr>
          <w:p>
            <w:pPr>
              <w:adjustRightInd w:val="0"/>
              <w:snapToGrid w:val="0"/>
              <w:spacing w:line="240" w:lineRule="auto"/>
              <w:ind w:firstLine="420" w:firstLineChars="200"/>
              <w:jc w:val="both"/>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（1）环境管理</w:t>
            </w:r>
          </w:p>
          <w:p>
            <w:pPr>
              <w:adjustRightInd w:val="0"/>
              <w:snapToGrid w:val="0"/>
              <w:spacing w:line="240" w:lineRule="auto"/>
              <w:ind w:firstLine="420" w:firstLineChars="200"/>
              <w:jc w:val="both"/>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为了缓解建设项目生产运行期对环境构成的不良影响，在采取环保治理工程措施解决项目环境影响的同时，必须制定全面的企业环境管理计划，加强管理人员的环保培训，不断提高管理水平，本项目在正式投产前，应对环境保护设施进行验收，经验收合格后，方可正式投入生产。</w:t>
            </w:r>
          </w:p>
          <w:p>
            <w:pPr>
              <w:adjustRightInd w:val="0"/>
              <w:snapToGrid w:val="0"/>
              <w:spacing w:line="240" w:lineRule="auto"/>
              <w:ind w:firstLine="420" w:firstLineChars="200"/>
              <w:jc w:val="both"/>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建设单位排污发生重大变化、污染治理设施改变或生产运行计划改变等必须向当地生态环境部门申报，经审批同意后方可实施。对污染治理设施和管理必须与生产经营活动一起纳入企业的日常管理中，要建立岗位责任制，制定操作规程、建立管理台账。</w:t>
            </w:r>
          </w:p>
          <w:p>
            <w:pPr>
              <w:adjustRightInd w:val="0"/>
              <w:snapToGrid w:val="0"/>
              <w:spacing w:line="240" w:lineRule="auto"/>
              <w:ind w:firstLine="420" w:firstLineChars="200"/>
              <w:jc w:val="both"/>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（2）排污口规范化设置</w:t>
            </w:r>
          </w:p>
          <w:p>
            <w:pPr>
              <w:adjustRightInd w:val="0"/>
              <w:snapToGrid w:val="0"/>
              <w:spacing w:line="240" w:lineRule="auto"/>
              <w:ind w:firstLine="420" w:firstLineChars="200"/>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按照国家环保总局《关于开展排污口规范化整治试点工作的通知》、江苏省环保厅《江苏省开展排污口规范化整治工作方案》和《江苏省排污口设置及规范化整治管理方法》的有关要求，对</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废水</w:t>
            </w:r>
            <w:r>
              <w:rPr>
                <w:rFonts w:hint="default" w:ascii="Times New Roman" w:hAnsi="Times New Roman" w:cs="Times New Roman"/>
                <w:color w:val="000000" w:themeColor="text1"/>
                <w:sz w:val="21"/>
                <w:szCs w:val="21"/>
                <w14:textFill>
                  <w14:solidFill>
                    <w14:schemeClr w14:val="tx1"/>
                  </w14:solidFill>
                </w14:textFill>
              </w:rPr>
              <w:t>排放口、固定噪声污染源扰民处和固体废弃物贮存（处置）场所等要进行规范化整治，规范排污单位排污行为。</w:t>
            </w:r>
          </w:p>
          <w:p>
            <w:pPr>
              <w:adjustRightInd w:val="0"/>
              <w:snapToGrid w:val="0"/>
              <w:spacing w:line="240" w:lineRule="auto"/>
              <w:ind w:firstLine="420" w:firstLineChars="200"/>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（3）排污许可制度</w:t>
            </w:r>
          </w:p>
          <w:p>
            <w:pPr>
              <w:adjustRightInd w:val="0"/>
              <w:snapToGrid w:val="0"/>
              <w:spacing w:line="240" w:lineRule="auto"/>
              <w:ind w:firstLine="420" w:firstLineChars="200"/>
              <w:jc w:val="left"/>
              <w:rPr>
                <w:rFonts w:hint="default" w:ascii="Times New Roman" w:hAnsi="Times New Roman" w:cs="Times New Roman"/>
                <w:sz w:val="21"/>
                <w:szCs w:val="21"/>
              </w:rPr>
            </w:pPr>
            <w:r>
              <w:rPr>
                <w:rFonts w:hint="default" w:ascii="Times New Roman" w:hAnsi="Times New Roman" w:cs="Times New Roman"/>
                <w:color w:val="000000" w:themeColor="text1"/>
                <w:sz w:val="21"/>
                <w:szCs w:val="21"/>
                <w14:textFill>
                  <w14:solidFill>
                    <w14:schemeClr w14:val="tx1"/>
                  </w14:solidFill>
                </w14:textFill>
              </w:rPr>
              <w:t>根据《排污许可管理条例》（国务院令 第736号）和《固定污染源排污许可分类管理名录（2019年版）》，本项目投产前，因新增</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废气排放口及</w:t>
            </w:r>
            <w:r>
              <w:rPr>
                <w:rFonts w:hint="default" w:ascii="Times New Roman" w:hAnsi="Times New Roman" w:cs="Times New Roman"/>
                <w:color w:val="000000" w:themeColor="text1"/>
                <w:sz w:val="21"/>
                <w:szCs w:val="21"/>
                <w14:textFill>
                  <w14:solidFill>
                    <w14:schemeClr w14:val="tx1"/>
                  </w14:solidFill>
                </w14:textFill>
              </w:rPr>
              <w:t>污染物，需重新申请排污许可证</w:t>
            </w:r>
            <w:r>
              <w:rPr>
                <w:color w:val="000000" w:themeColor="text1"/>
                <w:szCs w:val="21"/>
                <w14:textFill>
                  <w14:solidFill>
                    <w14:schemeClr w14:val="tx1"/>
                  </w14:solidFill>
                </w14:textFill>
              </w:rPr>
              <w:t>，把本项目内容纳入排污许可</w:t>
            </w:r>
            <w:r>
              <w:rPr>
                <w:rFonts w:hint="default" w:ascii="Times New Roman" w:hAnsi="Times New Roman" w:cs="Times New Roman"/>
                <w:color w:val="000000" w:themeColor="text1"/>
                <w:sz w:val="21"/>
                <w:szCs w:val="21"/>
                <w14:textFill>
                  <w14:solidFill>
                    <w14:schemeClr w14:val="tx1"/>
                  </w14:solidFill>
                </w14:textFill>
              </w:rPr>
              <w:t>。</w:t>
            </w:r>
          </w:p>
        </w:tc>
      </w:tr>
    </w:tbl>
    <w:p>
      <w:pPr>
        <w:rPr>
          <w:rFonts w:hint="default" w:ascii="Times New Roman" w:hAnsi="Times New Roman" w:cs="Times New Roman"/>
        </w:rPr>
      </w:pPr>
    </w:p>
    <w:p>
      <w:pPr>
        <w:jc w:val="center"/>
        <w:rPr>
          <w:rFonts w:hint="default" w:ascii="Times New Roman" w:hAnsi="Times New Roman" w:eastAsia="仿宋" w:cs="Times New Roman"/>
          <w:sz w:val="21"/>
          <w:szCs w:val="21"/>
        </w:rPr>
        <w:sectPr>
          <w:pgSz w:w="11910" w:h="16840"/>
          <w:pgMar w:top="1440" w:right="1440" w:bottom="1440" w:left="1440" w:header="0" w:footer="833" w:gutter="0"/>
          <w:pgBorders>
            <w:top w:val="none" w:sz="0" w:space="0"/>
            <w:left w:val="none" w:sz="0" w:space="0"/>
            <w:bottom w:val="none" w:sz="0" w:space="0"/>
            <w:right w:val="none" w:sz="0" w:space="0"/>
          </w:pgBorders>
          <w:pgNumType w:fmt="decimal"/>
          <w:cols w:space="720" w:num="1"/>
        </w:sectPr>
      </w:pPr>
    </w:p>
    <w:p>
      <w:pPr>
        <w:pStyle w:val="3"/>
        <w:spacing w:before="0" w:line="360" w:lineRule="auto"/>
        <w:jc w:val="center"/>
        <w:rPr>
          <w:rFonts w:hint="default" w:ascii="Times New Roman" w:hAnsi="Times New Roman" w:eastAsia="宋体" w:cs="Times New Roman"/>
          <w:b/>
          <w:bCs/>
        </w:rPr>
      </w:pPr>
      <w:bookmarkStart w:id="9" w:name="_Toc12127"/>
      <w:r>
        <w:rPr>
          <w:rFonts w:hint="default" w:ascii="Times New Roman" w:hAnsi="Times New Roman" w:eastAsia="宋体" w:cs="Times New Roman"/>
          <w:b/>
          <w:bCs/>
        </w:rPr>
        <w:t>六、结论</w:t>
      </w:r>
      <w:bookmarkEnd w:id="9"/>
    </w:p>
    <w:tbl>
      <w:tblPr>
        <w:tblStyle w:val="23"/>
        <w:tblW w:w="0" w:type="auto"/>
        <w:jc w:val="center"/>
        <w:tblBorders>
          <w:top w:val="single" w:color="auto" w:sz="6" w:space="0"/>
          <w:left w:val="single" w:color="auto" w:sz="6" w:space="0"/>
          <w:bottom w:val="single" w:color="auto" w:sz="6" w:space="0"/>
          <w:right w:val="single" w:color="auto" w:sz="6" w:space="0"/>
          <w:insideH w:val="single" w:color="auto" w:sz="4" w:space="0"/>
          <w:insideV w:val="none" w:color="auto" w:sz="0" w:space="0"/>
        </w:tblBorders>
        <w:tblLayout w:type="fixed"/>
        <w:tblCellMar>
          <w:top w:w="0" w:type="dxa"/>
          <w:left w:w="108" w:type="dxa"/>
          <w:bottom w:w="0" w:type="dxa"/>
          <w:right w:w="108" w:type="dxa"/>
        </w:tblCellMar>
      </w:tblPr>
      <w:tblGrid>
        <w:gridCol w:w="8865"/>
      </w:tblGrid>
      <w:tr>
        <w:tblPrEx>
          <w:tblBorders>
            <w:top w:val="single" w:color="auto" w:sz="6" w:space="0"/>
            <w:left w:val="single" w:color="auto" w:sz="6" w:space="0"/>
            <w:bottom w:val="single" w:color="auto" w:sz="6" w:space="0"/>
            <w:right w:val="single" w:color="auto" w:sz="6" w:space="0"/>
            <w:insideH w:val="single" w:color="auto" w:sz="4" w:space="0"/>
            <w:insideV w:val="none" w:color="auto" w:sz="0" w:space="0"/>
          </w:tblBorders>
          <w:tblCellMar>
            <w:top w:w="0" w:type="dxa"/>
            <w:left w:w="108" w:type="dxa"/>
            <w:bottom w:w="0" w:type="dxa"/>
            <w:right w:w="108" w:type="dxa"/>
          </w:tblCellMar>
        </w:tblPrEx>
        <w:trPr>
          <w:trHeight w:val="11991" w:hRule="atLeast"/>
          <w:jc w:val="center"/>
        </w:trPr>
        <w:tc>
          <w:tcPr>
            <w:tcW w:w="8865" w:type="dxa"/>
            <w:tcBorders>
              <w:tl2br w:val="nil"/>
              <w:tr2bl w:val="nil"/>
            </w:tcBorders>
            <w:noWrap w:val="0"/>
            <w:vAlign w:val="top"/>
          </w:tcPr>
          <w:p>
            <w:pPr>
              <w:spacing w:line="460" w:lineRule="exact"/>
              <w:ind w:firstLine="474" w:firstLineChars="200"/>
              <w:jc w:val="both"/>
              <w:rPr>
                <w:rFonts w:hint="default" w:ascii="Times New Roman" w:hAnsi="Times New Roman" w:cs="Times New Roman" w:eastAsiaTheme="minorEastAsia"/>
                <w:color w:val="000000" w:themeColor="text1"/>
                <w:spacing w:val="-2"/>
                <w:sz w:val="24"/>
                <w:lang w:val="en-US" w:eastAsia="zh-CN"/>
                <w14:textFill>
                  <w14:solidFill>
                    <w14:schemeClr w14:val="tx1"/>
                  </w14:solidFill>
                </w14:textFill>
              </w:rPr>
            </w:pPr>
            <w:r>
              <w:rPr>
                <w:rFonts w:hint="default" w:ascii="Times New Roman" w:hAnsi="Times New Roman" w:cs="Times New Roman" w:eastAsiaTheme="minorEastAsia"/>
                <w:b/>
                <w:bCs/>
                <w:color w:val="000000" w:themeColor="text1"/>
                <w:spacing w:val="-2"/>
                <w:sz w:val="24"/>
                <w:lang w:val="en-US" w:eastAsia="zh-CN"/>
                <w14:textFill>
                  <w14:solidFill>
                    <w14:schemeClr w14:val="tx1"/>
                  </w14:solidFill>
                </w14:textFill>
              </w:rPr>
              <w:t>一、结论</w:t>
            </w:r>
          </w:p>
          <w:p>
            <w:pPr>
              <w:spacing w:line="460" w:lineRule="exact"/>
              <w:ind w:firstLine="472" w:firstLineChars="200"/>
              <w:jc w:val="both"/>
              <w:rPr>
                <w:rFonts w:hint="default" w:ascii="Times New Roman" w:hAnsi="Times New Roman" w:cs="Times New Roman" w:eastAsiaTheme="minorEastAsia"/>
                <w:color w:val="000000" w:themeColor="text1"/>
                <w:spacing w:val="-2"/>
                <w:sz w:val="24"/>
                <w14:textFill>
                  <w14:solidFill>
                    <w14:schemeClr w14:val="tx1"/>
                  </w14:solidFill>
                </w14:textFill>
              </w:rPr>
            </w:pPr>
            <w:r>
              <w:rPr>
                <w:rFonts w:hint="default" w:ascii="Times New Roman" w:hAnsi="Times New Roman" w:cs="Times New Roman" w:eastAsiaTheme="minorEastAsia"/>
                <w:color w:val="000000" w:themeColor="text1"/>
                <w:spacing w:val="-2"/>
                <w:sz w:val="24"/>
                <w14:textFill>
                  <w14:solidFill>
                    <w14:schemeClr w14:val="tx1"/>
                  </w14:solidFill>
                </w14:textFill>
              </w:rPr>
              <w:t>总体而言，项目</w:t>
            </w:r>
            <w:r>
              <w:rPr>
                <w:rFonts w:hint="eastAsia" w:ascii="Times New Roman" w:hAnsi="Times New Roman" w:cs="Times New Roman" w:eastAsiaTheme="minorEastAsia"/>
                <w:color w:val="000000" w:themeColor="text1"/>
                <w:spacing w:val="-2"/>
                <w:sz w:val="24"/>
                <w:lang w:val="en-US" w:eastAsia="zh-CN"/>
                <w14:textFill>
                  <w14:solidFill>
                    <w14:schemeClr w14:val="tx1"/>
                  </w14:solidFill>
                </w14:textFill>
              </w:rPr>
              <w:t>租赁</w:t>
            </w:r>
            <w:r>
              <w:rPr>
                <w:rFonts w:hint="default" w:ascii="Times New Roman" w:hAnsi="Times New Roman" w:cs="Times New Roman" w:eastAsiaTheme="minorEastAsia"/>
                <w:color w:val="000000" w:themeColor="text1"/>
                <w:spacing w:val="-2"/>
                <w:sz w:val="24"/>
                <w14:textFill>
                  <w14:solidFill>
                    <w14:schemeClr w14:val="tx1"/>
                  </w14:solidFill>
                </w14:textFill>
              </w:rPr>
              <w:t>江苏省</w:t>
            </w:r>
            <w:r>
              <w:rPr>
                <w:rFonts w:hint="eastAsia" w:ascii="Times New Roman" w:hAnsi="Times New Roman" w:cs="Times New Roman" w:eastAsiaTheme="minorEastAsia"/>
                <w:color w:val="000000" w:themeColor="text1"/>
                <w:spacing w:val="-2"/>
                <w:sz w:val="24"/>
                <w:lang w:val="en-US" w:eastAsia="zh-CN"/>
                <w14:textFill>
                  <w14:solidFill>
                    <w14:schemeClr w14:val="tx1"/>
                  </w14:solidFill>
                </w14:textFill>
              </w:rPr>
              <w:t>连云港市经济技术</w:t>
            </w:r>
            <w:r>
              <w:rPr>
                <w:rFonts w:hint="default" w:ascii="Times New Roman" w:hAnsi="Times New Roman" w:cs="Times New Roman" w:eastAsiaTheme="minorEastAsia"/>
                <w:color w:val="000000" w:themeColor="text1"/>
                <w:spacing w:val="-2"/>
                <w:sz w:val="24"/>
                <w:lang w:val="en-US" w:eastAsia="zh-CN"/>
                <w14:textFill>
                  <w14:solidFill>
                    <w14:schemeClr w14:val="tx1"/>
                  </w14:solidFill>
                </w14:textFill>
              </w:rPr>
              <w:t>开发区</w:t>
            </w:r>
            <w:r>
              <w:rPr>
                <w:rFonts w:hint="default" w:ascii="Times New Roman" w:hAnsi="Times New Roman" w:cs="Times New Roman" w:eastAsiaTheme="minorEastAsia"/>
                <w:color w:val="000000" w:themeColor="text1"/>
                <w:spacing w:val="-2"/>
                <w:sz w:val="24"/>
                <w14:textFill>
                  <w14:solidFill>
                    <w14:schemeClr w14:val="tx1"/>
                  </w14:solidFill>
                </w14:textFill>
              </w:rPr>
              <w:t>现有</w:t>
            </w:r>
            <w:r>
              <w:rPr>
                <w:rFonts w:hint="eastAsia" w:ascii="Times New Roman" w:hAnsi="Times New Roman" w:cs="Times New Roman" w:eastAsiaTheme="minorEastAsia"/>
                <w:color w:val="000000" w:themeColor="text1"/>
                <w:spacing w:val="-2"/>
                <w:sz w:val="24"/>
                <w:lang w:val="en-US" w:eastAsia="zh-CN"/>
                <w14:textFill>
                  <w14:solidFill>
                    <w14:schemeClr w14:val="tx1"/>
                  </w14:solidFill>
                </w14:textFill>
              </w:rPr>
              <w:t>生产厂房</w:t>
            </w:r>
            <w:r>
              <w:rPr>
                <w:rFonts w:hint="default" w:ascii="Times New Roman" w:hAnsi="Times New Roman" w:cs="Times New Roman" w:eastAsiaTheme="minorEastAsia"/>
                <w:color w:val="000000" w:themeColor="text1"/>
                <w:spacing w:val="-2"/>
                <w:sz w:val="24"/>
                <w14:textFill>
                  <w14:solidFill>
                    <w14:schemeClr w14:val="tx1"/>
                  </w14:solidFill>
                </w14:textFill>
              </w:rPr>
              <w:t>，项目的建设符合国家和地方产业政策，符合“三线一单”要求以及其他相关环保政策要求；</w:t>
            </w:r>
            <w:r>
              <w:rPr>
                <w:rFonts w:hint="default" w:ascii="Times New Roman" w:hAnsi="Times New Roman" w:cs="Times New Roman" w:eastAsiaTheme="minorEastAsia"/>
                <w:color w:val="000000" w:themeColor="text1"/>
                <w:spacing w:val="-2"/>
                <w:sz w:val="24"/>
                <w:lang w:val="en-US" w:eastAsia="zh-CN"/>
                <w14:textFill>
                  <w14:solidFill>
                    <w14:schemeClr w14:val="tx1"/>
                  </w14:solidFill>
                </w14:textFill>
              </w:rPr>
              <w:t>项目建设地块不属于污染地块，</w:t>
            </w:r>
            <w:r>
              <w:rPr>
                <w:rFonts w:hint="default" w:ascii="Times New Roman" w:hAnsi="Times New Roman" w:cs="Times New Roman" w:eastAsiaTheme="minorEastAsia"/>
                <w:color w:val="000000" w:themeColor="text1"/>
                <w:spacing w:val="-2"/>
                <w:sz w:val="24"/>
                <w14:textFill>
                  <w14:solidFill>
                    <w14:schemeClr w14:val="tx1"/>
                  </w14:solidFill>
                </w14:textFill>
              </w:rPr>
              <w:t>拟采用的各项污染防治措施合理、有效，废气、</w:t>
            </w:r>
            <w:r>
              <w:rPr>
                <w:rFonts w:hint="default" w:ascii="Times New Roman" w:hAnsi="Times New Roman" w:cs="Times New Roman" w:eastAsiaTheme="minorEastAsia"/>
                <w:color w:val="000000" w:themeColor="text1"/>
                <w:spacing w:val="-2"/>
                <w:sz w:val="24"/>
                <w:lang w:val="en-US" w:eastAsia="zh-CN"/>
                <w14:textFill>
                  <w14:solidFill>
                    <w14:schemeClr w14:val="tx1"/>
                  </w14:solidFill>
                </w14:textFill>
              </w:rPr>
              <w:t>废水、</w:t>
            </w:r>
            <w:r>
              <w:rPr>
                <w:rFonts w:hint="default" w:ascii="Times New Roman" w:hAnsi="Times New Roman" w:cs="Times New Roman" w:eastAsiaTheme="minorEastAsia"/>
                <w:color w:val="000000" w:themeColor="text1"/>
                <w:spacing w:val="-2"/>
                <w:sz w:val="24"/>
                <w14:textFill>
                  <w14:solidFill>
                    <w14:schemeClr w14:val="tx1"/>
                  </w14:solidFill>
                </w14:textFill>
              </w:rPr>
              <w:t>噪声均可实现达标排放；固体废物可实现零排放；项目投产后，对周边环境污染影响不明显，能实现经济效益和社会效益的统一。在严格落实建设单位既定的污染防治措施和本报告中提出的各项环境保护对策前提下，从环保角度看，本次项目在拟建地建设是可行的。</w:t>
            </w:r>
          </w:p>
          <w:p>
            <w:pPr>
              <w:spacing w:line="460" w:lineRule="exact"/>
              <w:ind w:firstLine="472" w:firstLineChars="200"/>
              <w:jc w:val="both"/>
              <w:rPr>
                <w:rFonts w:hint="default" w:ascii="Times New Roman" w:hAnsi="Times New Roman" w:cs="Times New Roman" w:eastAsiaTheme="minorEastAsia"/>
                <w:color w:val="000000" w:themeColor="text1"/>
                <w:spacing w:val="-2"/>
                <w:sz w:val="24"/>
                <w14:textFill>
                  <w14:solidFill>
                    <w14:schemeClr w14:val="tx1"/>
                  </w14:solidFill>
                </w14:textFill>
              </w:rPr>
            </w:pPr>
            <w:r>
              <w:rPr>
                <w:rFonts w:hint="default" w:ascii="Times New Roman" w:hAnsi="Times New Roman" w:cs="Times New Roman" w:eastAsiaTheme="minorEastAsia"/>
                <w:color w:val="000000" w:themeColor="text1"/>
                <w:spacing w:val="-2"/>
                <w:sz w:val="24"/>
                <w:lang w:val="en-US" w:eastAsia="zh-CN"/>
                <w14:textFill>
                  <w14:solidFill>
                    <w14:schemeClr w14:val="tx1"/>
                  </w14:solidFill>
                </w14:textFill>
              </w:rPr>
              <w:t xml:space="preserve">说明：上述评价结果是在建设单位提供的有关资料基础上得出的，建设单位对所提供资料真实性负责。评价结论仅对以上的建设地点、工程方案、建设规模负责。若项目的建设地点、工程方案、建设规模发生大的变化时，应另行评价。 </w:t>
            </w:r>
          </w:p>
          <w:p>
            <w:pPr>
              <w:spacing w:line="460" w:lineRule="exact"/>
              <w:ind w:firstLine="474" w:firstLineChars="200"/>
              <w:jc w:val="both"/>
              <w:rPr>
                <w:rFonts w:hint="default" w:ascii="Times New Roman" w:hAnsi="Times New Roman" w:cs="Times New Roman" w:eastAsiaTheme="minorEastAsia"/>
                <w:color w:val="000000" w:themeColor="text1"/>
                <w:spacing w:val="-2"/>
                <w:sz w:val="24"/>
                <w14:textFill>
                  <w14:solidFill>
                    <w14:schemeClr w14:val="tx1"/>
                  </w14:solidFill>
                </w14:textFill>
              </w:rPr>
            </w:pPr>
            <w:r>
              <w:rPr>
                <w:rFonts w:hint="default" w:ascii="Times New Roman" w:hAnsi="Times New Roman" w:cs="Times New Roman" w:eastAsiaTheme="minorEastAsia"/>
                <w:b/>
                <w:bCs/>
                <w:color w:val="000000" w:themeColor="text1"/>
                <w:spacing w:val="-2"/>
                <w:sz w:val="24"/>
                <w:lang w:val="en-US" w:eastAsia="zh-CN"/>
                <w14:textFill>
                  <w14:solidFill>
                    <w14:schemeClr w14:val="tx1"/>
                  </w14:solidFill>
                </w14:textFill>
              </w:rPr>
              <w:t>二、建议</w:t>
            </w:r>
            <w:r>
              <w:rPr>
                <w:rFonts w:hint="default" w:ascii="Times New Roman" w:hAnsi="Times New Roman" w:cs="Times New Roman" w:eastAsiaTheme="minorEastAsia"/>
                <w:color w:val="000000" w:themeColor="text1"/>
                <w:spacing w:val="-2"/>
                <w:sz w:val="24"/>
                <w:lang w:val="en-US" w:eastAsia="zh-CN"/>
                <w14:textFill>
                  <w14:solidFill>
                    <w14:schemeClr w14:val="tx1"/>
                  </w14:solidFill>
                </w14:textFill>
              </w:rPr>
              <w:t xml:space="preserve"> </w:t>
            </w:r>
          </w:p>
          <w:p>
            <w:pPr>
              <w:spacing w:line="460" w:lineRule="exact"/>
              <w:ind w:firstLine="472" w:firstLineChars="200"/>
              <w:jc w:val="both"/>
              <w:rPr>
                <w:rFonts w:hint="default" w:ascii="Times New Roman" w:hAnsi="Times New Roman" w:cs="Times New Roman" w:eastAsiaTheme="minorEastAsia"/>
                <w:color w:val="000000" w:themeColor="text1"/>
                <w:spacing w:val="-2"/>
                <w:sz w:val="24"/>
                <w14:textFill>
                  <w14:solidFill>
                    <w14:schemeClr w14:val="tx1"/>
                  </w14:solidFill>
                </w14:textFill>
              </w:rPr>
            </w:pPr>
            <w:r>
              <w:rPr>
                <w:rFonts w:hint="default" w:ascii="Times New Roman" w:hAnsi="Times New Roman" w:cs="Times New Roman" w:eastAsiaTheme="minorEastAsia"/>
                <w:color w:val="000000" w:themeColor="text1"/>
                <w:spacing w:val="-2"/>
                <w:sz w:val="24"/>
                <w:lang w:val="en-US" w:eastAsia="zh-CN"/>
                <w14:textFill>
                  <w14:solidFill>
                    <w14:schemeClr w14:val="tx1"/>
                  </w14:solidFill>
                </w14:textFill>
              </w:rPr>
              <w:t xml:space="preserve">1、加强厂区绿化，以美化工作环境，同时起到隔声、降噪及净化空气的作用。 </w:t>
            </w:r>
          </w:p>
          <w:p>
            <w:pPr>
              <w:spacing w:line="460" w:lineRule="exact"/>
              <w:ind w:firstLine="472" w:firstLineChars="200"/>
              <w:jc w:val="both"/>
              <w:rPr>
                <w:rFonts w:hint="default" w:ascii="Times New Roman" w:hAnsi="Times New Roman" w:cs="Times New Roman" w:eastAsiaTheme="minorEastAsia"/>
                <w:color w:val="000000" w:themeColor="text1"/>
                <w:spacing w:val="-2"/>
                <w:sz w:val="24"/>
                <w14:textFill>
                  <w14:solidFill>
                    <w14:schemeClr w14:val="tx1"/>
                  </w14:solidFill>
                </w14:textFill>
              </w:rPr>
            </w:pPr>
            <w:r>
              <w:rPr>
                <w:rFonts w:hint="default" w:ascii="Times New Roman" w:hAnsi="Times New Roman" w:cs="Times New Roman" w:eastAsiaTheme="minorEastAsia"/>
                <w:color w:val="000000" w:themeColor="text1"/>
                <w:spacing w:val="-2"/>
                <w:sz w:val="24"/>
                <w:lang w:val="en-US" w:eastAsia="zh-CN"/>
                <w14:textFill>
                  <w14:solidFill>
                    <w14:schemeClr w14:val="tx1"/>
                  </w14:solidFill>
                </w14:textFill>
              </w:rPr>
              <w:t xml:space="preserve">2、落实各项安全防范措施，杜绝安全事故的发生。 </w:t>
            </w:r>
          </w:p>
          <w:p>
            <w:pPr>
              <w:spacing w:line="460" w:lineRule="exact"/>
              <w:ind w:firstLine="472" w:firstLineChars="200"/>
              <w:jc w:val="both"/>
              <w:rPr>
                <w:rFonts w:hint="default" w:ascii="Times New Roman" w:hAnsi="Times New Roman" w:cs="Times New Roman" w:eastAsiaTheme="minorEastAsia"/>
                <w:color w:val="000000" w:themeColor="text1"/>
                <w:spacing w:val="-2"/>
                <w:sz w:val="24"/>
                <w14:textFill>
                  <w14:solidFill>
                    <w14:schemeClr w14:val="tx1"/>
                  </w14:solidFill>
                </w14:textFill>
              </w:rPr>
            </w:pPr>
            <w:r>
              <w:rPr>
                <w:rFonts w:hint="default" w:ascii="Times New Roman" w:hAnsi="Times New Roman" w:cs="Times New Roman" w:eastAsiaTheme="minorEastAsia"/>
                <w:color w:val="000000" w:themeColor="text1"/>
                <w:spacing w:val="-2"/>
                <w:sz w:val="24"/>
                <w:lang w:val="en-US" w:eastAsia="zh-CN"/>
                <w14:textFill>
                  <w14:solidFill>
                    <w14:schemeClr w14:val="tx1"/>
                  </w14:solidFill>
                </w14:textFill>
              </w:rPr>
              <w:t xml:space="preserve">3、加强对职工的环境宣传，增加职工的环保意识，减少对资源的浪费。 </w:t>
            </w:r>
          </w:p>
          <w:p>
            <w:pPr>
              <w:spacing w:line="460" w:lineRule="exact"/>
              <w:ind w:firstLine="472" w:firstLineChars="200"/>
              <w:jc w:val="both"/>
              <w:rPr>
                <w:rFonts w:hint="default" w:ascii="Times New Roman" w:hAnsi="Times New Roman" w:cs="Times New Roman" w:eastAsiaTheme="minorEastAsia"/>
                <w:color w:val="000000" w:themeColor="text1"/>
                <w:spacing w:val="-2"/>
                <w:sz w:val="24"/>
                <w14:textFill>
                  <w14:solidFill>
                    <w14:schemeClr w14:val="tx1"/>
                  </w14:solidFill>
                </w14:textFill>
              </w:rPr>
            </w:pPr>
            <w:r>
              <w:rPr>
                <w:rFonts w:hint="default" w:ascii="Times New Roman" w:hAnsi="Times New Roman" w:cs="Times New Roman" w:eastAsiaTheme="minorEastAsia"/>
                <w:color w:val="000000" w:themeColor="text1"/>
                <w:spacing w:val="-2"/>
                <w:sz w:val="24"/>
                <w:lang w:val="en-US" w:eastAsia="zh-CN"/>
                <w14:textFill>
                  <w14:solidFill>
                    <w14:schemeClr w14:val="tx1"/>
                  </w14:solidFill>
                </w14:textFill>
              </w:rPr>
              <w:t>4、按照环保相关法规和本环评的要求，平时加强管理，保证装置的正常运营，严格实行“三同时”制度，即污染治理设施要同主体项目同时设计、同时建设、同时投产使用。</w:t>
            </w:r>
          </w:p>
          <w:p>
            <w:pPr>
              <w:pStyle w:val="2"/>
              <w:rPr>
                <w:rFonts w:hint="default" w:ascii="Times New Roman" w:hAnsi="Times New Roman" w:cs="Times New Roman"/>
              </w:rPr>
            </w:pPr>
          </w:p>
        </w:tc>
      </w:tr>
    </w:tbl>
    <w:p>
      <w:pPr>
        <w:spacing w:line="200" w:lineRule="atLeast"/>
        <w:ind w:left="119"/>
        <w:rPr>
          <w:rFonts w:hint="default" w:ascii="Times New Roman" w:hAnsi="Times New Roman" w:eastAsia="黑体" w:cs="Times New Roman"/>
          <w:sz w:val="20"/>
          <w:szCs w:val="20"/>
        </w:rPr>
      </w:pPr>
    </w:p>
    <w:p>
      <w:pPr>
        <w:spacing w:line="200" w:lineRule="atLeast"/>
        <w:rPr>
          <w:rFonts w:hint="default" w:ascii="Times New Roman" w:hAnsi="Times New Roman" w:eastAsia="黑体" w:cs="Times New Roman"/>
          <w:sz w:val="20"/>
          <w:szCs w:val="20"/>
        </w:rPr>
        <w:sectPr>
          <w:pgSz w:w="11910" w:h="16840"/>
          <w:pgMar w:top="1440" w:right="1440" w:bottom="1440" w:left="1440" w:header="0" w:footer="833" w:gutter="0"/>
          <w:pgBorders>
            <w:top w:val="none" w:sz="0" w:space="0"/>
            <w:left w:val="none" w:sz="0" w:space="0"/>
            <w:bottom w:val="none" w:sz="0" w:space="0"/>
            <w:right w:val="none" w:sz="0" w:space="0"/>
          </w:pgBorders>
          <w:pgNumType w:fmt="decimal"/>
          <w:cols w:space="720" w:num="1"/>
        </w:sectPr>
      </w:pPr>
    </w:p>
    <w:p>
      <w:pPr>
        <w:pStyle w:val="3"/>
        <w:spacing w:before="0" w:line="360" w:lineRule="auto"/>
        <w:jc w:val="center"/>
        <w:rPr>
          <w:rFonts w:hint="default" w:ascii="Times New Roman" w:hAnsi="Times New Roman" w:eastAsia="宋体" w:cs="Times New Roman"/>
          <w:b/>
          <w:bCs/>
          <w:lang w:eastAsia="zh-CN"/>
        </w:rPr>
      </w:pPr>
      <w:bookmarkStart w:id="10" w:name="_Toc10341"/>
      <w:r>
        <w:rPr>
          <w:rFonts w:hint="default" w:ascii="Times New Roman" w:hAnsi="Times New Roman" w:eastAsia="宋体" w:cs="Times New Roman"/>
          <w:b/>
          <w:bCs/>
          <w:lang w:eastAsia="zh-CN"/>
        </w:rPr>
        <w:t>建设项目污染物排放量汇总表</w:t>
      </w:r>
      <w:bookmarkEnd w:id="10"/>
    </w:p>
    <w:p>
      <w:pPr>
        <w:spacing w:before="6"/>
        <w:rPr>
          <w:rFonts w:hint="default" w:ascii="Times New Roman" w:hAnsi="Times New Roman" w:eastAsia="微软雅黑" w:cs="Times New Roman"/>
          <w:sz w:val="4"/>
          <w:szCs w:val="4"/>
          <w:lang w:eastAsia="zh-CN"/>
        </w:rPr>
      </w:pPr>
      <w:r>
        <w:rPr>
          <w:rFonts w:hint="default" w:ascii="Times New Roman" w:hAnsi="Times New Roman" w:cs="Times New Roman"/>
          <w:sz w:val="4"/>
        </w:rPr>
        <mc:AlternateContent>
          <mc:Choice Requires="wps">
            <w:drawing>
              <wp:anchor distT="0" distB="0" distL="114300" distR="114300" simplePos="0" relativeHeight="251665408" behindDoc="0" locked="0" layoutInCell="1" allowOverlap="1">
                <wp:simplePos x="0" y="0"/>
                <wp:positionH relativeFrom="column">
                  <wp:posOffset>14605</wp:posOffset>
                </wp:positionH>
                <wp:positionV relativeFrom="paragraph">
                  <wp:posOffset>27940</wp:posOffset>
                </wp:positionV>
                <wp:extent cx="811530" cy="550545"/>
                <wp:effectExtent l="2540" t="3810" r="11430" b="4445"/>
                <wp:wrapNone/>
                <wp:docPr id="18" name="直接连接符 18"/>
                <wp:cNvGraphicFramePr/>
                <a:graphic xmlns:a="http://schemas.openxmlformats.org/drawingml/2006/main">
                  <a:graphicData uri="http://schemas.microsoft.com/office/word/2010/wordprocessingShape">
                    <wps:wsp>
                      <wps:cNvCnPr/>
                      <wps:spPr>
                        <a:xfrm>
                          <a:off x="916305" y="1096645"/>
                          <a:ext cx="811530" cy="550545"/>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15pt;margin-top:2.2pt;height:43.35pt;width:63.9pt;z-index:251665408;mso-width-relative:page;mso-height-relative:page;" filled="f" stroked="t" coordsize="21600,21600" o:gfxdata="UEsDBAoAAAAAAIdO4kAAAAAAAAAAAAAAAAAEAAAAZHJzL1BLAwQUAAAACACHTuJAlKZDm9YAAAAG&#10;AQAADwAAAGRycy9kb3ducmV2LnhtbE2OwU7DMBBE70j8g7VI3KjttqogZFMpERx6AIkWCbi58ZJE&#10;xOsQO235e9wTHEczevPy9cn14kBj6Dwj6JkCQVx723GD8Lp7vLkFEaJha3rPhPBDAdbF5UVuMuuP&#10;/EKHbWxEgnDIDEIb45BJGeqWnAkzPxCn7tOPzsQUx0ba0RwT3PVyrtRKOtNxemjNQFVL9dd2cggx&#10;vL0/x2nzXa7Kp4p25Uf1IDeI11da3YOIdIp/YzjrJ3UoktPeT2yD6BHmizREWC5BnNuF0iD2CHda&#10;gyxy+V+/+AVQSwMEFAAAAAgAh07iQPkmtXABAgAA5AMAAA4AAABkcnMvZTJvRG9jLnhtbK1TS5LT&#10;MBDdU8UdVNoT2xMcJq44s5jUsOGTKuAAiizbqtKv1Jo4uQQXoIodrFiy5zYMx6AlZWZg2MwCL/Tp&#10;br3u97q9ujhoRfbCg7SmpdWspEQYbjtphpZ+eH/17JwSCMx0TFkjWnoUQC/WT5+sJteIMzta1QlP&#10;EMRAM7mWjiG4piiAj0IzmFknDDp76zULePVD0Xk2IbpWxVlZLorJ+s55ywUAWjfZSU+I/jGAtu8l&#10;FxvLr7UwIaN6oVhASjBKB3Sdqu17wcPbvgcRiGopMg1pxSR43sW1WK9YM3jmRslPJbDHlPCAk2bS&#10;YNI7qA0LjFx7+Q+UltxbsH2YcauLTCQpgiyq8oE270bmROKCUoO7Ex3+Hyx/s996IjucBOy7YRo7&#10;fvPp+8+PX379+IzrzbevBD0o0+SgwehLs/WnG7itj5wPvddxRzbk0NJltZiXNSVHxCyXi8XzOqss&#10;DoFw9J9XVT1H/TkG1HVZZ39xj+M8hJfCahIPLVXSRBFYw/avIGBuDL0NiWZjr6RSqZHKkKml8+oF&#10;pucMh7PHocCjdkgQzEAJUwNOPQ8+IYJVsouvIw74YXepPNmzOCvpy0Ej60S2Lms0ZzbAwmvbZXNV&#10;3tqxtBNMKvMv/FjzhsGY3yRXhMInyuAW9c2KxtPOdsckdLJj81PgaVDjdP15T6/vf871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SmQ5vWAAAABgEAAA8AAAAAAAAAAQAgAAAAIgAAAGRycy9kb3du&#10;cmV2LnhtbFBLAQIUABQAAAAIAIdO4kD5JrVwAQIAAOQDAAAOAAAAAAAAAAEAIAAAACUBAABkcnMv&#10;ZTJvRG9jLnhtbFBLBQYAAAAABgAGAFkBAACYBQAAAAA=&#10;">
                <v:fill on="f" focussize="0,0"/>
                <v:stroke weight="0.25pt" color="#000000 [3200]" joinstyle="round"/>
                <v:imagedata o:title=""/>
                <o:lock v:ext="edit" aspectratio="f"/>
              </v:line>
            </w:pict>
          </mc:Fallback>
        </mc:AlternateContent>
      </w:r>
    </w:p>
    <w:tbl>
      <w:tblPr>
        <w:tblStyle w:val="23"/>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87"/>
        <w:gridCol w:w="1418"/>
        <w:gridCol w:w="1700"/>
        <w:gridCol w:w="1277"/>
        <w:gridCol w:w="1702"/>
        <w:gridCol w:w="1558"/>
        <w:gridCol w:w="1762"/>
        <w:gridCol w:w="1820"/>
        <w:gridCol w:w="12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87" w:type="dxa"/>
            <w:tcBorders>
              <w:tl2br w:val="nil"/>
              <w:tr2bl w:val="nil"/>
            </w:tcBorders>
            <w:vAlign w:val="center"/>
          </w:tcPr>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 xml:space="preserve">               项目</w:t>
            </w:r>
          </w:p>
          <w:p>
            <w:pPr>
              <w:jc w:val="center"/>
              <w:rPr>
                <w:rFonts w:hint="default" w:ascii="Times New Roman" w:hAnsi="Times New Roman" w:eastAsia="宋体" w:cs="Times New Roman"/>
                <w:b/>
                <w:bCs/>
                <w:sz w:val="21"/>
                <w:szCs w:val="21"/>
                <w:lang w:eastAsia="zh-CN"/>
              </w:rPr>
            </w:pPr>
          </w:p>
          <w:p>
            <w:pPr>
              <w:jc w:val="both"/>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分类</w:t>
            </w:r>
          </w:p>
        </w:tc>
        <w:tc>
          <w:tcPr>
            <w:tcW w:w="1418" w:type="dxa"/>
            <w:tcBorders>
              <w:tl2br w:val="nil"/>
              <w:tr2bl w:val="nil"/>
            </w:tcBorders>
            <w:vAlign w:val="center"/>
          </w:tcPr>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 xml:space="preserve">污染物名称 </w:t>
            </w:r>
          </w:p>
        </w:tc>
        <w:tc>
          <w:tcPr>
            <w:tcW w:w="1700" w:type="dxa"/>
            <w:tcBorders>
              <w:tl2br w:val="nil"/>
              <w:tr2bl w:val="nil"/>
            </w:tcBorders>
            <w:vAlign w:val="center"/>
          </w:tcPr>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现有工程</w:t>
            </w:r>
          </w:p>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排放量（固体废物 产生量）①</w:t>
            </w:r>
          </w:p>
        </w:tc>
        <w:tc>
          <w:tcPr>
            <w:tcW w:w="1277" w:type="dxa"/>
            <w:tcBorders>
              <w:tl2br w:val="nil"/>
              <w:tr2bl w:val="nil"/>
            </w:tcBorders>
            <w:vAlign w:val="center"/>
          </w:tcPr>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现有工程</w:t>
            </w:r>
          </w:p>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 xml:space="preserve">许可排放量② </w:t>
            </w:r>
          </w:p>
        </w:tc>
        <w:tc>
          <w:tcPr>
            <w:tcW w:w="1702" w:type="dxa"/>
            <w:tcBorders>
              <w:tl2br w:val="nil"/>
              <w:tr2bl w:val="nil"/>
            </w:tcBorders>
            <w:vAlign w:val="center"/>
          </w:tcPr>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在建工程</w:t>
            </w:r>
          </w:p>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排放量（固体废物 产生量）③</w:t>
            </w:r>
          </w:p>
        </w:tc>
        <w:tc>
          <w:tcPr>
            <w:tcW w:w="1558" w:type="dxa"/>
            <w:tcBorders>
              <w:tl2br w:val="nil"/>
              <w:tr2bl w:val="nil"/>
            </w:tcBorders>
            <w:vAlign w:val="center"/>
          </w:tcPr>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本项目</w:t>
            </w:r>
          </w:p>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排放量（固体废物 产生量）④</w:t>
            </w:r>
          </w:p>
        </w:tc>
        <w:tc>
          <w:tcPr>
            <w:tcW w:w="1762" w:type="dxa"/>
            <w:tcBorders>
              <w:tl2br w:val="nil"/>
              <w:tr2bl w:val="nil"/>
            </w:tcBorders>
            <w:vAlign w:val="center"/>
          </w:tcPr>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以新带老削减量</w:t>
            </w:r>
          </w:p>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（新建项目不填）⑤</w:t>
            </w:r>
          </w:p>
        </w:tc>
        <w:tc>
          <w:tcPr>
            <w:tcW w:w="1820" w:type="dxa"/>
            <w:tcBorders>
              <w:tl2br w:val="nil"/>
              <w:tr2bl w:val="nil"/>
            </w:tcBorders>
            <w:vAlign w:val="center"/>
          </w:tcPr>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本项目建成后</w:t>
            </w:r>
          </w:p>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全厂排放量（固体废物 产生量）⑥</w:t>
            </w:r>
          </w:p>
        </w:tc>
        <w:tc>
          <w:tcPr>
            <w:tcW w:w="1231" w:type="dxa"/>
            <w:tcBorders>
              <w:tl2br w:val="nil"/>
              <w:tr2bl w:val="nil"/>
            </w:tcBorders>
            <w:vAlign w:val="center"/>
          </w:tcPr>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变化量</w:t>
            </w:r>
          </w:p>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87" w:type="dxa"/>
            <w:tcBorders>
              <w:tl2br w:val="nil"/>
              <w:tr2bl w:val="nil"/>
            </w:tcBorders>
            <w:vAlign w:val="center"/>
          </w:tcPr>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废气</w:t>
            </w:r>
          </w:p>
        </w:tc>
        <w:tc>
          <w:tcPr>
            <w:tcW w:w="1418" w:type="dxa"/>
            <w:tcBorders>
              <w:tl2br w:val="nil"/>
              <w:tr2bl w:val="nil"/>
            </w:tcBorders>
            <w:vAlign w:val="center"/>
          </w:tcPr>
          <w:p>
            <w:pPr>
              <w:widowControl/>
              <w:jc w:val="center"/>
              <w:textAlignment w:val="center"/>
              <w:rPr>
                <w:rFonts w:hint="default" w:ascii="Times New Roman" w:hAnsi="Times New Roman" w:eastAsia="宋体" w:cs="Times New Roman"/>
                <w:sz w:val="21"/>
                <w:szCs w:val="21"/>
                <w:lang w:eastAsia="zh-CN"/>
              </w:rPr>
            </w:pPr>
            <w:r>
              <w:rPr>
                <w:rFonts w:hint="eastAsia" w:ascii="Times New Roman" w:hAnsi="Times New Roman" w:cs="Times New Roman"/>
                <w:sz w:val="21"/>
                <w:szCs w:val="21"/>
                <w:lang w:val="en-US" w:eastAsia="zh-CN" w:bidi="ar"/>
              </w:rPr>
              <w:t>非甲烷总烃</w:t>
            </w:r>
          </w:p>
        </w:tc>
        <w:tc>
          <w:tcPr>
            <w:tcW w:w="1700"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Cs/>
                <w:sz w:val="21"/>
                <w:szCs w:val="21"/>
                <w:lang w:val="en-US" w:eastAsia="zh-CN"/>
              </w:rPr>
              <w:t>0.</w:t>
            </w:r>
            <w:r>
              <w:rPr>
                <w:rFonts w:hint="eastAsia" w:ascii="Times New Roman" w:hAnsi="Times New Roman" w:cs="Times New Roman"/>
                <w:bCs/>
                <w:sz w:val="21"/>
                <w:szCs w:val="21"/>
                <w:lang w:val="en-US" w:eastAsia="zh-CN"/>
              </w:rPr>
              <w:t>063</w:t>
            </w:r>
          </w:p>
        </w:tc>
        <w:tc>
          <w:tcPr>
            <w:tcW w:w="1277"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Cs/>
                <w:sz w:val="21"/>
                <w:szCs w:val="21"/>
                <w:lang w:val="en-US" w:eastAsia="zh-CN"/>
              </w:rPr>
              <w:t>0.</w:t>
            </w:r>
            <w:r>
              <w:rPr>
                <w:rFonts w:hint="eastAsia" w:ascii="Times New Roman" w:hAnsi="Times New Roman" w:cs="Times New Roman"/>
                <w:bCs/>
                <w:sz w:val="21"/>
                <w:szCs w:val="21"/>
                <w:lang w:val="en-US" w:eastAsia="zh-CN"/>
              </w:rPr>
              <w:t>063</w:t>
            </w:r>
          </w:p>
        </w:tc>
        <w:tc>
          <w:tcPr>
            <w:tcW w:w="1702"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w:t>
            </w:r>
          </w:p>
        </w:tc>
        <w:tc>
          <w:tcPr>
            <w:tcW w:w="1558"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b w:val="0"/>
                <w:bCs/>
                <w:sz w:val="21"/>
                <w:szCs w:val="21"/>
                <w:lang w:val="en-US" w:eastAsia="zh-CN"/>
              </w:rPr>
              <w:t>0.094</w:t>
            </w:r>
          </w:p>
        </w:tc>
        <w:tc>
          <w:tcPr>
            <w:tcW w:w="1762"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eastAsia" w:ascii="Times New Roman" w:hAnsi="Times New Roman" w:cs="Times New Roman"/>
                <w:b w:val="0"/>
                <w:bCs/>
                <w:sz w:val="21"/>
                <w:szCs w:val="21"/>
                <w:lang w:val="en-US" w:eastAsia="zh-CN"/>
              </w:rPr>
              <w:t>0</w:t>
            </w:r>
          </w:p>
        </w:tc>
        <w:tc>
          <w:tcPr>
            <w:tcW w:w="1820"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b w:val="0"/>
                <w:bCs/>
                <w:sz w:val="21"/>
                <w:szCs w:val="21"/>
                <w:lang w:val="en-US" w:eastAsia="zh-CN"/>
              </w:rPr>
              <w:t>0.157</w:t>
            </w:r>
          </w:p>
        </w:tc>
        <w:tc>
          <w:tcPr>
            <w:tcW w:w="1231"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2"/>
                <w:sz w:val="21"/>
                <w:szCs w:val="21"/>
                <w:lang w:val="en-US" w:eastAsia="zh-CN"/>
              </w:rPr>
              <w:t>+</w:t>
            </w:r>
            <w:r>
              <w:rPr>
                <w:rFonts w:hint="eastAsia" w:ascii="Times New Roman" w:hAnsi="Times New Roman" w:cs="Times New Roman"/>
                <w:kern w:val="2"/>
                <w:sz w:val="21"/>
                <w:szCs w:val="21"/>
                <w:lang w:val="en-US" w:eastAsia="zh-CN"/>
              </w:rPr>
              <w:t>0.094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87" w:type="dxa"/>
            <w:vMerge w:val="restart"/>
            <w:tcBorders>
              <w:tl2br w:val="nil"/>
              <w:tr2bl w:val="nil"/>
            </w:tcBorders>
            <w:vAlign w:val="center"/>
          </w:tcPr>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废水</w:t>
            </w:r>
          </w:p>
        </w:tc>
        <w:tc>
          <w:tcPr>
            <w:tcW w:w="1418" w:type="dxa"/>
            <w:tcBorders>
              <w:tl2br w:val="nil"/>
              <w:tr2bl w:val="nil"/>
            </w:tcBorders>
            <w:vAlign w:val="center"/>
          </w:tcPr>
          <w:p>
            <w:pPr>
              <w:snapToGrid w:val="0"/>
              <w:jc w:val="center"/>
              <w:rPr>
                <w:rFonts w:hint="default" w:ascii="Times New Roman" w:hAnsi="Times New Roman" w:eastAsia="宋体" w:cs="Times New Roman"/>
                <w:snapToGrid w:val="0"/>
                <w:kern w:val="21"/>
                <w:sz w:val="21"/>
                <w:szCs w:val="21"/>
                <w:highlight w:val="none"/>
                <w:lang w:eastAsia="zh-CN"/>
              </w:rPr>
            </w:pPr>
            <w:r>
              <w:rPr>
                <w:rFonts w:hint="default" w:ascii="Times New Roman" w:hAnsi="Times New Roman" w:eastAsia="宋体" w:cs="Times New Roman"/>
                <w:sz w:val="21"/>
                <w:szCs w:val="21"/>
              </w:rPr>
              <w:t>废水量</w:t>
            </w:r>
            <w:r>
              <w:rPr>
                <w:rFonts w:hint="default" w:ascii="Times New Roman" w:hAnsi="Times New Roman" w:eastAsia="宋体" w:cs="Times New Roman"/>
                <w:sz w:val="21"/>
                <w:szCs w:val="21"/>
                <w:lang w:eastAsia="zh-CN"/>
              </w:rPr>
              <w:t>（m</w:t>
            </w:r>
            <w:r>
              <w:rPr>
                <w:rFonts w:hint="default" w:ascii="Times New Roman" w:hAnsi="Times New Roman" w:eastAsia="宋体" w:cs="Times New Roman"/>
                <w:sz w:val="21"/>
                <w:szCs w:val="21"/>
                <w:vertAlign w:val="superscript"/>
                <w:lang w:eastAsia="zh-CN"/>
              </w:rPr>
              <w:t>3</w:t>
            </w:r>
            <w:r>
              <w:rPr>
                <w:rFonts w:hint="default" w:ascii="Times New Roman" w:hAnsi="Times New Roman" w:eastAsia="宋体" w:cs="Times New Roman"/>
                <w:sz w:val="21"/>
                <w:szCs w:val="21"/>
                <w:lang w:eastAsia="zh-CN"/>
              </w:rPr>
              <w:t>/a）</w:t>
            </w:r>
          </w:p>
        </w:tc>
        <w:tc>
          <w:tcPr>
            <w:tcW w:w="170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360</w:t>
            </w:r>
          </w:p>
        </w:tc>
        <w:tc>
          <w:tcPr>
            <w:tcW w:w="1277"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360</w:t>
            </w:r>
          </w:p>
        </w:tc>
        <w:tc>
          <w:tcPr>
            <w:tcW w:w="1702"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1558"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0</w:t>
            </w:r>
          </w:p>
        </w:tc>
        <w:tc>
          <w:tcPr>
            <w:tcW w:w="1762"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 xml:space="preserve">  0</w:t>
            </w:r>
          </w:p>
        </w:tc>
        <w:tc>
          <w:tcPr>
            <w:tcW w:w="182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360</w:t>
            </w:r>
          </w:p>
        </w:tc>
        <w:tc>
          <w:tcPr>
            <w:tcW w:w="1231" w:type="dxa"/>
            <w:tcBorders>
              <w:tl2br w:val="nil"/>
              <w:tr2bl w:val="nil"/>
            </w:tcBorders>
            <w:vAlign w:val="center"/>
          </w:tcPr>
          <w:p>
            <w:pPr>
              <w:snapToGrid w:val="0"/>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87" w:type="dxa"/>
            <w:vMerge w:val="continue"/>
            <w:tcBorders>
              <w:tl2br w:val="nil"/>
              <w:tr2bl w:val="nil"/>
            </w:tcBorders>
            <w:vAlign w:val="center"/>
          </w:tcPr>
          <w:p>
            <w:pPr>
              <w:jc w:val="center"/>
              <w:rPr>
                <w:rFonts w:hint="default" w:ascii="Times New Roman" w:hAnsi="Times New Roman" w:eastAsia="宋体" w:cs="Times New Roman"/>
                <w:b/>
                <w:bCs/>
                <w:sz w:val="21"/>
                <w:szCs w:val="21"/>
                <w:lang w:eastAsia="zh-CN"/>
              </w:rPr>
            </w:pPr>
          </w:p>
        </w:tc>
        <w:tc>
          <w:tcPr>
            <w:tcW w:w="1418" w:type="dxa"/>
            <w:tcBorders>
              <w:tl2br w:val="nil"/>
              <w:tr2bl w:val="nil"/>
            </w:tcBorders>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COD</w:t>
            </w:r>
          </w:p>
        </w:tc>
        <w:tc>
          <w:tcPr>
            <w:tcW w:w="170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0.0</w:t>
            </w:r>
            <w:r>
              <w:rPr>
                <w:rFonts w:hint="eastAsia" w:ascii="Times New Roman" w:hAnsi="Times New Roman" w:eastAsia="宋体" w:cs="Times New Roman"/>
                <w:bCs/>
                <w:sz w:val="21"/>
                <w:szCs w:val="21"/>
                <w:lang w:val="en-US" w:eastAsia="zh-CN"/>
              </w:rPr>
              <w:t>18</w:t>
            </w:r>
          </w:p>
        </w:tc>
        <w:tc>
          <w:tcPr>
            <w:tcW w:w="1277"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0.0</w:t>
            </w:r>
            <w:r>
              <w:rPr>
                <w:rFonts w:hint="eastAsia" w:ascii="Times New Roman" w:hAnsi="Times New Roman" w:eastAsia="宋体" w:cs="Times New Roman"/>
                <w:bCs/>
                <w:sz w:val="21"/>
                <w:szCs w:val="21"/>
                <w:lang w:val="en-US" w:eastAsia="zh-CN"/>
              </w:rPr>
              <w:t>18</w:t>
            </w:r>
          </w:p>
        </w:tc>
        <w:tc>
          <w:tcPr>
            <w:tcW w:w="1702"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1558"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0</w:t>
            </w:r>
          </w:p>
        </w:tc>
        <w:tc>
          <w:tcPr>
            <w:tcW w:w="1762"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 xml:space="preserve">  0</w:t>
            </w:r>
          </w:p>
        </w:tc>
        <w:tc>
          <w:tcPr>
            <w:tcW w:w="182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0.0</w:t>
            </w:r>
            <w:r>
              <w:rPr>
                <w:rFonts w:hint="eastAsia" w:ascii="Times New Roman" w:hAnsi="Times New Roman" w:eastAsia="宋体" w:cs="Times New Roman"/>
                <w:bCs/>
                <w:sz w:val="21"/>
                <w:szCs w:val="21"/>
                <w:lang w:val="en-US" w:eastAsia="zh-CN"/>
              </w:rPr>
              <w:t>18</w:t>
            </w:r>
          </w:p>
        </w:tc>
        <w:tc>
          <w:tcPr>
            <w:tcW w:w="1231"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87" w:type="dxa"/>
            <w:vMerge w:val="continue"/>
            <w:tcBorders>
              <w:tl2br w:val="nil"/>
              <w:tr2bl w:val="nil"/>
            </w:tcBorders>
            <w:vAlign w:val="center"/>
          </w:tcPr>
          <w:p>
            <w:pPr>
              <w:jc w:val="center"/>
              <w:rPr>
                <w:rFonts w:hint="default" w:ascii="Times New Roman" w:hAnsi="Times New Roman" w:eastAsia="宋体" w:cs="Times New Roman"/>
                <w:b/>
                <w:bCs/>
                <w:sz w:val="21"/>
                <w:szCs w:val="21"/>
                <w:lang w:eastAsia="zh-CN"/>
              </w:rPr>
            </w:pPr>
          </w:p>
        </w:tc>
        <w:tc>
          <w:tcPr>
            <w:tcW w:w="1418" w:type="dxa"/>
            <w:tcBorders>
              <w:tl2br w:val="nil"/>
              <w:tr2bl w:val="nil"/>
            </w:tcBorders>
            <w:vAlign w:val="center"/>
          </w:tcPr>
          <w:p>
            <w:pPr>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氨氮</w:t>
            </w:r>
          </w:p>
        </w:tc>
        <w:tc>
          <w:tcPr>
            <w:tcW w:w="170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0.00</w:t>
            </w:r>
            <w:r>
              <w:rPr>
                <w:rFonts w:hint="eastAsia" w:ascii="Times New Roman" w:hAnsi="Times New Roman" w:eastAsia="宋体" w:cs="Times New Roman"/>
                <w:bCs/>
                <w:sz w:val="21"/>
                <w:szCs w:val="21"/>
                <w:lang w:val="en-US" w:eastAsia="zh-CN"/>
              </w:rPr>
              <w:t>18</w:t>
            </w:r>
          </w:p>
        </w:tc>
        <w:tc>
          <w:tcPr>
            <w:tcW w:w="1277"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0.00</w:t>
            </w:r>
            <w:r>
              <w:rPr>
                <w:rFonts w:hint="eastAsia" w:ascii="Times New Roman" w:hAnsi="Times New Roman" w:eastAsia="宋体" w:cs="Times New Roman"/>
                <w:bCs/>
                <w:sz w:val="21"/>
                <w:szCs w:val="21"/>
                <w:lang w:val="en-US" w:eastAsia="zh-CN"/>
              </w:rPr>
              <w:t>18</w:t>
            </w:r>
          </w:p>
        </w:tc>
        <w:tc>
          <w:tcPr>
            <w:tcW w:w="1702"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1558"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0</w:t>
            </w:r>
          </w:p>
        </w:tc>
        <w:tc>
          <w:tcPr>
            <w:tcW w:w="1762"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 xml:space="preserve">  0</w:t>
            </w:r>
          </w:p>
        </w:tc>
        <w:tc>
          <w:tcPr>
            <w:tcW w:w="182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0.00</w:t>
            </w:r>
            <w:r>
              <w:rPr>
                <w:rFonts w:hint="eastAsia" w:ascii="Times New Roman" w:hAnsi="Times New Roman" w:eastAsia="宋体" w:cs="Times New Roman"/>
                <w:bCs/>
                <w:sz w:val="21"/>
                <w:szCs w:val="21"/>
                <w:lang w:val="en-US" w:eastAsia="zh-CN"/>
              </w:rPr>
              <w:t>18</w:t>
            </w:r>
          </w:p>
        </w:tc>
        <w:tc>
          <w:tcPr>
            <w:tcW w:w="1231"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87" w:type="dxa"/>
            <w:vMerge w:val="continue"/>
            <w:tcBorders>
              <w:tl2br w:val="nil"/>
              <w:tr2bl w:val="nil"/>
            </w:tcBorders>
            <w:vAlign w:val="center"/>
          </w:tcPr>
          <w:p>
            <w:pPr>
              <w:jc w:val="center"/>
              <w:rPr>
                <w:rFonts w:hint="default" w:ascii="Times New Roman" w:hAnsi="Times New Roman" w:eastAsia="宋体" w:cs="Times New Roman"/>
                <w:b/>
                <w:bCs/>
                <w:sz w:val="21"/>
                <w:szCs w:val="21"/>
                <w:lang w:eastAsia="zh-CN"/>
              </w:rPr>
            </w:pPr>
          </w:p>
        </w:tc>
        <w:tc>
          <w:tcPr>
            <w:tcW w:w="1418" w:type="dxa"/>
            <w:tcBorders>
              <w:tl2br w:val="nil"/>
              <w:tr2bl w:val="nil"/>
            </w:tcBorders>
            <w:vAlign w:val="center"/>
          </w:tcPr>
          <w:p>
            <w:pPr>
              <w:adjustRightInd w:val="0"/>
              <w:snapToGrid w:val="0"/>
              <w:jc w:val="center"/>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总</w:t>
            </w:r>
            <w:r>
              <w:rPr>
                <w:rFonts w:hint="eastAsia" w:ascii="Times New Roman" w:hAnsi="Times New Roman" w:cs="Times New Roman"/>
                <w:sz w:val="21"/>
                <w:szCs w:val="21"/>
                <w:lang w:val="en-US" w:eastAsia="zh-CN"/>
              </w:rPr>
              <w:t>磷</w:t>
            </w:r>
          </w:p>
        </w:tc>
        <w:tc>
          <w:tcPr>
            <w:tcW w:w="170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0.000</w:t>
            </w:r>
            <w:r>
              <w:rPr>
                <w:rFonts w:hint="eastAsia" w:ascii="Times New Roman" w:hAnsi="Times New Roman" w:eastAsia="宋体" w:cs="Times New Roman"/>
                <w:bCs/>
                <w:sz w:val="21"/>
                <w:szCs w:val="21"/>
                <w:lang w:val="en-US" w:eastAsia="zh-CN"/>
              </w:rPr>
              <w:t>2</w:t>
            </w:r>
          </w:p>
        </w:tc>
        <w:tc>
          <w:tcPr>
            <w:tcW w:w="1277"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0.000</w:t>
            </w:r>
            <w:r>
              <w:rPr>
                <w:rFonts w:hint="eastAsia" w:ascii="Times New Roman" w:hAnsi="Times New Roman" w:eastAsia="宋体" w:cs="Times New Roman"/>
                <w:bCs/>
                <w:sz w:val="21"/>
                <w:szCs w:val="21"/>
                <w:lang w:val="en-US" w:eastAsia="zh-CN"/>
              </w:rPr>
              <w:t>2</w:t>
            </w:r>
          </w:p>
        </w:tc>
        <w:tc>
          <w:tcPr>
            <w:tcW w:w="1702"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1558"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0</w:t>
            </w:r>
          </w:p>
        </w:tc>
        <w:tc>
          <w:tcPr>
            <w:tcW w:w="1762" w:type="dxa"/>
            <w:tcBorders>
              <w:tl2br w:val="nil"/>
              <w:tr2bl w:val="nil"/>
            </w:tcBorders>
            <w:vAlign w:val="center"/>
          </w:tcPr>
          <w:p>
            <w:pPr>
              <w:ind w:firstLine="630" w:firstLineChars="300"/>
              <w:jc w:val="both"/>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 xml:space="preserve">   </w:t>
            </w:r>
            <w:r>
              <w:rPr>
                <w:rFonts w:hint="eastAsia" w:ascii="Times New Roman" w:hAnsi="Times New Roman" w:eastAsia="宋体" w:cs="Times New Roman"/>
                <w:bCs/>
                <w:sz w:val="21"/>
                <w:szCs w:val="21"/>
                <w:lang w:val="en-US" w:eastAsia="zh-CN"/>
              </w:rPr>
              <w:t xml:space="preserve"> </w:t>
            </w:r>
            <w:r>
              <w:rPr>
                <w:rFonts w:hint="default" w:ascii="Times New Roman" w:hAnsi="Times New Roman" w:eastAsia="宋体" w:cs="Times New Roman"/>
                <w:bCs/>
                <w:sz w:val="21"/>
                <w:szCs w:val="21"/>
                <w:lang w:val="en-US" w:eastAsia="zh-CN"/>
              </w:rPr>
              <w:t>0</w:t>
            </w:r>
          </w:p>
        </w:tc>
        <w:tc>
          <w:tcPr>
            <w:tcW w:w="182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0.000</w:t>
            </w:r>
            <w:r>
              <w:rPr>
                <w:rFonts w:hint="eastAsia" w:ascii="Times New Roman" w:hAnsi="Times New Roman" w:eastAsia="宋体" w:cs="Times New Roman"/>
                <w:bCs/>
                <w:sz w:val="21"/>
                <w:szCs w:val="21"/>
                <w:lang w:val="en-US" w:eastAsia="zh-CN"/>
              </w:rPr>
              <w:t>2</w:t>
            </w:r>
          </w:p>
        </w:tc>
        <w:tc>
          <w:tcPr>
            <w:tcW w:w="1231"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87" w:type="dxa"/>
            <w:vMerge w:val="continue"/>
            <w:tcBorders>
              <w:tl2br w:val="nil"/>
              <w:tr2bl w:val="nil"/>
            </w:tcBorders>
            <w:vAlign w:val="center"/>
          </w:tcPr>
          <w:p>
            <w:pPr>
              <w:jc w:val="center"/>
              <w:rPr>
                <w:rFonts w:hint="default" w:ascii="Times New Roman" w:hAnsi="Times New Roman" w:eastAsia="宋体" w:cs="Times New Roman"/>
                <w:b/>
                <w:bCs/>
                <w:sz w:val="21"/>
                <w:szCs w:val="21"/>
                <w:lang w:eastAsia="zh-CN"/>
              </w:rPr>
            </w:pPr>
          </w:p>
        </w:tc>
        <w:tc>
          <w:tcPr>
            <w:tcW w:w="1418" w:type="dxa"/>
            <w:tcBorders>
              <w:tl2br w:val="nil"/>
              <w:tr2bl w:val="nil"/>
            </w:tcBorders>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总</w:t>
            </w:r>
            <w:r>
              <w:rPr>
                <w:rFonts w:hint="eastAsia" w:ascii="Times New Roman" w:hAnsi="Times New Roman" w:cs="Times New Roman"/>
                <w:sz w:val="21"/>
                <w:szCs w:val="21"/>
                <w:lang w:val="en-US" w:eastAsia="zh-CN"/>
              </w:rPr>
              <w:t>氮</w:t>
            </w:r>
          </w:p>
        </w:tc>
        <w:tc>
          <w:tcPr>
            <w:tcW w:w="170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0.0</w:t>
            </w:r>
            <w:r>
              <w:rPr>
                <w:rFonts w:hint="eastAsia" w:ascii="Times New Roman" w:hAnsi="Times New Roman" w:eastAsia="宋体" w:cs="Times New Roman"/>
                <w:bCs/>
                <w:sz w:val="21"/>
                <w:szCs w:val="21"/>
                <w:lang w:val="en-US" w:eastAsia="zh-CN"/>
              </w:rPr>
              <w:t>054</w:t>
            </w:r>
          </w:p>
        </w:tc>
        <w:tc>
          <w:tcPr>
            <w:tcW w:w="1277"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0.0</w:t>
            </w:r>
            <w:r>
              <w:rPr>
                <w:rFonts w:hint="eastAsia" w:ascii="Times New Roman" w:hAnsi="Times New Roman" w:eastAsia="宋体" w:cs="Times New Roman"/>
                <w:bCs/>
                <w:sz w:val="21"/>
                <w:szCs w:val="21"/>
                <w:lang w:val="en-US" w:eastAsia="zh-CN"/>
              </w:rPr>
              <w:t>054</w:t>
            </w:r>
          </w:p>
        </w:tc>
        <w:tc>
          <w:tcPr>
            <w:tcW w:w="1702"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w:t>
            </w:r>
          </w:p>
        </w:tc>
        <w:tc>
          <w:tcPr>
            <w:tcW w:w="1558"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0</w:t>
            </w:r>
          </w:p>
        </w:tc>
        <w:tc>
          <w:tcPr>
            <w:tcW w:w="1762"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w:t>
            </w:r>
          </w:p>
        </w:tc>
        <w:tc>
          <w:tcPr>
            <w:tcW w:w="182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0.0</w:t>
            </w:r>
            <w:r>
              <w:rPr>
                <w:rFonts w:hint="eastAsia" w:ascii="Times New Roman" w:hAnsi="Times New Roman" w:eastAsia="宋体" w:cs="Times New Roman"/>
                <w:bCs/>
                <w:sz w:val="21"/>
                <w:szCs w:val="21"/>
                <w:lang w:val="en-US" w:eastAsia="zh-CN"/>
              </w:rPr>
              <w:t>054</w:t>
            </w:r>
          </w:p>
        </w:tc>
        <w:tc>
          <w:tcPr>
            <w:tcW w:w="1231"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1287" w:type="dxa"/>
            <w:vMerge w:val="restart"/>
            <w:tcBorders>
              <w:tl2br w:val="nil"/>
              <w:tr2bl w:val="nil"/>
            </w:tcBorders>
            <w:vAlign w:val="center"/>
          </w:tcPr>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 xml:space="preserve">一般工业固体废物 </w:t>
            </w:r>
          </w:p>
        </w:tc>
        <w:tc>
          <w:tcPr>
            <w:tcW w:w="1418" w:type="dxa"/>
            <w:tcBorders>
              <w:tl2br w:val="nil"/>
              <w:tr2bl w:val="nil"/>
            </w:tcBorders>
            <w:vAlign w:val="center"/>
          </w:tcPr>
          <w:p>
            <w:pPr>
              <w:widowControl/>
              <w:spacing w:line="320" w:lineRule="exact"/>
              <w:jc w:val="center"/>
              <w:rPr>
                <w:rFonts w:hint="default" w:ascii="Times New Roman" w:hAnsi="Times New Roman" w:eastAsia="宋体" w:cs="Times New Roman"/>
                <w:sz w:val="21"/>
                <w:szCs w:val="21"/>
                <w:lang w:eastAsia="zh-CN"/>
              </w:rPr>
            </w:pPr>
            <w:r>
              <w:rPr>
                <w:rFonts w:hint="default" w:ascii="Times New Roman" w:hAnsi="Times New Roman" w:cs="Times New Roman"/>
                <w:color w:val="auto"/>
                <w:kern w:val="0"/>
                <w:szCs w:val="21"/>
              </w:rPr>
              <w:t>生活垃圾</w:t>
            </w:r>
          </w:p>
        </w:tc>
        <w:tc>
          <w:tcPr>
            <w:tcW w:w="170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4.5</w:t>
            </w:r>
          </w:p>
        </w:tc>
        <w:tc>
          <w:tcPr>
            <w:tcW w:w="1277"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0</w:t>
            </w:r>
          </w:p>
        </w:tc>
        <w:tc>
          <w:tcPr>
            <w:tcW w:w="1702"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w:t>
            </w:r>
          </w:p>
        </w:tc>
        <w:tc>
          <w:tcPr>
            <w:tcW w:w="1558" w:type="dxa"/>
            <w:tcBorders>
              <w:tl2br w:val="nil"/>
              <w:tr2bl w:val="nil"/>
            </w:tcBorders>
            <w:vAlign w:val="center"/>
          </w:tcPr>
          <w:p>
            <w:pPr>
              <w:spacing w:line="320" w:lineRule="exact"/>
              <w:jc w:val="center"/>
              <w:rPr>
                <w:rFonts w:hint="default" w:ascii="Times New Roman" w:hAnsi="Times New Roman" w:eastAsia="宋体" w:cs="Times New Roman"/>
                <w:sz w:val="21"/>
                <w:szCs w:val="21"/>
                <w:lang w:eastAsia="zh-CN"/>
              </w:rPr>
            </w:pPr>
            <w:r>
              <w:rPr>
                <w:rFonts w:hint="eastAsia" w:ascii="Times New Roman" w:hAnsi="Times New Roman" w:cs="Times New Roman"/>
                <w:color w:val="000000"/>
                <w:sz w:val="21"/>
                <w:szCs w:val="21"/>
                <w:lang w:val="en-US" w:eastAsia="zh-CN"/>
              </w:rPr>
              <w:t>0</w:t>
            </w:r>
          </w:p>
        </w:tc>
        <w:tc>
          <w:tcPr>
            <w:tcW w:w="1762"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p>
        </w:tc>
        <w:tc>
          <w:tcPr>
            <w:tcW w:w="1820" w:type="dxa"/>
            <w:tcBorders>
              <w:tl2br w:val="nil"/>
              <w:tr2bl w:val="nil"/>
            </w:tcBorders>
            <w:vAlign w:val="center"/>
          </w:tcPr>
          <w:p>
            <w:pPr>
              <w:spacing w:line="320" w:lineRule="exact"/>
              <w:jc w:val="center"/>
              <w:rPr>
                <w:rFonts w:hint="default" w:ascii="Times New Roman" w:hAnsi="Times New Roman" w:eastAsia="宋体" w:cs="Times New Roman"/>
                <w:sz w:val="21"/>
                <w:szCs w:val="21"/>
                <w:lang w:val="en-US" w:eastAsia="zh-CN"/>
              </w:rPr>
            </w:pPr>
            <w:r>
              <w:rPr>
                <w:rFonts w:hint="eastAsia" w:ascii="Times New Roman" w:hAnsi="Times New Roman" w:cs="Times New Roman"/>
                <w:color w:val="000000"/>
                <w:sz w:val="21"/>
                <w:szCs w:val="21"/>
                <w:lang w:val="en-US" w:eastAsia="zh-CN"/>
              </w:rPr>
              <w:t>4.5</w:t>
            </w:r>
          </w:p>
        </w:tc>
        <w:tc>
          <w:tcPr>
            <w:tcW w:w="1231"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87" w:type="dxa"/>
            <w:vMerge w:val="continue"/>
            <w:tcBorders>
              <w:tl2br w:val="nil"/>
              <w:tr2bl w:val="nil"/>
            </w:tcBorders>
            <w:vAlign w:val="center"/>
          </w:tcPr>
          <w:p>
            <w:pPr>
              <w:jc w:val="center"/>
              <w:rPr>
                <w:rFonts w:hint="default" w:ascii="Times New Roman" w:hAnsi="Times New Roman" w:eastAsia="宋体" w:cs="Times New Roman"/>
                <w:b/>
                <w:bCs/>
                <w:sz w:val="21"/>
                <w:szCs w:val="21"/>
                <w:lang w:eastAsia="zh-CN"/>
              </w:rPr>
            </w:pPr>
          </w:p>
        </w:tc>
        <w:tc>
          <w:tcPr>
            <w:tcW w:w="1418" w:type="dxa"/>
            <w:tcBorders>
              <w:tl2br w:val="nil"/>
              <w:tr2bl w:val="nil"/>
            </w:tcBorders>
            <w:vAlign w:val="center"/>
          </w:tcPr>
          <w:p>
            <w:pPr>
              <w:widowControl/>
              <w:spacing w:line="320" w:lineRule="exact"/>
              <w:jc w:val="center"/>
              <w:rPr>
                <w:rFonts w:hint="default" w:ascii="Times New Roman" w:hAnsi="Times New Roman" w:eastAsia="宋体" w:cs="Times New Roman"/>
                <w:sz w:val="21"/>
                <w:szCs w:val="21"/>
                <w:lang w:eastAsia="zh-CN"/>
              </w:rPr>
            </w:pPr>
            <w:r>
              <w:rPr>
                <w:rFonts w:hint="default" w:ascii="Times New Roman" w:hAnsi="Times New Roman" w:cs="Times New Roman"/>
                <w:color w:val="auto"/>
                <w:szCs w:val="21"/>
              </w:rPr>
              <w:t>废边角料</w:t>
            </w:r>
          </w:p>
        </w:tc>
        <w:tc>
          <w:tcPr>
            <w:tcW w:w="170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12</w:t>
            </w:r>
          </w:p>
        </w:tc>
        <w:tc>
          <w:tcPr>
            <w:tcW w:w="1277"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0</w:t>
            </w:r>
          </w:p>
        </w:tc>
        <w:tc>
          <w:tcPr>
            <w:tcW w:w="1702"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w:t>
            </w:r>
          </w:p>
        </w:tc>
        <w:tc>
          <w:tcPr>
            <w:tcW w:w="1558" w:type="dxa"/>
            <w:tcBorders>
              <w:tl2br w:val="nil"/>
              <w:tr2bl w:val="nil"/>
            </w:tcBorders>
            <w:vAlign w:val="center"/>
          </w:tcPr>
          <w:p>
            <w:pPr>
              <w:spacing w:line="320" w:lineRule="exact"/>
              <w:jc w:val="center"/>
              <w:rPr>
                <w:rFonts w:hint="default" w:ascii="Times New Roman" w:hAnsi="Times New Roman" w:eastAsia="宋体" w:cs="Times New Roman"/>
                <w:sz w:val="21"/>
                <w:szCs w:val="21"/>
                <w:lang w:val="en-US" w:eastAsia="zh-CN"/>
              </w:rPr>
            </w:pPr>
            <w:r>
              <w:rPr>
                <w:rFonts w:hint="eastAsia" w:ascii="Times New Roman" w:hAnsi="Times New Roman" w:cs="Times New Roman"/>
                <w:color w:val="000000"/>
                <w:sz w:val="21"/>
                <w:szCs w:val="21"/>
                <w:lang w:val="en-US" w:eastAsia="zh-CN"/>
              </w:rPr>
              <w:t>0.05</w:t>
            </w:r>
          </w:p>
        </w:tc>
        <w:tc>
          <w:tcPr>
            <w:tcW w:w="1762"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p>
        </w:tc>
        <w:tc>
          <w:tcPr>
            <w:tcW w:w="1820" w:type="dxa"/>
            <w:tcBorders>
              <w:tl2br w:val="nil"/>
              <w:tr2bl w:val="nil"/>
            </w:tcBorders>
            <w:vAlign w:val="center"/>
          </w:tcPr>
          <w:p>
            <w:pPr>
              <w:spacing w:line="320" w:lineRule="exact"/>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12.05</w:t>
            </w:r>
          </w:p>
        </w:tc>
        <w:tc>
          <w:tcPr>
            <w:tcW w:w="1231"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87" w:type="dxa"/>
            <w:vMerge w:val="continue"/>
            <w:tcBorders>
              <w:tl2br w:val="nil"/>
              <w:tr2bl w:val="nil"/>
            </w:tcBorders>
            <w:vAlign w:val="center"/>
          </w:tcPr>
          <w:p>
            <w:pPr>
              <w:jc w:val="center"/>
              <w:rPr>
                <w:rFonts w:hint="default" w:ascii="Times New Roman" w:hAnsi="Times New Roman" w:eastAsia="宋体" w:cs="Times New Roman"/>
                <w:b/>
                <w:bCs/>
                <w:sz w:val="21"/>
                <w:szCs w:val="21"/>
                <w:lang w:eastAsia="zh-CN"/>
              </w:rPr>
            </w:pPr>
          </w:p>
        </w:tc>
        <w:tc>
          <w:tcPr>
            <w:tcW w:w="1418" w:type="dxa"/>
            <w:tcBorders>
              <w:tl2br w:val="nil"/>
              <w:tr2bl w:val="nil"/>
            </w:tcBorders>
            <w:vAlign w:val="center"/>
          </w:tcPr>
          <w:p>
            <w:pPr>
              <w:widowControl/>
              <w:spacing w:line="320" w:lineRule="exact"/>
              <w:jc w:val="center"/>
              <w:rPr>
                <w:rFonts w:hint="default" w:ascii="Times New Roman" w:hAnsi="Times New Roman" w:eastAsia="宋体" w:cs="Times New Roman"/>
                <w:sz w:val="21"/>
                <w:szCs w:val="21"/>
                <w:lang w:eastAsia="zh-CN"/>
              </w:rPr>
            </w:pPr>
            <w:r>
              <w:rPr>
                <w:rFonts w:hint="eastAsia" w:cs="Times New Roman"/>
                <w:color w:val="auto"/>
                <w:szCs w:val="21"/>
                <w:lang w:val="en-US" w:eastAsia="zh-CN"/>
              </w:rPr>
              <w:t>不合格品</w:t>
            </w:r>
          </w:p>
        </w:tc>
        <w:tc>
          <w:tcPr>
            <w:tcW w:w="170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14.4</w:t>
            </w:r>
          </w:p>
        </w:tc>
        <w:tc>
          <w:tcPr>
            <w:tcW w:w="1277"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0</w:t>
            </w:r>
          </w:p>
        </w:tc>
        <w:tc>
          <w:tcPr>
            <w:tcW w:w="1702"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p>
        </w:tc>
        <w:tc>
          <w:tcPr>
            <w:tcW w:w="1558" w:type="dxa"/>
            <w:tcBorders>
              <w:tl2br w:val="nil"/>
              <w:tr2bl w:val="nil"/>
            </w:tcBorders>
            <w:vAlign w:val="center"/>
          </w:tcPr>
          <w:p>
            <w:pPr>
              <w:spacing w:line="320" w:lineRule="exact"/>
              <w:jc w:val="center"/>
              <w:rPr>
                <w:rFonts w:hint="default" w:ascii="Times New Roman" w:hAnsi="Times New Roman" w:eastAsia="宋体" w:cs="Times New Roman"/>
                <w:sz w:val="21"/>
                <w:szCs w:val="21"/>
                <w:lang w:val="en-US" w:eastAsia="zh-CN"/>
              </w:rPr>
            </w:pPr>
            <w:r>
              <w:rPr>
                <w:rFonts w:hint="eastAsia" w:ascii="Times New Roman" w:hAnsi="Times New Roman" w:cs="Times New Roman"/>
                <w:color w:val="000000"/>
                <w:sz w:val="21"/>
                <w:szCs w:val="21"/>
                <w:lang w:val="en-US" w:eastAsia="zh-CN"/>
              </w:rPr>
              <w:t>0.02</w:t>
            </w:r>
          </w:p>
        </w:tc>
        <w:tc>
          <w:tcPr>
            <w:tcW w:w="1762"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p>
        </w:tc>
        <w:tc>
          <w:tcPr>
            <w:tcW w:w="1820" w:type="dxa"/>
            <w:tcBorders>
              <w:tl2br w:val="nil"/>
              <w:tr2bl w:val="nil"/>
            </w:tcBorders>
            <w:vAlign w:val="center"/>
          </w:tcPr>
          <w:p>
            <w:pPr>
              <w:spacing w:line="320" w:lineRule="exact"/>
              <w:jc w:val="center"/>
              <w:rPr>
                <w:rFonts w:hint="default" w:ascii="Times New Roman" w:hAnsi="Times New Roman" w:eastAsia="宋体" w:cs="Times New Roman"/>
                <w:sz w:val="21"/>
                <w:szCs w:val="21"/>
                <w:lang w:val="en-US" w:eastAsia="zh-CN"/>
              </w:rPr>
            </w:pPr>
            <w:r>
              <w:rPr>
                <w:rFonts w:hint="eastAsia" w:ascii="Times New Roman" w:hAnsi="Times New Roman" w:cs="Times New Roman"/>
                <w:color w:val="000000"/>
                <w:sz w:val="21"/>
                <w:szCs w:val="21"/>
                <w:lang w:val="en-US" w:eastAsia="zh-CN"/>
              </w:rPr>
              <w:t>14.42</w:t>
            </w:r>
          </w:p>
        </w:tc>
        <w:tc>
          <w:tcPr>
            <w:tcW w:w="1231"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8" w:hRule="atLeast"/>
        </w:trPr>
        <w:tc>
          <w:tcPr>
            <w:tcW w:w="1287" w:type="dxa"/>
            <w:vMerge w:val="continue"/>
            <w:tcBorders>
              <w:tl2br w:val="nil"/>
              <w:tr2bl w:val="nil"/>
            </w:tcBorders>
            <w:vAlign w:val="center"/>
          </w:tcPr>
          <w:p>
            <w:pPr>
              <w:jc w:val="center"/>
              <w:rPr>
                <w:rFonts w:hint="default" w:ascii="Times New Roman" w:hAnsi="Times New Roman" w:eastAsia="宋体" w:cs="Times New Roman"/>
                <w:b/>
                <w:bCs/>
                <w:sz w:val="21"/>
                <w:szCs w:val="21"/>
                <w:lang w:eastAsia="zh-CN"/>
              </w:rPr>
            </w:pPr>
          </w:p>
        </w:tc>
        <w:tc>
          <w:tcPr>
            <w:tcW w:w="1418" w:type="dxa"/>
            <w:tcBorders>
              <w:tl2br w:val="nil"/>
              <w:tr2bl w:val="nil"/>
            </w:tcBorders>
            <w:vAlign w:val="center"/>
          </w:tcPr>
          <w:p>
            <w:pPr>
              <w:widowControl/>
              <w:spacing w:line="320" w:lineRule="exact"/>
              <w:jc w:val="center"/>
              <w:rPr>
                <w:rFonts w:hint="default" w:ascii="Times New Roman" w:hAnsi="Times New Roman" w:eastAsia="宋体" w:cs="Times New Roman"/>
                <w:sz w:val="21"/>
                <w:szCs w:val="21"/>
                <w:lang w:eastAsia="zh-CN"/>
              </w:rPr>
            </w:pPr>
            <w:r>
              <w:rPr>
                <w:rFonts w:hint="eastAsia" w:cs="Times New Roman"/>
                <w:color w:val="auto"/>
                <w:kern w:val="0"/>
                <w:szCs w:val="21"/>
                <w:lang w:val="en-US" w:eastAsia="zh-CN"/>
              </w:rPr>
              <w:t>沉渣</w:t>
            </w:r>
          </w:p>
        </w:tc>
        <w:tc>
          <w:tcPr>
            <w:tcW w:w="170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Cs/>
                <w:sz w:val="21"/>
                <w:szCs w:val="21"/>
                <w:lang w:val="en-US" w:eastAsia="zh-CN"/>
              </w:rPr>
              <w:t>0.</w:t>
            </w:r>
            <w:r>
              <w:rPr>
                <w:rFonts w:hint="eastAsia" w:ascii="Times New Roman" w:hAnsi="Times New Roman" w:eastAsia="宋体" w:cs="Times New Roman"/>
                <w:bCs/>
                <w:sz w:val="21"/>
                <w:szCs w:val="21"/>
                <w:lang w:val="en-US" w:eastAsia="zh-CN"/>
              </w:rPr>
              <w:t>05</w:t>
            </w:r>
          </w:p>
        </w:tc>
        <w:tc>
          <w:tcPr>
            <w:tcW w:w="1277"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0</w:t>
            </w:r>
          </w:p>
        </w:tc>
        <w:tc>
          <w:tcPr>
            <w:tcW w:w="1702"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p>
        </w:tc>
        <w:tc>
          <w:tcPr>
            <w:tcW w:w="1558" w:type="dxa"/>
            <w:tcBorders>
              <w:tl2br w:val="nil"/>
              <w:tr2bl w:val="nil"/>
            </w:tcBorders>
            <w:vAlign w:val="center"/>
          </w:tcPr>
          <w:p>
            <w:pPr>
              <w:spacing w:line="320" w:lineRule="exact"/>
              <w:jc w:val="center"/>
              <w:rPr>
                <w:rFonts w:hint="default" w:ascii="Times New Roman" w:hAnsi="Times New Roman" w:eastAsia="宋体" w:cs="Times New Roman"/>
                <w:sz w:val="21"/>
                <w:szCs w:val="21"/>
                <w:lang w:eastAsia="zh-CN"/>
              </w:rPr>
            </w:pPr>
            <w:r>
              <w:rPr>
                <w:rFonts w:hint="eastAsia" w:ascii="Times New Roman" w:hAnsi="Times New Roman" w:cs="Times New Roman"/>
                <w:color w:val="000000"/>
                <w:sz w:val="21"/>
                <w:szCs w:val="21"/>
                <w:lang w:val="en-US" w:eastAsia="zh-CN"/>
              </w:rPr>
              <w:t>0</w:t>
            </w:r>
          </w:p>
        </w:tc>
        <w:tc>
          <w:tcPr>
            <w:tcW w:w="1762"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p>
        </w:tc>
        <w:tc>
          <w:tcPr>
            <w:tcW w:w="1820" w:type="dxa"/>
            <w:tcBorders>
              <w:tl2br w:val="nil"/>
              <w:tr2bl w:val="nil"/>
            </w:tcBorders>
            <w:vAlign w:val="center"/>
          </w:tcPr>
          <w:p>
            <w:pPr>
              <w:spacing w:line="320" w:lineRule="exact"/>
              <w:jc w:val="center"/>
              <w:rPr>
                <w:rFonts w:hint="default" w:ascii="Times New Roman" w:hAnsi="Times New Roman" w:eastAsia="宋体" w:cs="Times New Roman"/>
                <w:sz w:val="21"/>
                <w:szCs w:val="21"/>
                <w:lang w:val="en-US" w:eastAsia="zh-CN"/>
              </w:rPr>
            </w:pPr>
            <w:r>
              <w:rPr>
                <w:rFonts w:hint="eastAsia" w:ascii="Times New Roman" w:hAnsi="Times New Roman" w:cs="Times New Roman"/>
                <w:color w:val="000000"/>
                <w:sz w:val="21"/>
                <w:szCs w:val="21"/>
                <w:lang w:val="en-US" w:eastAsia="zh-CN"/>
              </w:rPr>
              <w:t>0.05</w:t>
            </w:r>
          </w:p>
        </w:tc>
        <w:tc>
          <w:tcPr>
            <w:tcW w:w="1231"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87" w:type="dxa"/>
            <w:vMerge w:val="continue"/>
            <w:tcBorders>
              <w:tl2br w:val="nil"/>
              <w:tr2bl w:val="nil"/>
            </w:tcBorders>
            <w:vAlign w:val="center"/>
          </w:tcPr>
          <w:p>
            <w:pPr>
              <w:jc w:val="center"/>
              <w:rPr>
                <w:rFonts w:hint="default" w:ascii="Times New Roman" w:hAnsi="Times New Roman" w:eastAsia="宋体" w:cs="Times New Roman"/>
                <w:b/>
                <w:bCs/>
                <w:sz w:val="21"/>
                <w:szCs w:val="21"/>
                <w:lang w:eastAsia="zh-CN"/>
              </w:rPr>
            </w:pPr>
          </w:p>
        </w:tc>
        <w:tc>
          <w:tcPr>
            <w:tcW w:w="1418" w:type="dxa"/>
            <w:tcBorders>
              <w:tl2br w:val="nil"/>
              <w:tr2bl w:val="nil"/>
            </w:tcBorders>
            <w:vAlign w:val="center"/>
          </w:tcPr>
          <w:p>
            <w:pPr>
              <w:widowControl/>
              <w:spacing w:line="320" w:lineRule="exact"/>
              <w:jc w:val="center"/>
              <w:rPr>
                <w:rFonts w:hint="eastAsia" w:cs="Times New Roman"/>
                <w:color w:val="auto"/>
                <w:kern w:val="0"/>
                <w:szCs w:val="21"/>
                <w:lang w:val="en-US" w:eastAsia="zh-CN"/>
              </w:rPr>
            </w:pPr>
            <w:r>
              <w:rPr>
                <w:rFonts w:hint="default" w:ascii="Times New Roman" w:hAnsi="Times New Roman" w:eastAsia="宋体" w:cs="Times New Roman"/>
                <w:color w:val="000000"/>
                <w:sz w:val="21"/>
                <w:szCs w:val="21"/>
                <w:lang w:val="en-US" w:eastAsia="zh-CN"/>
              </w:rPr>
              <w:t>废</w:t>
            </w:r>
            <w:r>
              <w:rPr>
                <w:rFonts w:hint="default" w:ascii="Times New Roman" w:hAnsi="Times New Roman" w:cs="Times New Roman"/>
                <w:color w:val="000000"/>
                <w:sz w:val="21"/>
                <w:szCs w:val="21"/>
                <w:lang w:val="en-US" w:eastAsia="zh-CN"/>
              </w:rPr>
              <w:t>包装物</w:t>
            </w:r>
          </w:p>
        </w:tc>
        <w:tc>
          <w:tcPr>
            <w:tcW w:w="1700" w:type="dxa"/>
            <w:tcBorders>
              <w:tl2br w:val="nil"/>
              <w:tr2bl w:val="nil"/>
            </w:tcBorders>
            <w:vAlign w:val="center"/>
          </w:tcPr>
          <w:p>
            <w:pPr>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0</w:t>
            </w:r>
          </w:p>
        </w:tc>
        <w:tc>
          <w:tcPr>
            <w:tcW w:w="1277"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w:t>
            </w:r>
          </w:p>
        </w:tc>
        <w:tc>
          <w:tcPr>
            <w:tcW w:w="1702"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c>
          <w:tcPr>
            <w:tcW w:w="1558" w:type="dxa"/>
            <w:tcBorders>
              <w:tl2br w:val="nil"/>
              <w:tr2bl w:val="nil"/>
            </w:tcBorders>
            <w:vAlign w:val="center"/>
          </w:tcPr>
          <w:p>
            <w:pPr>
              <w:spacing w:line="320" w:lineRule="exact"/>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0.01</w:t>
            </w:r>
          </w:p>
        </w:tc>
        <w:tc>
          <w:tcPr>
            <w:tcW w:w="1762"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c>
          <w:tcPr>
            <w:tcW w:w="1820" w:type="dxa"/>
            <w:tcBorders>
              <w:tl2br w:val="nil"/>
              <w:tr2bl w:val="nil"/>
            </w:tcBorders>
            <w:vAlign w:val="center"/>
          </w:tcPr>
          <w:p>
            <w:pPr>
              <w:spacing w:line="320" w:lineRule="exact"/>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0.01</w:t>
            </w:r>
          </w:p>
        </w:tc>
        <w:tc>
          <w:tcPr>
            <w:tcW w:w="1231"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87" w:type="dxa"/>
            <w:vMerge w:val="restart"/>
            <w:tcBorders>
              <w:tl2br w:val="nil"/>
              <w:tr2bl w:val="nil"/>
            </w:tcBorders>
            <w:vAlign w:val="center"/>
          </w:tcPr>
          <w:p>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 xml:space="preserve">危险废物 </w:t>
            </w:r>
          </w:p>
        </w:tc>
        <w:tc>
          <w:tcPr>
            <w:tcW w:w="1418" w:type="dxa"/>
            <w:tcBorders>
              <w:tl2br w:val="nil"/>
              <w:tr2bl w:val="nil"/>
            </w:tcBorders>
            <w:vAlign w:val="center"/>
          </w:tcPr>
          <w:p>
            <w:pPr>
              <w:widowControl/>
              <w:spacing w:line="320" w:lineRule="exact"/>
              <w:jc w:val="center"/>
              <w:rPr>
                <w:rFonts w:hint="default" w:ascii="Times New Roman" w:hAnsi="Times New Roman" w:eastAsia="宋体" w:cs="Times New Roman"/>
                <w:sz w:val="21"/>
                <w:szCs w:val="21"/>
                <w:lang w:eastAsia="zh-CN"/>
              </w:rPr>
            </w:pPr>
            <w:r>
              <w:rPr>
                <w:rFonts w:hint="default" w:ascii="Times New Roman" w:hAnsi="Times New Roman" w:cs="Times New Roman"/>
                <w:color w:val="auto"/>
                <w:szCs w:val="21"/>
              </w:rPr>
              <w:t>废活性炭</w:t>
            </w:r>
          </w:p>
        </w:tc>
        <w:tc>
          <w:tcPr>
            <w:tcW w:w="1700" w:type="dxa"/>
            <w:tcBorders>
              <w:tl2br w:val="nil"/>
              <w:tr2bl w:val="nil"/>
            </w:tcBorders>
            <w:vAlign w:val="center"/>
          </w:tcPr>
          <w:p>
            <w:pPr>
              <w:snapToGrid w:val="0"/>
              <w:jc w:val="center"/>
              <w:rPr>
                <w:rFonts w:hint="default" w:ascii="Times New Roman" w:hAnsi="Times New Roman" w:eastAsia="宋体" w:cs="Times New Roman"/>
                <w:sz w:val="21"/>
                <w:szCs w:val="21"/>
                <w:lang w:eastAsia="zh-CN"/>
              </w:rPr>
            </w:pPr>
            <w:r>
              <w:rPr>
                <w:rFonts w:hint="eastAsia" w:ascii="Times New Roman" w:hAnsi="Times New Roman" w:cs="Times New Roman"/>
                <w:bCs/>
                <w:sz w:val="21"/>
                <w:szCs w:val="21"/>
                <w:lang w:val="en-US" w:eastAsia="zh-CN"/>
              </w:rPr>
              <w:t>5.86</w:t>
            </w:r>
          </w:p>
        </w:tc>
        <w:tc>
          <w:tcPr>
            <w:tcW w:w="1277"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eastAsia" w:ascii="Times New Roman" w:hAnsi="Times New Roman" w:cs="Times New Roman"/>
                <w:sz w:val="21"/>
                <w:szCs w:val="21"/>
                <w:lang w:val="en-US" w:eastAsia="zh-CN"/>
              </w:rPr>
              <w:t>0</w:t>
            </w:r>
          </w:p>
        </w:tc>
        <w:tc>
          <w:tcPr>
            <w:tcW w:w="1702"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p>
        </w:tc>
        <w:tc>
          <w:tcPr>
            <w:tcW w:w="1558"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2.268</w:t>
            </w:r>
          </w:p>
        </w:tc>
        <w:tc>
          <w:tcPr>
            <w:tcW w:w="1762"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p>
        </w:tc>
        <w:tc>
          <w:tcPr>
            <w:tcW w:w="1820"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8.128</w:t>
            </w:r>
          </w:p>
        </w:tc>
        <w:tc>
          <w:tcPr>
            <w:tcW w:w="1231" w:type="dxa"/>
            <w:tcBorders>
              <w:tl2br w:val="nil"/>
              <w:tr2bl w:val="nil"/>
            </w:tcBorders>
            <w:vAlign w:val="center"/>
          </w:tcPr>
          <w:p>
            <w:pPr>
              <w:jc w:val="center"/>
              <w:rPr>
                <w:rFonts w:hint="default" w:ascii="Times New Roman" w:hAnsi="Times New Roman" w:eastAsia="宋体" w:cs="Times New Roman"/>
                <w:sz w:val="21"/>
                <w:szCs w:val="21"/>
                <w:lang w:eastAsia="zh-CN"/>
              </w:rPr>
            </w:pPr>
            <w:r>
              <w:rPr>
                <w:rFonts w:hint="eastAsia" w:ascii="Times New Roman" w:hAnsi="Times New Roman" w:cs="Times New Roman"/>
                <w:sz w:val="21"/>
                <w:szCs w:val="21"/>
                <w:lang w:val="en-US" w:eastAsia="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1287" w:type="dxa"/>
            <w:vMerge w:val="continue"/>
            <w:tcBorders>
              <w:tl2br w:val="nil"/>
              <w:tr2bl w:val="nil"/>
            </w:tcBorders>
            <w:vAlign w:val="center"/>
          </w:tcPr>
          <w:p>
            <w:pPr>
              <w:jc w:val="center"/>
              <w:rPr>
                <w:rFonts w:hint="default" w:ascii="Times New Roman" w:hAnsi="Times New Roman" w:eastAsia="宋体" w:cs="Times New Roman"/>
                <w:b/>
                <w:bCs/>
                <w:sz w:val="21"/>
                <w:szCs w:val="21"/>
                <w:lang w:eastAsia="zh-CN"/>
              </w:rPr>
            </w:pPr>
          </w:p>
        </w:tc>
        <w:tc>
          <w:tcPr>
            <w:tcW w:w="1418" w:type="dxa"/>
            <w:tcBorders>
              <w:tl2br w:val="nil"/>
              <w:tr2bl w:val="nil"/>
            </w:tcBorders>
            <w:vAlign w:val="center"/>
          </w:tcPr>
          <w:p>
            <w:pPr>
              <w:adjustRightInd w:val="0"/>
              <w:snapToGrid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sz w:val="21"/>
                <w:szCs w:val="21"/>
                <w:lang w:val="en-US" w:eastAsia="zh-CN"/>
              </w:rPr>
              <w:t>废</w:t>
            </w:r>
            <w:r>
              <w:rPr>
                <w:rFonts w:hint="default" w:ascii="Times New Roman" w:hAnsi="Times New Roman" w:cs="Times New Roman"/>
                <w:color w:val="000000"/>
                <w:sz w:val="21"/>
                <w:szCs w:val="21"/>
                <w:lang w:val="en-US" w:eastAsia="zh-CN"/>
              </w:rPr>
              <w:t>水性油墨桶</w:t>
            </w:r>
          </w:p>
        </w:tc>
        <w:tc>
          <w:tcPr>
            <w:tcW w:w="1700"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w:t>
            </w:r>
          </w:p>
        </w:tc>
        <w:tc>
          <w:tcPr>
            <w:tcW w:w="1277"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w:t>
            </w:r>
          </w:p>
        </w:tc>
        <w:tc>
          <w:tcPr>
            <w:tcW w:w="1702"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c>
          <w:tcPr>
            <w:tcW w:w="1558"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0.7</w:t>
            </w:r>
          </w:p>
        </w:tc>
        <w:tc>
          <w:tcPr>
            <w:tcW w:w="1762"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c>
          <w:tcPr>
            <w:tcW w:w="1820"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0.7</w:t>
            </w:r>
          </w:p>
        </w:tc>
        <w:tc>
          <w:tcPr>
            <w:tcW w:w="1231" w:type="dxa"/>
            <w:tcBorders>
              <w:tl2br w:val="nil"/>
              <w:tr2bl w:val="nil"/>
            </w:tcBorders>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w:t>
            </w:r>
          </w:p>
        </w:tc>
      </w:tr>
    </w:tbl>
    <w:p>
      <w:pPr>
        <w:spacing w:before="17"/>
        <w:rPr>
          <w:rFonts w:hint="default" w:ascii="Times New Roman" w:hAnsi="Times New Roman" w:eastAsia="微软雅黑" w:cs="Times New Roman"/>
          <w:sz w:val="6"/>
          <w:szCs w:val="6"/>
        </w:rPr>
      </w:pPr>
    </w:p>
    <w:p>
      <w:pPr>
        <w:pStyle w:val="7"/>
        <w:spacing w:before="36"/>
        <w:ind w:left="113"/>
        <w:rPr>
          <w:rFonts w:hint="default" w:ascii="Times New Roman" w:hAnsi="Times New Roman" w:cs="Times New Roman"/>
        </w:rPr>
      </w:pPr>
      <w:bookmarkStart w:id="11" w:name="_Toc5182"/>
      <w:r>
        <w:rPr>
          <w:rFonts w:hint="default" w:ascii="Times New Roman" w:hAnsi="Times New Roman" w:cs="Times New Roman"/>
        </w:rPr>
        <w:t>注：</w:t>
      </w:r>
      <w:r>
        <w:rPr>
          <w:rFonts w:hint="default" w:ascii="Times New Roman" w:hAnsi="Times New Roman" w:cs="Times New Roman"/>
          <w:spacing w:val="-3"/>
        </w:rPr>
        <w:t>⑥</w:t>
      </w:r>
      <w:r>
        <w:rPr>
          <w:rFonts w:hint="default" w:ascii="Times New Roman" w:hAnsi="Times New Roman" w:eastAsia="Times New Roman" w:cs="Times New Roman"/>
          <w:spacing w:val="-16"/>
        </w:rPr>
        <w:t>=</w:t>
      </w:r>
      <w:r>
        <w:rPr>
          <w:rFonts w:hint="default" w:ascii="Times New Roman" w:hAnsi="Times New Roman" w:cs="Times New Roman"/>
        </w:rPr>
        <w:t>①</w:t>
      </w:r>
      <w:r>
        <w:rPr>
          <w:rFonts w:hint="default" w:ascii="Times New Roman" w:hAnsi="Times New Roman" w:eastAsia="Times New Roman" w:cs="Times New Roman"/>
          <w:spacing w:val="-9"/>
        </w:rPr>
        <w:t>+</w:t>
      </w:r>
      <w:r>
        <w:rPr>
          <w:rFonts w:hint="default" w:ascii="Times New Roman" w:hAnsi="Times New Roman" w:cs="Times New Roman"/>
        </w:rPr>
        <w:t>③</w:t>
      </w:r>
      <w:r>
        <w:rPr>
          <w:rFonts w:hint="default" w:ascii="Times New Roman" w:hAnsi="Times New Roman" w:eastAsia="Times New Roman" w:cs="Times New Roman"/>
          <w:spacing w:val="-9"/>
        </w:rPr>
        <w:t>+</w:t>
      </w:r>
      <w:r>
        <w:rPr>
          <w:rFonts w:hint="default" w:ascii="Times New Roman" w:hAnsi="Times New Roman" w:cs="Times New Roman"/>
        </w:rPr>
        <w:t>④</w:t>
      </w:r>
      <w:r>
        <w:rPr>
          <w:rFonts w:hint="default" w:ascii="Times New Roman" w:hAnsi="Times New Roman" w:eastAsia="Times New Roman" w:cs="Times New Roman"/>
          <w:spacing w:val="-8"/>
        </w:rPr>
        <w:t>-</w:t>
      </w:r>
      <w:r>
        <w:rPr>
          <w:rFonts w:hint="default" w:ascii="Times New Roman" w:hAnsi="Times New Roman" w:cs="Times New Roman"/>
        </w:rPr>
        <w:t>⑤</w:t>
      </w:r>
      <w:r>
        <w:rPr>
          <w:rFonts w:hint="default" w:ascii="Times New Roman" w:hAnsi="Times New Roman" w:cs="Times New Roman"/>
          <w:spacing w:val="-34"/>
        </w:rPr>
        <w:t>；</w:t>
      </w:r>
      <w:r>
        <w:rPr>
          <w:rFonts w:hint="default" w:ascii="Times New Roman" w:hAnsi="Times New Roman" w:cs="Times New Roman"/>
        </w:rPr>
        <w:t>⑦</w:t>
      </w:r>
      <w:r>
        <w:rPr>
          <w:rFonts w:hint="default" w:ascii="Times New Roman" w:hAnsi="Times New Roman" w:eastAsia="Times New Roman" w:cs="Times New Roman"/>
          <w:spacing w:val="-9"/>
        </w:rPr>
        <w:t>=</w:t>
      </w:r>
      <w:r>
        <w:rPr>
          <w:rFonts w:hint="default" w:ascii="Times New Roman" w:hAnsi="Times New Roman" w:cs="Times New Roman"/>
        </w:rPr>
        <w:t>⑥</w:t>
      </w:r>
      <w:r>
        <w:rPr>
          <w:rFonts w:hint="default" w:ascii="Times New Roman" w:hAnsi="Times New Roman" w:eastAsia="Times New Roman" w:cs="Times New Roman"/>
          <w:spacing w:val="-18"/>
        </w:rPr>
        <w:t>-</w:t>
      </w:r>
      <w:r>
        <w:rPr>
          <w:rFonts w:hint="default" w:ascii="Times New Roman" w:hAnsi="Times New Roman" w:cs="Times New Roman"/>
        </w:rPr>
        <w:t>①</w:t>
      </w:r>
      <w:bookmarkEnd w:id="11"/>
    </w:p>
    <w:p>
      <w:pPr>
        <w:rPr>
          <w:rFonts w:hint="default" w:ascii="Times New Roman" w:hAnsi="Times New Roman" w:eastAsia="宋体" w:cs="Times New Roman"/>
          <w:sz w:val="20"/>
          <w:szCs w:val="20"/>
        </w:rPr>
      </w:pPr>
    </w:p>
    <w:p>
      <w:pPr>
        <w:rPr>
          <w:rFonts w:hint="default" w:ascii="Times New Roman" w:hAnsi="Times New Roman" w:eastAsia="宋体" w:cs="Times New Roman"/>
          <w:sz w:val="20"/>
          <w:szCs w:val="20"/>
        </w:rPr>
      </w:pPr>
    </w:p>
    <w:p>
      <w:pPr>
        <w:rPr>
          <w:rFonts w:hint="default" w:ascii="Times New Roman" w:hAnsi="Times New Roman" w:eastAsia="宋体" w:cs="Times New Roman"/>
          <w:sz w:val="20"/>
          <w:szCs w:val="20"/>
        </w:rPr>
      </w:pPr>
    </w:p>
    <w:p>
      <w:pPr>
        <w:spacing w:before="10"/>
        <w:rPr>
          <w:rFonts w:hint="default" w:ascii="Times New Roman" w:hAnsi="Times New Roman" w:eastAsia="宋体" w:cs="Times New Roman"/>
          <w:sz w:val="24"/>
          <w:szCs w:val="24"/>
        </w:rPr>
        <w:sectPr>
          <w:footerReference r:id="rId8" w:type="default"/>
          <w:pgSz w:w="16840" w:h="11910" w:orient="landscape"/>
          <w:pgMar w:top="1100" w:right="1440" w:bottom="280" w:left="1420" w:header="0" w:footer="0" w:gutter="0"/>
          <w:pgBorders>
            <w:top w:val="none" w:sz="0" w:space="0"/>
            <w:left w:val="none" w:sz="0" w:space="0"/>
            <w:bottom w:val="none" w:sz="0" w:space="0"/>
            <w:right w:val="none" w:sz="0" w:space="0"/>
          </w:pgBorders>
          <w:pgNumType w:fmt="decimal"/>
          <w:cols w:space="720" w:num="1"/>
        </w:sectPr>
      </w:pPr>
    </w:p>
    <w:p>
      <w:pPr>
        <w:spacing w:line="540" w:lineRule="exact"/>
        <w:jc w:val="center"/>
        <w:rPr>
          <w:rFonts w:hint="default" w:ascii="Times New Roman" w:hAnsi="Times New Roman" w:cs="Times New Roman"/>
          <w:color w:val="000000"/>
          <w:sz w:val="44"/>
          <w:szCs w:val="44"/>
        </w:rPr>
      </w:pPr>
      <w:r>
        <w:rPr>
          <w:rFonts w:hint="default" w:ascii="Times New Roman" w:hAnsi="Times New Roman" w:cs="Times New Roman"/>
          <w:color w:val="000000"/>
          <w:sz w:val="44"/>
          <w:szCs w:val="44"/>
        </w:rPr>
        <w:t>注    释</w:t>
      </w:r>
    </w:p>
    <w:p>
      <w:pPr>
        <w:spacing w:line="360" w:lineRule="auto"/>
        <w:ind w:firstLine="480" w:firstLineChars="200"/>
        <w:rPr>
          <w:rFonts w:hint="default" w:ascii="Times New Roman" w:hAnsi="Times New Roman" w:cs="Times New Roman"/>
          <w:color w:val="000000"/>
          <w:sz w:val="24"/>
        </w:rPr>
      </w:pPr>
    </w:p>
    <w:p>
      <w:pPr>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一、本报告表应附以下附件、附图：</w:t>
      </w:r>
    </w:p>
    <w:p>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附件1  环评委托书</w:t>
      </w:r>
    </w:p>
    <w:p>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附件2  江苏省投资项目备案证</w:t>
      </w:r>
    </w:p>
    <w:p>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附件3  建设单位营业执照</w:t>
      </w:r>
    </w:p>
    <w:p>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附件4  法人身份证</w:t>
      </w:r>
    </w:p>
    <w:p>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附件5  连云港市企业环保信用承诺表</w:t>
      </w:r>
    </w:p>
    <w:p>
      <w:pPr>
        <w:spacing w:line="360" w:lineRule="auto"/>
        <w:ind w:firstLine="480" w:firstLineChars="200"/>
        <w:jc w:val="left"/>
        <w:rPr>
          <w:rFonts w:hint="default" w:ascii="Times New Roman" w:hAnsi="Times New Roman" w:eastAsia="宋体" w:cs="Times New Roman"/>
          <w:color w:val="000000"/>
          <w:sz w:val="24"/>
          <w:lang w:val="en-US" w:eastAsia="zh-CN"/>
        </w:rPr>
      </w:pPr>
      <w:r>
        <w:rPr>
          <w:rFonts w:hint="default" w:ascii="Times New Roman" w:hAnsi="Times New Roman" w:cs="Times New Roman"/>
          <w:color w:val="000000"/>
          <w:sz w:val="24"/>
        </w:rPr>
        <w:t xml:space="preserve">附件6  </w:t>
      </w:r>
      <w:r>
        <w:rPr>
          <w:rFonts w:hint="eastAsia" w:ascii="Times New Roman" w:hAnsi="Times New Roman" w:cs="Times New Roman"/>
          <w:color w:val="000000"/>
          <w:sz w:val="24"/>
          <w:lang w:val="en-US" w:eastAsia="zh-CN"/>
        </w:rPr>
        <w:t>租赁合同</w:t>
      </w:r>
    </w:p>
    <w:p>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附件</w:t>
      </w:r>
      <w:r>
        <w:rPr>
          <w:rFonts w:hint="default" w:ascii="Times New Roman" w:hAnsi="Times New Roman" w:eastAsia="宋体" w:cs="Times New Roman"/>
          <w:color w:val="000000"/>
          <w:sz w:val="24"/>
          <w:lang w:val="en-US" w:eastAsia="zh-CN"/>
        </w:rPr>
        <w:t>7</w:t>
      </w:r>
      <w:r>
        <w:rPr>
          <w:rFonts w:hint="default" w:ascii="Times New Roman" w:hAnsi="Times New Roman" w:cs="Times New Roman"/>
          <w:color w:val="000000"/>
          <w:sz w:val="24"/>
        </w:rPr>
        <w:t xml:space="preserve"> 现有项目环评批复</w:t>
      </w:r>
    </w:p>
    <w:p>
      <w:pPr>
        <w:spacing w:line="360" w:lineRule="auto"/>
        <w:ind w:firstLine="480" w:firstLineChars="200"/>
        <w:jc w:val="left"/>
        <w:rPr>
          <w:rFonts w:hint="default" w:ascii="Times New Roman" w:hAnsi="Times New Roman" w:eastAsia="宋体" w:cs="Times New Roman"/>
          <w:color w:val="000000"/>
          <w:sz w:val="24"/>
          <w:lang w:val="en-US" w:eastAsia="zh-CN"/>
        </w:rPr>
      </w:pPr>
      <w:r>
        <w:rPr>
          <w:rFonts w:hint="default" w:ascii="Times New Roman" w:hAnsi="Times New Roman" w:cs="Times New Roman"/>
          <w:color w:val="000000"/>
          <w:sz w:val="24"/>
        </w:rPr>
        <w:t>附件</w:t>
      </w:r>
      <w:r>
        <w:rPr>
          <w:rFonts w:hint="default" w:ascii="Times New Roman" w:hAnsi="Times New Roman" w:eastAsia="宋体" w:cs="Times New Roman"/>
          <w:color w:val="000000"/>
          <w:sz w:val="24"/>
          <w:lang w:val="en-US" w:eastAsia="zh-CN"/>
        </w:rPr>
        <w:t>8</w:t>
      </w:r>
      <w:r>
        <w:rPr>
          <w:rFonts w:hint="default" w:ascii="Times New Roman" w:hAnsi="Times New Roman" w:cs="Times New Roman"/>
          <w:color w:val="000000"/>
          <w:sz w:val="24"/>
        </w:rPr>
        <w:t xml:space="preserve"> 现有项目验收</w:t>
      </w:r>
      <w:r>
        <w:rPr>
          <w:rFonts w:hint="default" w:ascii="Times New Roman" w:hAnsi="Times New Roman" w:eastAsia="宋体" w:cs="Times New Roman"/>
          <w:color w:val="000000"/>
          <w:sz w:val="24"/>
          <w:lang w:val="en-US" w:eastAsia="zh-CN"/>
        </w:rPr>
        <w:t>资料</w:t>
      </w:r>
    </w:p>
    <w:p>
      <w:pPr>
        <w:spacing w:line="360" w:lineRule="auto"/>
        <w:ind w:firstLine="480" w:firstLineChars="200"/>
        <w:jc w:val="left"/>
        <w:rPr>
          <w:rFonts w:hint="default" w:ascii="Times New Roman" w:hAnsi="Times New Roman" w:eastAsia="宋体" w:cs="Times New Roman"/>
          <w:color w:val="000000"/>
          <w:sz w:val="24"/>
          <w:lang w:val="en-US" w:eastAsia="zh-CN"/>
        </w:rPr>
      </w:pPr>
      <w:r>
        <w:rPr>
          <w:rFonts w:hint="default" w:ascii="Times New Roman" w:hAnsi="Times New Roman" w:cs="Times New Roman"/>
          <w:color w:val="000000"/>
          <w:sz w:val="24"/>
        </w:rPr>
        <w:t>附件</w:t>
      </w:r>
      <w:r>
        <w:rPr>
          <w:rFonts w:hint="default" w:ascii="Times New Roman" w:hAnsi="Times New Roman" w:eastAsia="宋体" w:cs="Times New Roman"/>
          <w:color w:val="000000"/>
          <w:sz w:val="24"/>
          <w:lang w:val="en-US" w:eastAsia="zh-CN"/>
        </w:rPr>
        <w:t>9</w:t>
      </w:r>
      <w:r>
        <w:rPr>
          <w:rFonts w:hint="default" w:ascii="Times New Roman" w:hAnsi="Times New Roman" w:cs="Times New Roman"/>
          <w:color w:val="000000"/>
          <w:sz w:val="24"/>
        </w:rPr>
        <w:t xml:space="preserve"> 现有项目</w:t>
      </w:r>
      <w:r>
        <w:rPr>
          <w:rFonts w:hint="default" w:ascii="Times New Roman" w:hAnsi="Times New Roman" w:eastAsia="宋体" w:cs="Times New Roman"/>
          <w:color w:val="000000"/>
          <w:sz w:val="24"/>
          <w:lang w:val="en-US" w:eastAsia="zh-CN"/>
        </w:rPr>
        <w:t>排污许可证</w:t>
      </w:r>
    </w:p>
    <w:p>
      <w:pPr>
        <w:spacing w:line="360" w:lineRule="auto"/>
        <w:ind w:firstLine="480" w:firstLineChars="200"/>
        <w:jc w:val="left"/>
        <w:rPr>
          <w:rFonts w:hint="default" w:ascii="Times New Roman" w:hAnsi="Times New Roman" w:eastAsia="宋体" w:cs="Times New Roman"/>
          <w:color w:val="000000"/>
          <w:sz w:val="24"/>
          <w:lang w:val="en-US" w:eastAsia="zh-CN"/>
        </w:rPr>
      </w:pPr>
      <w:r>
        <w:rPr>
          <w:rFonts w:hint="default" w:ascii="Times New Roman" w:hAnsi="Times New Roman" w:cs="Times New Roman"/>
          <w:color w:val="000000"/>
          <w:sz w:val="24"/>
        </w:rPr>
        <w:t>附件</w:t>
      </w:r>
      <w:r>
        <w:rPr>
          <w:rFonts w:hint="eastAsia" w:ascii="Times New Roman" w:hAnsi="Times New Roman" w:cs="Times New Roman"/>
          <w:color w:val="000000"/>
          <w:sz w:val="24"/>
          <w:lang w:val="en-US" w:eastAsia="zh-CN"/>
        </w:rPr>
        <w:t>10</w:t>
      </w:r>
      <w:r>
        <w:rPr>
          <w:rFonts w:hint="default" w:ascii="Times New Roman" w:hAnsi="Times New Roman" w:cs="Times New Roman"/>
          <w:color w:val="000000"/>
          <w:sz w:val="24"/>
        </w:rPr>
        <w:t xml:space="preserve"> </w:t>
      </w:r>
      <w:r>
        <w:rPr>
          <w:rFonts w:hint="eastAsia" w:ascii="Times New Roman" w:hAnsi="Times New Roman" w:cs="Times New Roman"/>
          <w:color w:val="000000"/>
          <w:sz w:val="24"/>
          <w:lang w:val="en-US" w:eastAsia="zh-CN"/>
        </w:rPr>
        <w:t>水性油墨SDS资料及检测报告</w:t>
      </w:r>
    </w:p>
    <w:p>
      <w:pPr>
        <w:spacing w:line="360" w:lineRule="auto"/>
        <w:ind w:firstLine="480" w:firstLineChars="200"/>
        <w:jc w:val="left"/>
        <w:rPr>
          <w:rFonts w:hint="default" w:ascii="Times New Roman" w:hAnsi="Times New Roman" w:cs="Times New Roman"/>
          <w:color w:val="000000"/>
          <w:sz w:val="24"/>
        </w:rPr>
      </w:pPr>
      <w:r>
        <w:rPr>
          <w:rFonts w:hint="default" w:ascii="Times New Roman" w:hAnsi="Times New Roman" w:cs="Times New Roman"/>
          <w:color w:val="000000"/>
          <w:sz w:val="24"/>
        </w:rPr>
        <w:t>附件</w:t>
      </w:r>
      <w:r>
        <w:rPr>
          <w:rFonts w:hint="default" w:ascii="Times New Roman" w:hAnsi="Times New Roman" w:cs="Times New Roman"/>
          <w:color w:val="000000"/>
          <w:sz w:val="24"/>
          <w:lang w:val="en-US" w:eastAsia="zh-CN"/>
        </w:rPr>
        <w:t>1</w:t>
      </w:r>
      <w:r>
        <w:rPr>
          <w:rFonts w:hint="eastAsia" w:ascii="Times New Roman" w:hAnsi="Times New Roman" w:cs="Times New Roman"/>
          <w:color w:val="000000"/>
          <w:sz w:val="24"/>
          <w:lang w:val="en-US" w:eastAsia="zh-CN"/>
        </w:rPr>
        <w:t>1</w:t>
      </w:r>
      <w:r>
        <w:rPr>
          <w:rFonts w:hint="default" w:ascii="Times New Roman" w:hAnsi="Times New Roman" w:cs="Times New Roman"/>
          <w:color w:val="000000"/>
          <w:sz w:val="24"/>
        </w:rPr>
        <w:t xml:space="preserve"> 连云港市生态环境局建设项目环境影响评价审批申请表</w:t>
      </w:r>
    </w:p>
    <w:p>
      <w:pPr>
        <w:spacing w:line="360" w:lineRule="auto"/>
        <w:ind w:firstLine="480" w:firstLineChars="200"/>
        <w:rPr>
          <w:rFonts w:hint="default" w:ascii="Times New Roman" w:hAnsi="Times New Roman" w:cs="Times New Roman"/>
          <w:sz w:val="24"/>
        </w:rPr>
      </w:pP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附图1  项目地理位置图</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附图2  项目所在区域地表水系图</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附图3  江苏省生态空间保护区域分布图</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附图4  建设项目平面布置图</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附图5  四邻、卫生防护距离情况图</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附图6  监测点位图</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附图</w:t>
      </w:r>
      <w:r>
        <w:rPr>
          <w:rFonts w:hint="default" w:ascii="Times New Roman" w:hAnsi="Times New Roman" w:eastAsia="宋体" w:cs="Times New Roman"/>
          <w:sz w:val="24"/>
          <w:lang w:val="en-US" w:eastAsia="zh-CN"/>
        </w:rPr>
        <w:t>7</w:t>
      </w:r>
      <w:r>
        <w:rPr>
          <w:rFonts w:hint="default" w:ascii="Times New Roman" w:hAnsi="Times New Roman" w:cs="Times New Roman"/>
          <w:sz w:val="24"/>
        </w:rPr>
        <w:t xml:space="preserve">  工程师勘查现场照片</w:t>
      </w:r>
    </w:p>
    <w:p>
      <w:pPr>
        <w:pStyle w:val="28"/>
        <w:rPr>
          <w:rFonts w:hint="default" w:ascii="Times New Roman" w:hAnsi="Times New Roman" w:cs="Times New Roman"/>
        </w:rPr>
        <w:sectPr>
          <w:footerReference r:id="rId9" w:type="default"/>
          <w:pgSz w:w="11910" w:h="16840"/>
          <w:pgMar w:top="1440" w:right="1440" w:bottom="1440" w:left="1440" w:header="0" w:footer="0" w:gutter="0"/>
          <w:pgBorders>
            <w:top w:val="none" w:sz="0" w:space="0"/>
            <w:left w:val="none" w:sz="0" w:space="0"/>
            <w:bottom w:val="none" w:sz="0" w:space="0"/>
            <w:right w:val="none" w:sz="0" w:space="0"/>
          </w:pgBorders>
          <w:pgNumType w:fmt="decimal"/>
          <w:cols w:space="720" w:num="1"/>
          <w:docGrid w:linePitch="299" w:charSpace="0"/>
        </w:sectPr>
      </w:pPr>
    </w:p>
    <w:p>
      <w:pPr>
        <w:rPr>
          <w:rFonts w:hint="default" w:ascii="Times New Roman" w:hAnsi="Times New Roman" w:cs="Times New Roman" w:eastAsiaTheme="minorEastAsia"/>
          <w:sz w:val="28"/>
        </w:rPr>
      </w:pPr>
      <w:r>
        <w:rPr>
          <w:rFonts w:hint="default" w:ascii="Times New Roman" w:hAnsi="Times New Roman" w:cs="Times New Roman" w:eastAsiaTheme="minorEastAsia"/>
          <w:sz w:val="28"/>
        </w:rPr>
        <w:t>附件1 委托书</w:t>
      </w:r>
    </w:p>
    <w:p>
      <w:pPr>
        <w:pStyle w:val="32"/>
        <w:rPr>
          <w:rFonts w:hint="default" w:ascii="Times New Roman" w:hAnsi="Times New Roman" w:cs="Times New Roman" w:eastAsiaTheme="minorEastAsia"/>
        </w:rPr>
      </w:pPr>
    </w:p>
    <w:p>
      <w:pPr>
        <w:rPr>
          <w:rFonts w:hint="default" w:ascii="Times New Roman" w:hAnsi="Times New Roman" w:cs="Times New Roman" w:eastAsiaTheme="minorEastAsia"/>
        </w:rPr>
      </w:pPr>
    </w:p>
    <w:p>
      <w:pPr>
        <w:pStyle w:val="32"/>
        <w:rPr>
          <w:rFonts w:hint="default" w:ascii="Times New Roman" w:hAnsi="Times New Roman" w:cs="Times New Roman" w:eastAsiaTheme="minorEastAsia"/>
        </w:rPr>
      </w:pPr>
    </w:p>
    <w:p>
      <w:pPr>
        <w:jc w:val="center"/>
        <w:rPr>
          <w:rFonts w:hint="default" w:ascii="Times New Roman" w:hAnsi="Times New Roman" w:cs="Times New Roman" w:eastAsiaTheme="minorEastAsia"/>
          <w:sz w:val="44"/>
          <w:szCs w:val="44"/>
        </w:rPr>
      </w:pPr>
      <w:r>
        <w:rPr>
          <w:rFonts w:hint="default" w:ascii="Times New Roman" w:hAnsi="Times New Roman" w:cs="Times New Roman" w:eastAsiaTheme="minorEastAsia"/>
          <w:sz w:val="28"/>
        </w:rPr>
        <mc:AlternateContent>
          <mc:Choice Requires="wps">
            <w:drawing>
              <wp:anchor distT="0" distB="0" distL="114300" distR="114300" simplePos="0" relativeHeight="251664384" behindDoc="0" locked="0" layoutInCell="1" allowOverlap="1">
                <wp:simplePos x="0" y="0"/>
                <wp:positionH relativeFrom="column">
                  <wp:posOffset>-19685</wp:posOffset>
                </wp:positionH>
                <wp:positionV relativeFrom="paragraph">
                  <wp:posOffset>-8700770</wp:posOffset>
                </wp:positionV>
                <wp:extent cx="845820" cy="304800"/>
                <wp:effectExtent l="4445" t="4445" r="13335" b="8255"/>
                <wp:wrapNone/>
                <wp:docPr id="64" name="矩形 64"/>
                <wp:cNvGraphicFramePr/>
                <a:graphic xmlns:a="http://schemas.openxmlformats.org/drawingml/2006/main">
                  <a:graphicData uri="http://schemas.microsoft.com/office/word/2010/wordprocessingShape">
                    <wps:wsp>
                      <wps:cNvSpPr/>
                      <wps:spPr>
                        <a:xfrm>
                          <a:off x="0" y="0"/>
                          <a:ext cx="845820" cy="304800"/>
                        </a:xfrm>
                        <a:prstGeom prst="rect">
                          <a:avLst/>
                        </a:prstGeom>
                        <a:solidFill>
                          <a:srgbClr val="FFFFFF"/>
                        </a:solidFill>
                        <a:ln w="31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2060"/>
                              </w:rPr>
                            </w:pPr>
                            <w:r>
                              <w:rPr>
                                <w:rFonts w:hint="eastAsia"/>
                                <w:color w:val="002060"/>
                              </w:rPr>
                              <w:t>附件1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5pt;margin-top:-685.1pt;height:24pt;width:66.6pt;z-index:251664384;v-text-anchor:middle;mso-width-relative:page;mso-height-relative:page;" fillcolor="#FFFFFF" filled="t" stroked="t" coordsize="21600,21600" o:gfxdata="UEsDBAoAAAAAAIdO4kAAAAAAAAAAAAAAAAAEAAAAZHJzL1BLAwQUAAAACACHTuJABDzpL9kAAAAO&#10;AQAADwAAAGRycy9kb3ducmV2LnhtbE2PzU7DMBCE70i8g7VIXFDrn6CA0jg9IMGZlh7g5sZuHIjX&#10;qe2m4e1xucBptTOj2W/r9ewGMpkQe48S+JIBMdh63WMnYff2vHgEEpNCrQaPRsK3ibBurq9qVWl/&#10;xo2ZtqkjuQRjpSTYlMaK0tha41Rc+tFg9g4+OJXyGjqqgzrncjdQwVhJneoxX7BqNE/WtF/bk5NQ&#10;th/882We+mD1a+nuju9HtrmX8vaGsxWQZOb0F4YLfkaHJjPt/Ql1JIOERcFzMk9ePDAB5BIpWNb2&#10;v5oQAmhT0/9vND9QSwMEFAAAAAgAh07iQEqznPtvAgAA6AQAAA4AAABkcnMvZTJvRG9jLnhtbK1U&#10;zW4TMRC+I/EOlu90NyFtQ9RNFTUKQqpopYI4O147u5L/sJ1syssgceMh+jiI1+Czd9umhUMP5LCZ&#10;8Yxn5vtmxmfne63ITvjQWlPR0VFJiTDc1q3ZVPTzp9WbKSUhMlMzZY2o6K0I9Hz++tVZ52ZibBur&#10;auEJgpgw61xFmxjdrCgCb4Rm4cg6YWCU1msWofpNUXvWIbpWxbgsT4rO+tp5y0UIOF32RjpE9C8J&#10;aKVsuVhavtXCxD6qF4pFQApN6wKd52qlFDxeSRlEJKqiQBrzF0kgr9O3mJ+x2cYz17R8KIG9pIRn&#10;mDRrDZI+hFqyyMjWt3+F0i33NlgZj7jVRQ8kMwIUo/IZNzcNcyJjAdXBPZAe/l9Y/nF37UlbV/Rk&#10;QolhGh3//f3nr7sfBAdgp3NhBqcbd+0HLUBMUPfS6/QPEGSfGb19YFTsI+E4nE6Op2NwzWF6W06m&#10;ZWa8eLzsfIjvhdUkCRX1aFjmke0uQ0RCuN67pFzBqrZetUplxW/WF8qTHUNzV/mXKsaVJ27KkA7Z&#10;R6fHqINhYiUmBaJ2QB3MhhKmNlgFHn1O/eRyOMxRluPy5B7BE7dU45KFpq8lm4ZSlEFFicSetiTF&#10;/Xo/cLm29S3497YfzOD4qkWoSxbiNfOYRHCHXY1X+EhlgcMOEiWN9d/+dZ78MSCwUtJhsgHy65Z5&#10;QYn6YDA670aTSVqFrEyOT1N//KFlfWgxW31hwe8Ir4LjWUz+Ud2L0lv9BSu9SFlhYoYjd0/noFzE&#10;fuPwKHCxWGQ3jL9j8dLcOJ6Cp34au9hGK9vc90RUz87AHxYg93ZY1rRhh3r2enyg5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BDzpL9kAAAAOAQAADwAAAAAAAAABACAAAAAiAAAAZHJzL2Rvd25y&#10;ZXYueG1sUEsBAhQAFAAAAAgAh07iQEqznPtvAgAA6AQAAA4AAAAAAAAAAQAgAAAAKAEAAGRycy9l&#10;Mm9Eb2MueG1sUEsFBgAAAAAGAAYAWQEAAAkGAAAAAA==&#10;">
                <v:fill on="t" focussize="0,0"/>
                <v:stroke weight="0.25pt" color="#002060 [3204]" joinstyle="round"/>
                <v:imagedata o:title=""/>
                <o:lock v:ext="edit" aspectratio="f"/>
                <v:textbox>
                  <w:txbxContent>
                    <w:p>
                      <w:pPr>
                        <w:jc w:val="center"/>
                        <w:rPr>
                          <w:color w:val="002060"/>
                        </w:rPr>
                      </w:pPr>
                      <w:r>
                        <w:rPr>
                          <w:rFonts w:hint="eastAsia"/>
                          <w:color w:val="002060"/>
                        </w:rPr>
                        <w:t>附件1</w:t>
                      </w:r>
                    </w:p>
                  </w:txbxContent>
                </v:textbox>
              </v:rect>
            </w:pict>
          </mc:Fallback>
        </mc:AlternateContent>
      </w:r>
      <w:r>
        <w:rPr>
          <w:rFonts w:hint="default" w:ascii="Times New Roman" w:hAnsi="Times New Roman" w:cs="Times New Roman" w:eastAsiaTheme="minorEastAsia"/>
          <w:sz w:val="44"/>
          <w:szCs w:val="44"/>
        </w:rPr>
        <w:t>委 托 书</w:t>
      </w:r>
    </w:p>
    <w:p>
      <w:pPr>
        <w:spacing w:line="360" w:lineRule="auto"/>
        <w:jc w:val="center"/>
        <w:rPr>
          <w:rFonts w:hint="default" w:ascii="Times New Roman" w:hAnsi="Times New Roman" w:cs="Times New Roman" w:eastAsiaTheme="minorEastAsia"/>
          <w:sz w:val="28"/>
          <w:szCs w:val="28"/>
        </w:rPr>
      </w:pPr>
    </w:p>
    <w:p>
      <w:pPr>
        <w:spacing w:line="360" w:lineRule="auto"/>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江苏中之禾工程设计咨询有限公司：</w:t>
      </w:r>
    </w:p>
    <w:p>
      <w:pPr>
        <w:spacing w:line="360" w:lineRule="auto"/>
        <w:ind w:firstLine="560" w:firstLineChars="200"/>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 xml:space="preserve">    根据《中华人民共和国环境影响评价法》及《建设项目环境保护管理条例》规定，结合我公司的实际情况，特委托贵公司对我单位“</w:t>
      </w:r>
      <w:r>
        <w:rPr>
          <w:rFonts w:hint="default" w:ascii="Times New Roman" w:hAnsi="Times New Roman" w:cs="Times New Roman" w:eastAsiaTheme="minorEastAsia"/>
          <w:sz w:val="28"/>
          <w:szCs w:val="28"/>
          <w:lang w:val="en-US" w:eastAsia="zh-CN"/>
        </w:rPr>
        <w:t>包装材料制造项目技术改造</w:t>
      </w:r>
      <w:r>
        <w:rPr>
          <w:rFonts w:hint="default" w:ascii="Times New Roman" w:hAnsi="Times New Roman" w:cs="Times New Roman" w:eastAsiaTheme="minorEastAsia"/>
          <w:sz w:val="28"/>
          <w:szCs w:val="28"/>
        </w:rPr>
        <w:t>”进行环境影响评价，并编制环境影响报告表。</w:t>
      </w:r>
    </w:p>
    <w:p>
      <w:pPr>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 xml:space="preserve">    特此委托。</w:t>
      </w:r>
    </w:p>
    <w:p>
      <w:pPr>
        <w:spacing w:line="360" w:lineRule="auto"/>
        <w:ind w:firstLine="560" w:firstLineChars="200"/>
        <w:rPr>
          <w:rFonts w:hint="default" w:ascii="Times New Roman" w:hAnsi="Times New Roman" w:cs="Times New Roman" w:eastAsiaTheme="minorEastAsia"/>
          <w:sz w:val="28"/>
          <w:szCs w:val="28"/>
        </w:rPr>
      </w:pPr>
    </w:p>
    <w:p>
      <w:pPr>
        <w:spacing w:line="360" w:lineRule="auto"/>
        <w:rPr>
          <w:rFonts w:hint="default" w:ascii="Times New Roman" w:hAnsi="Times New Roman" w:cs="Times New Roman" w:eastAsiaTheme="minorEastAsia"/>
          <w:sz w:val="28"/>
          <w:szCs w:val="28"/>
        </w:rPr>
      </w:pPr>
    </w:p>
    <w:p>
      <w:pPr>
        <w:spacing w:line="360" w:lineRule="auto"/>
        <w:ind w:firstLine="560" w:firstLineChars="200"/>
        <w:jc w:val="right"/>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 xml:space="preserve">              </w:t>
      </w:r>
      <w:r>
        <w:rPr>
          <w:rFonts w:hint="default" w:ascii="Times New Roman" w:hAnsi="Times New Roman" w:cs="Times New Roman" w:eastAsiaTheme="minorEastAsia"/>
          <w:sz w:val="28"/>
          <w:szCs w:val="28"/>
          <w:lang w:val="en-US" w:eastAsia="zh-CN"/>
        </w:rPr>
        <w:t xml:space="preserve">                    连云港中鸿包装有限公司</w:t>
      </w:r>
      <w:r>
        <w:rPr>
          <w:rFonts w:hint="default" w:ascii="Times New Roman" w:hAnsi="Times New Roman" w:cs="Times New Roman" w:eastAsiaTheme="minorEastAsia"/>
          <w:sz w:val="28"/>
          <w:szCs w:val="28"/>
        </w:rPr>
        <w:t xml:space="preserve">                                   </w:t>
      </w:r>
    </w:p>
    <w:p>
      <w:pPr>
        <w:spacing w:line="360" w:lineRule="auto"/>
        <w:ind w:firstLine="560" w:firstLineChars="200"/>
        <w:jc w:val="right"/>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202</w:t>
      </w:r>
      <w:r>
        <w:rPr>
          <w:rFonts w:hint="eastAsia" w:ascii="Times New Roman" w:hAnsi="Times New Roman" w:cs="Times New Roman" w:eastAsiaTheme="minorEastAsia"/>
          <w:sz w:val="28"/>
          <w:szCs w:val="28"/>
          <w:lang w:val="en-US" w:eastAsia="zh-CN"/>
        </w:rPr>
        <w:t>3</w:t>
      </w:r>
      <w:r>
        <w:rPr>
          <w:rFonts w:hint="default" w:ascii="Times New Roman" w:hAnsi="Times New Roman" w:cs="Times New Roman" w:eastAsiaTheme="minorEastAsia"/>
          <w:sz w:val="28"/>
          <w:szCs w:val="28"/>
        </w:rPr>
        <w:t>年</w:t>
      </w:r>
      <w:r>
        <w:rPr>
          <w:rFonts w:hint="eastAsia" w:ascii="Times New Roman" w:hAnsi="Times New Roman" w:cs="Times New Roman" w:eastAsiaTheme="minorEastAsia"/>
          <w:sz w:val="28"/>
          <w:szCs w:val="28"/>
          <w:lang w:val="en-US" w:eastAsia="zh-CN"/>
        </w:rPr>
        <w:t>5</w:t>
      </w:r>
      <w:r>
        <w:rPr>
          <w:rFonts w:hint="default" w:ascii="Times New Roman" w:hAnsi="Times New Roman" w:cs="Times New Roman" w:eastAsiaTheme="minorEastAsia"/>
          <w:sz w:val="28"/>
          <w:szCs w:val="28"/>
        </w:rPr>
        <w:t>月</w:t>
      </w:r>
      <w:r>
        <w:rPr>
          <w:rFonts w:hint="default" w:ascii="Times New Roman" w:hAnsi="Times New Roman" w:cs="Times New Roman" w:eastAsiaTheme="minorEastAsia"/>
          <w:sz w:val="28"/>
          <w:szCs w:val="28"/>
          <w:lang w:val="en-US" w:eastAsia="zh-CN"/>
        </w:rPr>
        <w:t>22</w:t>
      </w:r>
      <w:r>
        <w:rPr>
          <w:rFonts w:hint="default" w:ascii="Times New Roman" w:hAnsi="Times New Roman" w:cs="Times New Roman" w:eastAsiaTheme="minorEastAsia"/>
          <w:sz w:val="28"/>
          <w:szCs w:val="28"/>
        </w:rPr>
        <w:t>日</w:t>
      </w:r>
    </w:p>
    <w:p>
      <w:pPr>
        <w:rPr>
          <w:rFonts w:hint="default" w:ascii="Times New Roman" w:hAnsi="Times New Roman" w:cs="Times New Roman" w:eastAsiaTheme="minorEastAsia"/>
          <w:sz w:val="28"/>
        </w:rPr>
        <w:sectPr>
          <w:pgSz w:w="11910" w:h="16840"/>
          <w:pgMar w:top="1080" w:right="1440" w:bottom="1080" w:left="1440" w:header="0" w:footer="0" w:gutter="0"/>
          <w:pgBorders>
            <w:top w:val="none" w:sz="0" w:space="0"/>
            <w:left w:val="none" w:sz="0" w:space="0"/>
            <w:bottom w:val="none" w:sz="0" w:space="0"/>
            <w:right w:val="none" w:sz="0" w:space="0"/>
          </w:pgBorders>
          <w:pgNumType w:fmt="decimal"/>
          <w:cols w:space="720" w:num="1"/>
          <w:docGrid w:linePitch="299" w:charSpace="0"/>
        </w:sectPr>
      </w:pPr>
    </w:p>
    <w:p>
      <w:pPr>
        <w:jc w:val="left"/>
        <w:rPr>
          <w:rFonts w:hint="default" w:ascii="Times New Roman" w:hAnsi="Times New Roman" w:cs="Times New Roman" w:eastAsiaTheme="minorEastAsia"/>
          <w:sz w:val="28"/>
        </w:rPr>
      </w:pPr>
      <w:r>
        <w:rPr>
          <w:rFonts w:hint="default" w:ascii="Times New Roman" w:hAnsi="Times New Roman" w:cs="Times New Roman" w:eastAsiaTheme="minorEastAsia"/>
          <w:sz w:val="28"/>
        </w:rPr>
        <w:t>附件2  江苏省投资项目备案证</w:t>
      </w:r>
    </w:p>
    <w:p>
      <w:pPr>
        <w:jc w:val="center"/>
        <w:rPr>
          <w:rFonts w:hint="default" w:ascii="Times New Roman" w:hAnsi="Times New Roman" w:cs="Times New Roman" w:eastAsiaTheme="minorEastAsia"/>
          <w:sz w:val="28"/>
        </w:rPr>
      </w:pPr>
      <w:r>
        <w:drawing>
          <wp:inline distT="0" distB="0" distL="114300" distR="114300">
            <wp:extent cx="7029450" cy="4991100"/>
            <wp:effectExtent l="0" t="0" r="6350" b="0"/>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27"/>
                    <a:stretch>
                      <a:fillRect/>
                    </a:stretch>
                  </pic:blipFill>
                  <pic:spPr>
                    <a:xfrm>
                      <a:off x="0" y="0"/>
                      <a:ext cx="7029450" cy="4991100"/>
                    </a:xfrm>
                    <a:prstGeom prst="rect">
                      <a:avLst/>
                    </a:prstGeom>
                    <a:noFill/>
                    <a:ln>
                      <a:noFill/>
                    </a:ln>
                  </pic:spPr>
                </pic:pic>
              </a:graphicData>
            </a:graphic>
          </wp:inline>
        </w:drawing>
      </w:r>
    </w:p>
    <w:p>
      <w:pPr>
        <w:jc w:val="center"/>
        <w:rPr>
          <w:rFonts w:hint="default" w:ascii="Times New Roman" w:hAnsi="Times New Roman" w:cs="Times New Roman" w:eastAsiaTheme="minorEastAsia"/>
          <w:sz w:val="28"/>
        </w:rPr>
        <w:sectPr>
          <w:pgSz w:w="16840" w:h="11910" w:orient="landscape"/>
          <w:pgMar w:top="1440" w:right="1080" w:bottom="1440" w:left="1080" w:header="0" w:footer="0" w:gutter="0"/>
          <w:pgBorders>
            <w:top w:val="none" w:sz="0" w:space="0"/>
            <w:left w:val="none" w:sz="0" w:space="0"/>
            <w:bottom w:val="none" w:sz="0" w:space="0"/>
            <w:right w:val="none" w:sz="0" w:space="0"/>
          </w:pgBorders>
          <w:pgNumType w:fmt="decimal"/>
          <w:cols w:space="720" w:num="1"/>
          <w:docGrid w:linePitch="299" w:charSpace="0"/>
        </w:sectPr>
      </w:pPr>
    </w:p>
    <w:p>
      <w:pPr>
        <w:rPr>
          <w:rFonts w:hint="default" w:ascii="Times New Roman" w:hAnsi="Times New Roman" w:cs="Times New Roman" w:eastAsiaTheme="minorEastAsia"/>
          <w:sz w:val="28"/>
        </w:rPr>
      </w:pPr>
      <w:r>
        <w:rPr>
          <w:rFonts w:hint="default" w:ascii="Times New Roman" w:hAnsi="Times New Roman" w:cs="Times New Roman" w:eastAsiaTheme="minorEastAsia"/>
          <w:sz w:val="28"/>
        </w:rPr>
        <w:t>附件3  建设单位营业执照</w:t>
      </w:r>
    </w:p>
    <w:p>
      <w:pPr>
        <w:jc w:val="center"/>
        <w:rPr>
          <w:rFonts w:hint="default" w:ascii="Times New Roman" w:hAnsi="Times New Roman" w:cs="Times New Roman" w:eastAsiaTheme="minorEastAsia"/>
          <w:sz w:val="28"/>
          <w:lang w:eastAsia="zh-CN"/>
        </w:rPr>
      </w:pPr>
      <w:r>
        <w:rPr>
          <w:rFonts w:hint="default" w:ascii="Times New Roman" w:hAnsi="Times New Roman" w:cs="Times New Roman" w:eastAsiaTheme="minorEastAsia"/>
          <w:sz w:val="28"/>
          <w:lang w:eastAsia="zh-CN"/>
        </w:rPr>
        <w:drawing>
          <wp:inline distT="0" distB="0" distL="114300" distR="114300">
            <wp:extent cx="7244080" cy="5267325"/>
            <wp:effectExtent l="0" t="0" r="7620" b="3175"/>
            <wp:docPr id="53" name="图片 53" descr="中鸿营业执照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中鸿营业执照副本"/>
                    <pic:cNvPicPr>
                      <a:picLocks noChangeAspect="1"/>
                    </pic:cNvPicPr>
                  </pic:nvPicPr>
                  <pic:blipFill>
                    <a:blip r:embed="rId28"/>
                    <a:stretch>
                      <a:fillRect/>
                    </a:stretch>
                  </pic:blipFill>
                  <pic:spPr>
                    <a:xfrm>
                      <a:off x="0" y="0"/>
                      <a:ext cx="7244080" cy="5267325"/>
                    </a:xfrm>
                    <a:prstGeom prst="rect">
                      <a:avLst/>
                    </a:prstGeom>
                  </pic:spPr>
                </pic:pic>
              </a:graphicData>
            </a:graphic>
          </wp:inline>
        </w:drawing>
      </w:r>
    </w:p>
    <w:p>
      <w:pPr>
        <w:rPr>
          <w:rFonts w:hint="default" w:ascii="Times New Roman" w:hAnsi="Times New Roman" w:cs="Times New Roman" w:eastAsiaTheme="minorEastAsia"/>
          <w:sz w:val="28"/>
        </w:rPr>
        <w:sectPr>
          <w:pgSz w:w="16840" w:h="11910" w:orient="landscape"/>
          <w:pgMar w:top="1440" w:right="1080" w:bottom="1440" w:left="1080" w:header="0" w:footer="0" w:gutter="0"/>
          <w:pgBorders>
            <w:top w:val="none" w:sz="0" w:space="0"/>
            <w:left w:val="none" w:sz="0" w:space="0"/>
            <w:bottom w:val="none" w:sz="0" w:space="0"/>
            <w:right w:val="none" w:sz="0" w:space="0"/>
          </w:pgBorders>
          <w:pgNumType w:fmt="decimal"/>
          <w:cols w:space="720" w:num="1"/>
          <w:docGrid w:linePitch="299" w:charSpace="0"/>
        </w:sectPr>
      </w:pPr>
    </w:p>
    <w:p>
      <w:pPr>
        <w:rPr>
          <w:rFonts w:hint="default" w:ascii="Times New Roman" w:hAnsi="Times New Roman" w:cs="Times New Roman" w:eastAsiaTheme="minorEastAsia"/>
          <w:sz w:val="28"/>
        </w:rPr>
      </w:pPr>
      <w:r>
        <w:rPr>
          <w:rFonts w:hint="default" w:ascii="Times New Roman" w:hAnsi="Times New Roman" w:cs="Times New Roman" w:eastAsiaTheme="minorEastAsia"/>
          <w:sz w:val="28"/>
        </w:rPr>
        <w:t>附件4  法人身份证</w:t>
      </w:r>
    </w:p>
    <w:p>
      <w:pPr>
        <w:pStyle w:val="28"/>
        <w:rPr>
          <w:rFonts w:hint="default" w:ascii="Times New Roman" w:hAnsi="Times New Roman" w:cs="Times New Roman"/>
        </w:rPr>
      </w:pPr>
    </w:p>
    <w:p>
      <w:pPr>
        <w:jc w:val="center"/>
        <w:rPr>
          <w:rFonts w:hint="default" w:ascii="Times New Roman" w:hAnsi="Times New Roman" w:cs="Times New Roman" w:eastAsiaTheme="minorEastAsia"/>
          <w:sz w:val="28"/>
          <w:lang w:eastAsia="zh-CN"/>
        </w:rPr>
      </w:pPr>
      <w:r>
        <w:rPr>
          <w:rFonts w:hint="default" w:ascii="Times New Roman" w:hAnsi="Times New Roman" w:cs="Times New Roman" w:eastAsiaTheme="minorEastAsia"/>
          <w:sz w:val="28"/>
          <w:lang w:eastAsia="zh-CN"/>
        </w:rPr>
        <w:drawing>
          <wp:inline distT="0" distB="0" distL="114300" distR="114300">
            <wp:extent cx="4540250" cy="6425565"/>
            <wp:effectExtent l="0" t="0" r="6350" b="635"/>
            <wp:docPr id="55" name="图片 55" descr="法人身份证正反面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法人身份证正反面_00"/>
                    <pic:cNvPicPr>
                      <a:picLocks noChangeAspect="1"/>
                    </pic:cNvPicPr>
                  </pic:nvPicPr>
                  <pic:blipFill>
                    <a:blip r:embed="rId29"/>
                    <a:stretch>
                      <a:fillRect/>
                    </a:stretch>
                  </pic:blipFill>
                  <pic:spPr>
                    <a:xfrm>
                      <a:off x="0" y="0"/>
                      <a:ext cx="4540250" cy="6425565"/>
                    </a:xfrm>
                    <a:prstGeom prst="rect">
                      <a:avLst/>
                    </a:prstGeom>
                  </pic:spPr>
                </pic:pic>
              </a:graphicData>
            </a:graphic>
          </wp:inline>
        </w:drawing>
      </w:r>
    </w:p>
    <w:p>
      <w:pPr>
        <w:pStyle w:val="32"/>
        <w:jc w:val="center"/>
        <w:rPr>
          <w:rFonts w:hint="default" w:ascii="Times New Roman" w:hAnsi="Times New Roman" w:cs="Times New Roman" w:eastAsiaTheme="minorEastAsia"/>
        </w:rPr>
        <w:sectPr>
          <w:pgSz w:w="11910" w:h="16840"/>
          <w:pgMar w:top="1080" w:right="1440" w:bottom="1080" w:left="1440" w:header="0" w:footer="0" w:gutter="0"/>
          <w:pgBorders>
            <w:top w:val="none" w:sz="0" w:space="0"/>
            <w:left w:val="none" w:sz="0" w:space="0"/>
            <w:bottom w:val="none" w:sz="0" w:space="0"/>
            <w:right w:val="none" w:sz="0" w:space="0"/>
          </w:pgBorders>
          <w:pgNumType w:fmt="decimal"/>
          <w:cols w:space="720" w:num="1"/>
          <w:docGrid w:linePitch="299" w:charSpace="0"/>
        </w:sectPr>
      </w:pPr>
    </w:p>
    <w:p>
      <w:pPr>
        <w:rPr>
          <w:rFonts w:hint="default" w:ascii="Times New Roman" w:hAnsi="Times New Roman" w:cs="Times New Roman" w:eastAsiaTheme="minorEastAsia"/>
          <w:sz w:val="28"/>
        </w:rPr>
      </w:pPr>
      <w:r>
        <w:rPr>
          <w:rFonts w:hint="default" w:ascii="Times New Roman" w:hAnsi="Times New Roman" w:cs="Times New Roman" w:eastAsiaTheme="minorEastAsia"/>
          <w:snapToGrid w:val="0"/>
          <w:color w:val="000000"/>
          <w:w w:val="0"/>
          <w:sz w:val="0"/>
          <w:szCs w:val="0"/>
          <w:u w:color="000000"/>
          <w:shd w:val="clear" w:color="000000" w:fill="000000"/>
          <w:lang w:val="zh-CN" w:eastAsia="zh-CN" w:bidi="zh-CN"/>
        </w:rPr>
        <w:t xml:space="preserve"> </w:t>
      </w:r>
      <w:r>
        <w:rPr>
          <w:rFonts w:hint="default" w:ascii="Times New Roman" w:hAnsi="Times New Roman" w:cs="Times New Roman" w:eastAsiaTheme="minorEastAsia"/>
          <w:sz w:val="28"/>
        </w:rPr>
        <w:t>附件5  连云港市企业环保信用承诺表</w:t>
      </w:r>
    </w:p>
    <w:p>
      <w:pPr>
        <w:jc w:val="center"/>
        <w:rPr>
          <w:rFonts w:hint="default" w:ascii="Times New Roman" w:hAnsi="Times New Roman" w:cs="Times New Roman" w:eastAsiaTheme="minorEastAsia"/>
          <w:b/>
          <w:sz w:val="44"/>
          <w:szCs w:val="44"/>
        </w:rPr>
      </w:pPr>
    </w:p>
    <w:p>
      <w:pPr>
        <w:jc w:val="center"/>
        <w:rPr>
          <w:rFonts w:hint="default" w:ascii="Times New Roman" w:hAnsi="Times New Roman" w:cs="Times New Roman" w:eastAsiaTheme="minorEastAsia"/>
          <w:b/>
          <w:sz w:val="44"/>
          <w:szCs w:val="44"/>
        </w:rPr>
      </w:pPr>
      <w:r>
        <w:rPr>
          <w:rFonts w:hint="default" w:ascii="Times New Roman" w:hAnsi="Times New Roman" w:cs="Times New Roman" w:eastAsiaTheme="minorEastAsia"/>
          <w:b/>
          <w:sz w:val="44"/>
          <w:szCs w:val="44"/>
        </w:rPr>
        <w:t>连云港市企业环保信用承诺表</w:t>
      </w:r>
    </w:p>
    <w:tbl>
      <w:tblPr>
        <w:tblStyle w:val="24"/>
        <w:tblW w:w="90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1140"/>
        <w:gridCol w:w="70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4" w:type="dxa"/>
            <w:gridSpan w:val="2"/>
            <w:vAlign w:val="center"/>
          </w:tcPr>
          <w:p>
            <w:pPr>
              <w:ind w:left="560" w:hanging="560"/>
              <w:jc w:val="center"/>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单位全称</w:t>
            </w:r>
          </w:p>
        </w:tc>
        <w:tc>
          <w:tcPr>
            <w:tcW w:w="7087" w:type="dxa"/>
            <w:vAlign w:val="center"/>
          </w:tcPr>
          <w:p>
            <w:pPr>
              <w:ind w:left="560" w:hanging="560"/>
              <w:jc w:val="center"/>
              <w:rPr>
                <w:rFonts w:hint="default" w:ascii="Times New Roman" w:hAnsi="Times New Roman" w:cs="Times New Roman" w:eastAsiaTheme="minorEastAsia"/>
                <w:sz w:val="28"/>
                <w:szCs w:val="28"/>
                <w:lang w:val="en-US" w:eastAsia="zh-CN"/>
              </w:rPr>
            </w:pPr>
            <w:r>
              <w:rPr>
                <w:rFonts w:hint="default" w:ascii="Times New Roman" w:hAnsi="Times New Roman" w:cs="Times New Roman" w:eastAsiaTheme="minorEastAsia"/>
                <w:sz w:val="28"/>
                <w:szCs w:val="28"/>
                <w:lang w:val="en-US" w:eastAsia="zh-CN"/>
              </w:rPr>
              <w:t>连云港中鸿包装有限公司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4" w:type="dxa"/>
            <w:gridSpan w:val="2"/>
            <w:vAlign w:val="center"/>
          </w:tcPr>
          <w:p>
            <w:pPr>
              <w:ind w:left="560" w:hanging="560"/>
              <w:jc w:val="center"/>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社会信用代码</w:t>
            </w:r>
          </w:p>
        </w:tc>
        <w:tc>
          <w:tcPr>
            <w:tcW w:w="7087" w:type="dxa"/>
            <w:vAlign w:val="center"/>
          </w:tcPr>
          <w:p>
            <w:pPr>
              <w:ind w:left="560" w:hanging="560"/>
              <w:jc w:val="center"/>
              <w:rPr>
                <w:rFonts w:hint="default" w:ascii="Times New Roman" w:hAnsi="Times New Roman" w:cs="Times New Roman" w:eastAsiaTheme="minorEastAsia"/>
                <w:sz w:val="28"/>
                <w:szCs w:val="28"/>
                <w:lang w:val="en-US" w:eastAsia="zh-CN"/>
              </w:rPr>
            </w:pPr>
            <w:r>
              <w:rPr>
                <w:rFonts w:hint="default" w:ascii="Times New Roman" w:hAnsi="Times New Roman" w:cs="Times New Roman" w:eastAsiaTheme="minorEastAsia"/>
                <w:sz w:val="28"/>
                <w:szCs w:val="28"/>
                <w:lang w:val="en-US" w:eastAsia="zh-CN"/>
              </w:rPr>
              <w:t>913207006967405679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4" w:type="dxa"/>
            <w:gridSpan w:val="2"/>
            <w:vAlign w:val="center"/>
          </w:tcPr>
          <w:p>
            <w:pPr>
              <w:ind w:left="560" w:hanging="560"/>
              <w:jc w:val="center"/>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项目名称</w:t>
            </w:r>
          </w:p>
        </w:tc>
        <w:tc>
          <w:tcPr>
            <w:tcW w:w="7087" w:type="dxa"/>
            <w:vAlign w:val="center"/>
          </w:tcPr>
          <w:p>
            <w:pPr>
              <w:ind w:left="560" w:hanging="560"/>
              <w:jc w:val="center"/>
              <w:rPr>
                <w:rFonts w:hint="default" w:ascii="Times New Roman" w:hAnsi="Times New Roman" w:cs="Times New Roman" w:eastAsiaTheme="minorEastAsia"/>
                <w:sz w:val="28"/>
                <w:szCs w:val="28"/>
                <w:lang w:val="en-US" w:eastAsia="zh-CN"/>
              </w:rPr>
            </w:pPr>
            <w:r>
              <w:rPr>
                <w:rFonts w:hint="default" w:ascii="Times New Roman" w:hAnsi="Times New Roman" w:cs="Times New Roman" w:eastAsiaTheme="minorEastAsia"/>
                <w:sz w:val="28"/>
                <w:szCs w:val="28"/>
                <w:lang w:val="en-US" w:eastAsia="zh-CN"/>
              </w:rPr>
              <w:t>包装材料制造项目技术改造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4" w:type="dxa"/>
            <w:gridSpan w:val="2"/>
            <w:vAlign w:val="center"/>
          </w:tcPr>
          <w:p>
            <w:pPr>
              <w:ind w:left="560" w:hanging="560"/>
              <w:jc w:val="center"/>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项目代码</w:t>
            </w:r>
          </w:p>
        </w:tc>
        <w:tc>
          <w:tcPr>
            <w:tcW w:w="7087" w:type="dxa"/>
            <w:vAlign w:val="center"/>
          </w:tcPr>
          <w:p>
            <w:pPr>
              <w:ind w:left="560" w:hanging="560"/>
              <w:jc w:val="center"/>
              <w:rPr>
                <w:rFonts w:hint="default" w:ascii="Times New Roman" w:hAnsi="Times New Roman" w:cs="Times New Roman" w:eastAsiaTheme="minorEastAsia"/>
                <w:sz w:val="28"/>
                <w:szCs w:val="28"/>
                <w:lang w:val="en-US" w:eastAsia="zh-CN"/>
              </w:rPr>
            </w:pPr>
            <w:r>
              <w:rPr>
                <w:rFonts w:hint="default" w:ascii="Times New Roman" w:hAnsi="Times New Roman" w:cs="Times New Roman" w:eastAsiaTheme="minorEastAsia"/>
                <w:sz w:val="28"/>
                <w:szCs w:val="28"/>
                <w:lang w:val="en-US" w:eastAsia="zh-CN"/>
              </w:rPr>
              <w:t>2306-320771-89-02-751628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47" w:hRule="atLeast"/>
          <w:jc w:val="center"/>
        </w:trPr>
        <w:tc>
          <w:tcPr>
            <w:tcW w:w="784" w:type="dxa"/>
            <w:vAlign w:val="center"/>
          </w:tcPr>
          <w:p>
            <w:pPr>
              <w:ind w:left="560" w:hanging="560"/>
              <w:jc w:val="center"/>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信</w:t>
            </w:r>
          </w:p>
          <w:p>
            <w:pPr>
              <w:ind w:left="560" w:hanging="560"/>
              <w:jc w:val="center"/>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用</w:t>
            </w:r>
          </w:p>
          <w:p>
            <w:pPr>
              <w:ind w:left="560" w:hanging="560"/>
              <w:jc w:val="center"/>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承</w:t>
            </w:r>
          </w:p>
          <w:p>
            <w:pPr>
              <w:ind w:left="560" w:hanging="560"/>
              <w:jc w:val="center"/>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诺</w:t>
            </w:r>
          </w:p>
          <w:p>
            <w:pPr>
              <w:ind w:left="560" w:hanging="560"/>
              <w:jc w:val="center"/>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事</w:t>
            </w:r>
          </w:p>
          <w:p>
            <w:pPr>
              <w:ind w:left="560" w:hanging="560"/>
              <w:jc w:val="center"/>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项</w:t>
            </w:r>
          </w:p>
        </w:tc>
        <w:tc>
          <w:tcPr>
            <w:tcW w:w="8227" w:type="dxa"/>
            <w:gridSpan w:val="2"/>
          </w:tcPr>
          <w:p>
            <w:pPr>
              <w:spacing w:line="520" w:lineRule="exact"/>
              <w:ind w:firstLine="560" w:firstLineChars="200"/>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我单位申请建设项目环境影响评价审批☑，建设项目环保竣工验收□，危险废物经营许可□，危险废物省内交换转移审批□，排污许可证审批发放□，拆除或者闲置污染防治设施审批发放□，环境保护专项资金申报□，并作出如下承诺：</w:t>
            </w:r>
          </w:p>
          <w:p>
            <w:pPr>
              <w:spacing w:line="520" w:lineRule="exact"/>
              <w:ind w:firstLine="560" w:firstLineChars="200"/>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1、我单位所填报的相关信息及提供的资料情况属实，如有不实，自愿接受处罚。</w:t>
            </w:r>
          </w:p>
          <w:p>
            <w:pPr>
              <w:spacing w:line="520" w:lineRule="exact"/>
              <w:ind w:firstLine="560" w:firstLineChars="200"/>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2、严格遵守环保法律、法规和规章制度，做到诚实守法。</w:t>
            </w:r>
          </w:p>
          <w:p>
            <w:pPr>
              <w:spacing w:line="520" w:lineRule="exact"/>
              <w:ind w:firstLine="560" w:firstLineChars="200"/>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3、严格按照环保行政许可和审批的要求组织建设和生产活动，确保企业污染防治设施正常运行，各类污染物达标排放；规范危险废物贮存、处置。</w:t>
            </w:r>
          </w:p>
          <w:p>
            <w:pPr>
              <w:spacing w:line="520" w:lineRule="exact"/>
              <w:ind w:firstLine="560" w:firstLineChars="200"/>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4、严格落实持证排污、按证排污，做到排污口规范化管理，污染物不直排、不偷排、不漏排。</w:t>
            </w:r>
          </w:p>
          <w:p>
            <w:pPr>
              <w:spacing w:line="520" w:lineRule="exact"/>
              <w:ind w:firstLine="560" w:firstLineChars="200"/>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5、按规定编制企业环境应急预案，积极做好企业环境应急演练工作。</w:t>
            </w:r>
          </w:p>
          <w:p>
            <w:pPr>
              <w:spacing w:line="520" w:lineRule="exact"/>
              <w:ind w:firstLine="560" w:firstLineChars="200"/>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6、严格按照环保专项资金相关使用规定落实资金的使用，做到不弄虚作假、不截留、挤占、挪用资金。</w:t>
            </w:r>
          </w:p>
          <w:p>
            <w:pPr>
              <w:spacing w:line="520" w:lineRule="exact"/>
              <w:ind w:firstLine="560" w:firstLineChars="200"/>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7、同意本承诺向社会公开，并接受社会监督。</w:t>
            </w:r>
          </w:p>
          <w:p>
            <w:pPr>
              <w:spacing w:line="520" w:lineRule="exact"/>
              <w:ind w:left="560" w:hanging="560"/>
              <w:jc w:val="both"/>
              <w:rPr>
                <w:rFonts w:hint="default" w:ascii="Times New Roman" w:hAnsi="Times New Roman" w:cs="Times New Roman" w:eastAsiaTheme="minorEastAsia"/>
                <w:sz w:val="28"/>
                <w:szCs w:val="28"/>
              </w:rPr>
            </w:pPr>
          </w:p>
          <w:p>
            <w:pPr>
              <w:spacing w:line="520" w:lineRule="exact"/>
              <w:ind w:firstLine="560" w:firstLineChars="200"/>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企业法人（签字）：              单位（盖章）</w:t>
            </w:r>
          </w:p>
          <w:p>
            <w:pPr>
              <w:spacing w:line="520" w:lineRule="exact"/>
              <w:ind w:left="560" w:hanging="560"/>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 xml:space="preserve">                                  </w:t>
            </w:r>
            <w:r>
              <w:rPr>
                <w:rFonts w:hint="default" w:ascii="Times New Roman" w:hAnsi="Times New Roman" w:cs="Times New Roman" w:eastAsiaTheme="minorEastAsia"/>
                <w:sz w:val="28"/>
                <w:szCs w:val="28"/>
                <w:lang w:val="en-US" w:eastAsia="zh-CN"/>
              </w:rPr>
              <w:t xml:space="preserve">                                             </w:t>
            </w:r>
            <w:r>
              <w:rPr>
                <w:rFonts w:hint="default" w:ascii="Times New Roman" w:hAnsi="Times New Roman" w:cs="Times New Roman" w:eastAsiaTheme="minorEastAsia"/>
                <w:sz w:val="28"/>
                <w:szCs w:val="28"/>
              </w:rPr>
              <w:t xml:space="preserve">   年        月       日</w:t>
            </w:r>
          </w:p>
        </w:tc>
      </w:tr>
    </w:tbl>
    <w:p>
      <w:pPr>
        <w:pStyle w:val="32"/>
        <w:rPr>
          <w:rFonts w:hint="default" w:ascii="Times New Roman" w:hAnsi="Times New Roman" w:cs="Times New Roman" w:eastAsiaTheme="minorEastAsia"/>
        </w:rPr>
        <w:sectPr>
          <w:pgSz w:w="11910" w:h="16840"/>
          <w:pgMar w:top="1080" w:right="1440" w:bottom="1080" w:left="1440" w:header="0" w:footer="0" w:gutter="0"/>
          <w:pgBorders>
            <w:top w:val="none" w:sz="0" w:space="0"/>
            <w:left w:val="none" w:sz="0" w:space="0"/>
            <w:bottom w:val="none" w:sz="0" w:space="0"/>
            <w:right w:val="none" w:sz="0" w:space="0"/>
          </w:pgBorders>
          <w:pgNumType w:fmt="decimal"/>
          <w:cols w:space="720" w:num="1"/>
          <w:docGrid w:linePitch="299" w:charSpace="0"/>
        </w:sectPr>
      </w:pPr>
    </w:p>
    <w:p>
      <w:pPr>
        <w:rPr>
          <w:rFonts w:hint="default" w:ascii="Times New Roman" w:hAnsi="Times New Roman" w:cs="Times New Roman" w:eastAsiaTheme="minorEastAsia"/>
          <w:sz w:val="28"/>
          <w:lang w:val="en-US" w:eastAsia="zh-CN"/>
        </w:rPr>
      </w:pPr>
      <w:r>
        <w:rPr>
          <w:rFonts w:hint="default" w:ascii="Times New Roman" w:hAnsi="Times New Roman" w:cs="Times New Roman" w:eastAsiaTheme="minorEastAsia"/>
          <w:sz w:val="28"/>
        </w:rPr>
        <w:t xml:space="preserve">附件6  </w:t>
      </w:r>
      <w:r>
        <w:rPr>
          <w:rFonts w:hint="eastAsia" w:ascii="Times New Roman" w:hAnsi="Times New Roman" w:cs="Times New Roman" w:eastAsiaTheme="minorEastAsia"/>
          <w:sz w:val="28"/>
          <w:lang w:val="en-US" w:eastAsia="zh-CN"/>
        </w:rPr>
        <w:t>租赁合同</w:t>
      </w:r>
    </w:p>
    <w:p>
      <w:pPr>
        <w:pStyle w:val="28"/>
        <w:rPr>
          <w:rFonts w:hint="default" w:ascii="Times New Roman" w:hAnsi="Times New Roman" w:cs="Times New Roman" w:eastAsiaTheme="minorEastAsia"/>
          <w:lang w:eastAsia="zh-CN"/>
        </w:rPr>
        <w:sectPr>
          <w:pgSz w:w="11910" w:h="16840"/>
          <w:pgMar w:top="1080" w:right="1440" w:bottom="1080" w:left="1440" w:header="0" w:footer="0" w:gutter="0"/>
          <w:pgBorders>
            <w:top w:val="none" w:sz="0" w:space="0"/>
            <w:left w:val="none" w:sz="0" w:space="0"/>
            <w:bottom w:val="none" w:sz="0" w:space="0"/>
            <w:right w:val="none" w:sz="0" w:space="0"/>
          </w:pgBorders>
          <w:pgNumType w:fmt="decimal"/>
          <w:cols w:space="720" w:num="1"/>
          <w:docGrid w:linePitch="299" w:charSpace="0"/>
        </w:sectPr>
      </w:pPr>
      <w:r>
        <w:rPr>
          <w:rFonts w:hint="default" w:ascii="Times New Roman" w:hAnsi="Times New Roman" w:cs="Times New Roman" w:eastAsiaTheme="minorEastAsia"/>
          <w:lang w:eastAsia="zh-CN"/>
        </w:rPr>
        <w:drawing>
          <wp:inline distT="0" distB="0" distL="114300" distR="114300">
            <wp:extent cx="5654675" cy="8068310"/>
            <wp:effectExtent l="0" t="0" r="9525" b="8890"/>
            <wp:docPr id="56" name="图片 56" descr="租赁合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租赁合同1"/>
                    <pic:cNvPicPr>
                      <a:picLocks noChangeAspect="1"/>
                    </pic:cNvPicPr>
                  </pic:nvPicPr>
                  <pic:blipFill>
                    <a:blip r:embed="rId30"/>
                    <a:stretch>
                      <a:fillRect/>
                    </a:stretch>
                  </pic:blipFill>
                  <pic:spPr>
                    <a:xfrm>
                      <a:off x="0" y="0"/>
                      <a:ext cx="5654675" cy="8068310"/>
                    </a:xfrm>
                    <a:prstGeom prst="rect">
                      <a:avLst/>
                    </a:prstGeom>
                  </pic:spPr>
                </pic:pic>
              </a:graphicData>
            </a:graphic>
          </wp:inline>
        </w:drawing>
      </w:r>
      <w:r>
        <w:rPr>
          <w:rFonts w:hint="default" w:ascii="Times New Roman" w:hAnsi="Times New Roman" w:cs="Times New Roman" w:eastAsiaTheme="minorEastAsia"/>
          <w:lang w:eastAsia="zh-CN"/>
        </w:rPr>
        <w:drawing>
          <wp:inline distT="0" distB="0" distL="114300" distR="114300">
            <wp:extent cx="5734050" cy="8180705"/>
            <wp:effectExtent l="0" t="0" r="6350" b="10795"/>
            <wp:docPr id="57" name="图片 57" descr="租赁合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租赁合同2"/>
                    <pic:cNvPicPr>
                      <a:picLocks noChangeAspect="1"/>
                    </pic:cNvPicPr>
                  </pic:nvPicPr>
                  <pic:blipFill>
                    <a:blip r:embed="rId31"/>
                    <a:stretch>
                      <a:fillRect/>
                    </a:stretch>
                  </pic:blipFill>
                  <pic:spPr>
                    <a:xfrm>
                      <a:off x="0" y="0"/>
                      <a:ext cx="5734050" cy="8180705"/>
                    </a:xfrm>
                    <a:prstGeom prst="rect">
                      <a:avLst/>
                    </a:prstGeom>
                  </pic:spPr>
                </pic:pic>
              </a:graphicData>
            </a:graphic>
          </wp:inline>
        </w:drawing>
      </w:r>
      <w:r>
        <w:rPr>
          <w:rFonts w:hint="default" w:ascii="Times New Roman" w:hAnsi="Times New Roman" w:cs="Times New Roman" w:eastAsiaTheme="minorEastAsia"/>
          <w:lang w:eastAsia="zh-CN"/>
        </w:rPr>
        <w:drawing>
          <wp:inline distT="0" distB="0" distL="114300" distR="114300">
            <wp:extent cx="5734050" cy="8180705"/>
            <wp:effectExtent l="0" t="0" r="6350" b="10795"/>
            <wp:docPr id="58" name="图片 58" descr="租赁合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租赁合同3"/>
                    <pic:cNvPicPr>
                      <a:picLocks noChangeAspect="1"/>
                    </pic:cNvPicPr>
                  </pic:nvPicPr>
                  <pic:blipFill>
                    <a:blip r:embed="rId32"/>
                    <a:stretch>
                      <a:fillRect/>
                    </a:stretch>
                  </pic:blipFill>
                  <pic:spPr>
                    <a:xfrm>
                      <a:off x="0" y="0"/>
                      <a:ext cx="5734050" cy="8180705"/>
                    </a:xfrm>
                    <a:prstGeom prst="rect">
                      <a:avLst/>
                    </a:prstGeom>
                  </pic:spPr>
                </pic:pic>
              </a:graphicData>
            </a:graphic>
          </wp:inline>
        </w:drawing>
      </w:r>
      <w:r>
        <w:rPr>
          <w:rFonts w:hint="default" w:ascii="Times New Roman" w:hAnsi="Times New Roman" w:cs="Times New Roman" w:eastAsiaTheme="minorEastAsia"/>
          <w:lang w:eastAsia="zh-CN"/>
        </w:rPr>
        <w:drawing>
          <wp:inline distT="0" distB="0" distL="114300" distR="114300">
            <wp:extent cx="5729605" cy="7933690"/>
            <wp:effectExtent l="0" t="0" r="10795" b="3810"/>
            <wp:docPr id="59" name="图片 59" descr="58176aa76e1b61c9c26916661310d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58176aa76e1b61c9c26916661310dd3"/>
                    <pic:cNvPicPr>
                      <a:picLocks noChangeAspect="1"/>
                    </pic:cNvPicPr>
                  </pic:nvPicPr>
                  <pic:blipFill>
                    <a:blip r:embed="rId33"/>
                    <a:stretch>
                      <a:fillRect/>
                    </a:stretch>
                  </pic:blipFill>
                  <pic:spPr>
                    <a:xfrm>
                      <a:off x="0" y="0"/>
                      <a:ext cx="5729605" cy="7933690"/>
                    </a:xfrm>
                    <a:prstGeom prst="rect">
                      <a:avLst/>
                    </a:prstGeom>
                  </pic:spPr>
                </pic:pic>
              </a:graphicData>
            </a:graphic>
          </wp:inline>
        </w:drawing>
      </w:r>
    </w:p>
    <w:p>
      <w:pPr>
        <w:pStyle w:val="28"/>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drawing>
          <wp:inline distT="0" distB="0" distL="114300" distR="114300">
            <wp:extent cx="7713345" cy="5459095"/>
            <wp:effectExtent l="0" t="0" r="8255" b="1905"/>
            <wp:docPr id="60" name="图片 60" descr="建设规划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建设规划许可证"/>
                    <pic:cNvPicPr>
                      <a:picLocks noChangeAspect="1"/>
                    </pic:cNvPicPr>
                  </pic:nvPicPr>
                  <pic:blipFill>
                    <a:blip r:embed="rId34"/>
                    <a:stretch>
                      <a:fillRect/>
                    </a:stretch>
                  </pic:blipFill>
                  <pic:spPr>
                    <a:xfrm>
                      <a:off x="0" y="0"/>
                      <a:ext cx="7713345" cy="5459095"/>
                    </a:xfrm>
                    <a:prstGeom prst="rect">
                      <a:avLst/>
                    </a:prstGeom>
                  </pic:spPr>
                </pic:pic>
              </a:graphicData>
            </a:graphic>
          </wp:inline>
        </w:drawing>
      </w:r>
    </w:p>
    <w:p>
      <w:pPr>
        <w:rPr>
          <w:rFonts w:hint="default" w:ascii="Times New Roman" w:hAnsi="Times New Roman" w:eastAsia="Times New Roman" w:cs="Times New Roman"/>
          <w:snapToGrid w:val="0"/>
          <w:color w:val="000000"/>
          <w:w w:val="0"/>
          <w:kern w:val="0"/>
          <w:sz w:val="0"/>
          <w:szCs w:val="0"/>
          <w:u w:color="000000"/>
          <w:shd w:val="clear" w:color="000000" w:fill="000000"/>
          <w:lang w:val="zh-CN" w:eastAsia="zh-CN" w:bidi="zh-CN"/>
        </w:rPr>
        <w:sectPr>
          <w:pgSz w:w="16840" w:h="11910" w:orient="landscape"/>
          <w:pgMar w:top="1440" w:right="1080" w:bottom="1440" w:left="1080" w:header="0" w:footer="0" w:gutter="0"/>
          <w:pgBorders>
            <w:top w:val="none" w:sz="0" w:space="0"/>
            <w:left w:val="none" w:sz="0" w:space="0"/>
            <w:bottom w:val="none" w:sz="0" w:space="0"/>
            <w:right w:val="none" w:sz="0" w:space="0"/>
          </w:pgBorders>
          <w:pgNumType w:fmt="decimal"/>
          <w:cols w:space="720" w:num="1"/>
          <w:docGrid w:linePitch="299" w:charSpace="0"/>
        </w:sectPr>
      </w:pPr>
      <w:r>
        <w:rPr>
          <w:rFonts w:hint="default" w:ascii="Times New Roman" w:hAnsi="Times New Roman" w:eastAsia="Times New Roman" w:cs="Times New Roman"/>
          <w:snapToGrid w:val="0"/>
          <w:color w:val="000000"/>
          <w:w w:val="0"/>
          <w:kern w:val="0"/>
          <w:sz w:val="0"/>
          <w:szCs w:val="0"/>
          <w:u w:color="000000"/>
          <w:shd w:val="clear" w:color="000000" w:fill="000000"/>
          <w:lang w:val="zh-CN" w:eastAsia="zh-CN" w:bidi="zh-CN"/>
        </w:rPr>
        <w:t xml:space="preserve">  </w:t>
      </w:r>
    </w:p>
    <w:p>
      <w:pPr>
        <w:pStyle w:val="28"/>
        <w:tabs>
          <w:tab w:val="left" w:pos="190"/>
          <w:tab w:val="center" w:pos="4515"/>
        </w:tabs>
        <w:jc w:val="left"/>
        <w:rPr>
          <w:rFonts w:hint="default" w:ascii="Times New Roman" w:hAnsi="Times New Roman" w:cs="Times New Roman" w:eastAsiaTheme="minorEastAsia"/>
          <w:sz w:val="28"/>
        </w:rPr>
      </w:pPr>
      <w:r>
        <w:rPr>
          <w:rFonts w:hint="default" w:ascii="Times New Roman" w:hAnsi="Times New Roman" w:cs="Times New Roman"/>
        </w:rPr>
        <w:tab/>
      </w:r>
      <w:r>
        <w:rPr>
          <w:rFonts w:hint="default" w:ascii="Times New Roman" w:hAnsi="Times New Roman" w:cs="Times New Roman" w:eastAsiaTheme="minorEastAsia"/>
          <w:sz w:val="28"/>
        </w:rPr>
        <w:t>附件</w:t>
      </w:r>
      <w:r>
        <w:rPr>
          <w:rFonts w:hint="default" w:ascii="Times New Roman" w:hAnsi="Times New Roman" w:cs="Times New Roman" w:eastAsiaTheme="minorEastAsia"/>
          <w:sz w:val="28"/>
          <w:lang w:val="en-US" w:eastAsia="zh-CN"/>
        </w:rPr>
        <w:t>7</w:t>
      </w:r>
      <w:r>
        <w:rPr>
          <w:rFonts w:hint="default" w:ascii="Times New Roman" w:hAnsi="Times New Roman" w:cs="Times New Roman" w:eastAsiaTheme="minorEastAsia"/>
          <w:sz w:val="28"/>
        </w:rPr>
        <w:t xml:space="preserve">  现有项目环评批复</w:t>
      </w:r>
    </w:p>
    <w:p>
      <w:pPr>
        <w:pStyle w:val="28"/>
        <w:rPr>
          <w:rFonts w:hint="default" w:ascii="Times New Roman" w:hAnsi="Times New Roman" w:cs="Times New Roman"/>
        </w:rPr>
      </w:pPr>
      <w:r>
        <w:rPr>
          <w:rFonts w:hint="default" w:ascii="Times New Roman" w:hAnsi="Times New Roman" w:eastAsia="Times New Roman" w:cs="Times New Roman"/>
          <w:snapToGrid w:val="0"/>
          <w:w w:val="0"/>
          <w:sz w:val="0"/>
          <w:szCs w:val="0"/>
          <w:u w:color="000000"/>
          <w:shd w:val="clear" w:color="000000" w:fill="000000"/>
          <w:lang w:val="zh-CN" w:eastAsia="zh-CN" w:bidi="zh-CN"/>
        </w:rPr>
        <w:drawing>
          <wp:inline distT="0" distB="0" distL="114300" distR="114300">
            <wp:extent cx="5727700" cy="8103235"/>
            <wp:effectExtent l="0" t="0" r="0" b="12065"/>
            <wp:docPr id="61" name="图片 61" descr="附件1 环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附件1 环评批复_00"/>
                    <pic:cNvPicPr>
                      <a:picLocks noChangeAspect="1"/>
                    </pic:cNvPicPr>
                  </pic:nvPicPr>
                  <pic:blipFill>
                    <a:blip r:embed="rId35"/>
                    <a:stretch>
                      <a:fillRect/>
                    </a:stretch>
                  </pic:blipFill>
                  <pic:spPr>
                    <a:xfrm>
                      <a:off x="0" y="0"/>
                      <a:ext cx="5727700" cy="8103235"/>
                    </a:xfrm>
                    <a:prstGeom prst="rect">
                      <a:avLst/>
                    </a:prstGeom>
                  </pic:spPr>
                </pic:pic>
              </a:graphicData>
            </a:graphic>
          </wp:inline>
        </w:drawing>
      </w:r>
      <w:r>
        <w:rPr>
          <w:rFonts w:hint="default" w:ascii="Times New Roman" w:hAnsi="Times New Roman" w:eastAsia="Times New Roman" w:cs="Times New Roman"/>
          <w:snapToGrid w:val="0"/>
          <w:w w:val="0"/>
          <w:sz w:val="0"/>
          <w:szCs w:val="0"/>
          <w:u w:color="000000"/>
          <w:shd w:val="clear" w:color="000000" w:fill="000000"/>
          <w:lang w:val="zh-CN" w:eastAsia="zh-CN" w:bidi="zh-CN"/>
        </w:rPr>
        <w:t xml:space="preserve"> </w:t>
      </w:r>
      <w:r>
        <w:rPr>
          <w:rFonts w:hint="default" w:ascii="Times New Roman" w:hAnsi="Times New Roman" w:cs="Times New Roman"/>
        </w:rPr>
        <w:drawing>
          <wp:inline distT="0" distB="0" distL="114300" distR="114300">
            <wp:extent cx="5727700" cy="8103235"/>
            <wp:effectExtent l="0" t="0" r="0" b="12065"/>
            <wp:docPr id="62" name="图片 62" descr="附件1 环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附件1 环评批复_01"/>
                    <pic:cNvPicPr>
                      <a:picLocks noChangeAspect="1"/>
                    </pic:cNvPicPr>
                  </pic:nvPicPr>
                  <pic:blipFill>
                    <a:blip r:embed="rId36"/>
                    <a:stretch>
                      <a:fillRect/>
                    </a:stretch>
                  </pic:blipFill>
                  <pic:spPr>
                    <a:xfrm>
                      <a:off x="0" y="0"/>
                      <a:ext cx="5727700" cy="8103235"/>
                    </a:xfrm>
                    <a:prstGeom prst="rect">
                      <a:avLst/>
                    </a:prstGeom>
                  </pic:spPr>
                </pic:pic>
              </a:graphicData>
            </a:graphic>
          </wp:inline>
        </w:drawing>
      </w:r>
    </w:p>
    <w:p>
      <w:pPr>
        <w:pStyle w:val="28"/>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5732145" cy="8145780"/>
            <wp:effectExtent l="0" t="0" r="8255" b="7620"/>
            <wp:docPr id="65" name="图片 65" descr="附件1 环评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附件1 环评批复_02"/>
                    <pic:cNvPicPr>
                      <a:picLocks noChangeAspect="1"/>
                    </pic:cNvPicPr>
                  </pic:nvPicPr>
                  <pic:blipFill>
                    <a:blip r:embed="rId37"/>
                    <a:stretch>
                      <a:fillRect/>
                    </a:stretch>
                  </pic:blipFill>
                  <pic:spPr>
                    <a:xfrm>
                      <a:off x="0" y="0"/>
                      <a:ext cx="5732145" cy="8145780"/>
                    </a:xfrm>
                    <a:prstGeom prst="rect">
                      <a:avLst/>
                    </a:prstGeom>
                  </pic:spPr>
                </pic:pic>
              </a:graphicData>
            </a:graphic>
          </wp:inline>
        </w:drawing>
      </w:r>
    </w:p>
    <w:p>
      <w:pPr>
        <w:pStyle w:val="28"/>
        <w:rPr>
          <w:rFonts w:hint="eastAsia" w:ascii="Times New Roman" w:hAnsi="Times New Roman" w:eastAsia="宋体" w:cs="Times New Roman"/>
          <w:lang w:eastAsia="zh-CN"/>
        </w:rPr>
        <w:sectPr>
          <w:pgSz w:w="11910" w:h="16840"/>
          <w:pgMar w:top="1440" w:right="1440" w:bottom="1440" w:left="1440" w:header="0" w:footer="0" w:gutter="0"/>
          <w:pgBorders>
            <w:top w:val="none" w:sz="0" w:space="0"/>
            <w:left w:val="none" w:sz="0" w:space="0"/>
            <w:bottom w:val="none" w:sz="0" w:space="0"/>
            <w:right w:val="none" w:sz="0" w:space="0"/>
          </w:pgBorders>
          <w:pgNumType w:fmt="decimal"/>
          <w:cols w:space="720" w:num="1"/>
          <w:docGrid w:linePitch="299" w:charSpace="0"/>
        </w:sectPr>
      </w:pPr>
      <w:r>
        <w:rPr>
          <w:rFonts w:hint="eastAsia" w:ascii="Times New Roman" w:hAnsi="Times New Roman" w:eastAsia="宋体" w:cs="Times New Roman"/>
          <w:lang w:eastAsia="zh-CN"/>
        </w:rPr>
        <w:drawing>
          <wp:inline distT="0" distB="0" distL="114300" distR="114300">
            <wp:extent cx="5732145" cy="8145780"/>
            <wp:effectExtent l="0" t="0" r="8255" b="7620"/>
            <wp:docPr id="66" name="图片 66" descr="附件1 环评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附件1 环评批复_03"/>
                    <pic:cNvPicPr>
                      <a:picLocks noChangeAspect="1"/>
                    </pic:cNvPicPr>
                  </pic:nvPicPr>
                  <pic:blipFill>
                    <a:blip r:embed="rId38"/>
                    <a:stretch>
                      <a:fillRect/>
                    </a:stretch>
                  </pic:blipFill>
                  <pic:spPr>
                    <a:xfrm>
                      <a:off x="0" y="0"/>
                      <a:ext cx="5732145" cy="8145780"/>
                    </a:xfrm>
                    <a:prstGeom prst="rect">
                      <a:avLst/>
                    </a:prstGeom>
                  </pic:spPr>
                </pic:pic>
              </a:graphicData>
            </a:graphic>
          </wp:inline>
        </w:drawing>
      </w:r>
      <w:r>
        <w:rPr>
          <w:rFonts w:hint="eastAsia" w:ascii="Times New Roman" w:hAnsi="Times New Roman" w:eastAsia="宋体" w:cs="Times New Roman"/>
          <w:lang w:eastAsia="zh-CN"/>
        </w:rPr>
        <w:drawing>
          <wp:inline distT="0" distB="0" distL="114300" distR="114300">
            <wp:extent cx="5732145" cy="8145780"/>
            <wp:effectExtent l="0" t="0" r="8255" b="7620"/>
            <wp:docPr id="67" name="图片 67" descr="附件1 环评批复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附件1 环评批复_04"/>
                    <pic:cNvPicPr>
                      <a:picLocks noChangeAspect="1"/>
                    </pic:cNvPicPr>
                  </pic:nvPicPr>
                  <pic:blipFill>
                    <a:blip r:embed="rId39"/>
                    <a:stretch>
                      <a:fillRect/>
                    </a:stretch>
                  </pic:blipFill>
                  <pic:spPr>
                    <a:xfrm>
                      <a:off x="0" y="0"/>
                      <a:ext cx="5732145" cy="8145780"/>
                    </a:xfrm>
                    <a:prstGeom prst="rect">
                      <a:avLst/>
                    </a:prstGeom>
                  </pic:spPr>
                </pic:pic>
              </a:graphicData>
            </a:graphic>
          </wp:inline>
        </w:drawing>
      </w:r>
    </w:p>
    <w:p>
      <w:pPr>
        <w:pStyle w:val="28"/>
        <w:tabs>
          <w:tab w:val="left" w:pos="190"/>
          <w:tab w:val="center" w:pos="4515"/>
        </w:tabs>
        <w:jc w:val="left"/>
        <w:rPr>
          <w:rFonts w:hint="default" w:ascii="Times New Roman" w:hAnsi="Times New Roman" w:cs="Times New Roman" w:eastAsiaTheme="minorEastAsia"/>
          <w:sz w:val="28"/>
          <w:lang w:val="en-US" w:eastAsia="zh-CN"/>
        </w:rPr>
      </w:pPr>
      <w:r>
        <w:rPr>
          <w:rFonts w:hint="default" w:ascii="Times New Roman" w:hAnsi="Times New Roman" w:cs="Times New Roman"/>
        </w:rPr>
        <w:tab/>
      </w:r>
      <w:r>
        <w:rPr>
          <w:rFonts w:hint="default" w:ascii="Times New Roman" w:hAnsi="Times New Roman" w:cs="Times New Roman" w:eastAsiaTheme="minorEastAsia"/>
          <w:sz w:val="28"/>
        </w:rPr>
        <w:t>附件</w:t>
      </w:r>
      <w:r>
        <w:rPr>
          <w:rFonts w:hint="default" w:ascii="Times New Roman" w:hAnsi="Times New Roman" w:cs="Times New Roman" w:eastAsiaTheme="minorEastAsia"/>
          <w:sz w:val="28"/>
          <w:lang w:val="en-US" w:eastAsia="zh-CN"/>
        </w:rPr>
        <w:t>8</w:t>
      </w:r>
      <w:r>
        <w:rPr>
          <w:rFonts w:hint="default" w:ascii="Times New Roman" w:hAnsi="Times New Roman" w:cs="Times New Roman" w:eastAsiaTheme="minorEastAsia"/>
          <w:sz w:val="28"/>
        </w:rPr>
        <w:t xml:space="preserve">  现有项目</w:t>
      </w:r>
      <w:r>
        <w:rPr>
          <w:rFonts w:hint="default" w:ascii="Times New Roman" w:hAnsi="Times New Roman" w:cs="Times New Roman" w:eastAsiaTheme="minorEastAsia"/>
          <w:sz w:val="28"/>
          <w:lang w:val="en-US" w:eastAsia="zh-CN"/>
        </w:rPr>
        <w:t>验收资料</w:t>
      </w:r>
    </w:p>
    <w:p>
      <w:pPr>
        <w:pStyle w:val="28"/>
        <w:tabs>
          <w:tab w:val="left" w:pos="190"/>
          <w:tab w:val="center" w:pos="4515"/>
        </w:tabs>
        <w:jc w:val="left"/>
        <w:rPr>
          <w:rFonts w:hint="default" w:ascii="Times New Roman" w:hAnsi="Times New Roman" w:cs="Times New Roman" w:eastAsiaTheme="minorEastAsia"/>
          <w:sz w:val="28"/>
          <w:lang w:val="en-US" w:eastAsia="zh-CN"/>
        </w:rPr>
      </w:pPr>
    </w:p>
    <w:p>
      <w:pPr>
        <w:pStyle w:val="28"/>
        <w:tabs>
          <w:tab w:val="left" w:pos="190"/>
          <w:tab w:val="center" w:pos="4515"/>
        </w:tabs>
        <w:jc w:val="left"/>
        <w:rPr>
          <w:rFonts w:hint="default" w:ascii="Times New Roman" w:hAnsi="Times New Roman" w:cs="Times New Roman" w:eastAsiaTheme="minorEastAsia"/>
          <w:sz w:val="28"/>
          <w:lang w:val="en-US" w:eastAsia="zh-CN"/>
        </w:rPr>
        <w:sectPr>
          <w:pgSz w:w="11910" w:h="16840"/>
          <w:pgMar w:top="1080" w:right="1440" w:bottom="1080" w:left="1440" w:header="0" w:footer="0" w:gutter="0"/>
          <w:pgBorders>
            <w:top w:val="none" w:sz="0" w:space="0"/>
            <w:left w:val="none" w:sz="0" w:space="0"/>
            <w:bottom w:val="none" w:sz="0" w:space="0"/>
            <w:right w:val="none" w:sz="0" w:space="0"/>
          </w:pgBorders>
          <w:pgNumType w:fmt="decimal"/>
          <w:cols w:space="720" w:num="1"/>
          <w:docGrid w:linePitch="299" w:charSpace="0"/>
        </w:sectPr>
      </w:pPr>
      <w:r>
        <w:rPr>
          <w:rFonts w:hint="default" w:ascii="Times New Roman" w:hAnsi="Times New Roman" w:cs="Times New Roman" w:eastAsiaTheme="minorEastAsia"/>
          <w:sz w:val="28"/>
          <w:lang w:val="en-US" w:eastAsia="zh-CN"/>
        </w:rPr>
        <w:drawing>
          <wp:inline distT="0" distB="0" distL="114300" distR="114300">
            <wp:extent cx="5727700" cy="8103235"/>
            <wp:effectExtent l="0" t="0" r="0" b="12065"/>
            <wp:docPr id="68" name="图片 68" descr="中鸿包装验收意见（签字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中鸿包装验收意见（签字版）_00"/>
                    <pic:cNvPicPr>
                      <a:picLocks noChangeAspect="1"/>
                    </pic:cNvPicPr>
                  </pic:nvPicPr>
                  <pic:blipFill>
                    <a:blip r:embed="rId40"/>
                    <a:stretch>
                      <a:fillRect/>
                    </a:stretch>
                  </pic:blipFill>
                  <pic:spPr>
                    <a:xfrm>
                      <a:off x="0" y="0"/>
                      <a:ext cx="5727700" cy="8103235"/>
                    </a:xfrm>
                    <a:prstGeom prst="rect">
                      <a:avLst/>
                    </a:prstGeom>
                  </pic:spPr>
                </pic:pic>
              </a:graphicData>
            </a:graphic>
          </wp:inline>
        </w:drawing>
      </w:r>
      <w:r>
        <w:rPr>
          <w:rFonts w:hint="default" w:ascii="Times New Roman" w:hAnsi="Times New Roman" w:cs="Times New Roman" w:eastAsiaTheme="minorEastAsia"/>
          <w:sz w:val="28"/>
          <w:lang w:val="en-US" w:eastAsia="zh-CN"/>
        </w:rPr>
        <w:drawing>
          <wp:inline distT="0" distB="0" distL="114300" distR="114300">
            <wp:extent cx="5727700" cy="8103235"/>
            <wp:effectExtent l="0" t="0" r="0" b="12065"/>
            <wp:docPr id="69" name="图片 69" descr="中鸿包装验收意见（签字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中鸿包装验收意见（签字版）_01"/>
                    <pic:cNvPicPr>
                      <a:picLocks noChangeAspect="1"/>
                    </pic:cNvPicPr>
                  </pic:nvPicPr>
                  <pic:blipFill>
                    <a:blip r:embed="rId41"/>
                    <a:stretch>
                      <a:fillRect/>
                    </a:stretch>
                  </pic:blipFill>
                  <pic:spPr>
                    <a:xfrm>
                      <a:off x="0" y="0"/>
                      <a:ext cx="5727700" cy="8103235"/>
                    </a:xfrm>
                    <a:prstGeom prst="rect">
                      <a:avLst/>
                    </a:prstGeom>
                  </pic:spPr>
                </pic:pic>
              </a:graphicData>
            </a:graphic>
          </wp:inline>
        </w:drawing>
      </w:r>
      <w:r>
        <w:rPr>
          <w:rFonts w:hint="default" w:ascii="Times New Roman" w:hAnsi="Times New Roman" w:cs="Times New Roman" w:eastAsiaTheme="minorEastAsia"/>
          <w:sz w:val="28"/>
          <w:lang w:val="en-US" w:eastAsia="zh-CN"/>
        </w:rPr>
        <w:drawing>
          <wp:inline distT="0" distB="0" distL="114300" distR="114300">
            <wp:extent cx="5727700" cy="8103235"/>
            <wp:effectExtent l="0" t="0" r="0" b="12065"/>
            <wp:docPr id="70" name="图片 70" descr="中鸿包装验收意见（签字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中鸿包装验收意见（签字版）_02"/>
                    <pic:cNvPicPr>
                      <a:picLocks noChangeAspect="1"/>
                    </pic:cNvPicPr>
                  </pic:nvPicPr>
                  <pic:blipFill>
                    <a:blip r:embed="rId42"/>
                    <a:stretch>
                      <a:fillRect/>
                    </a:stretch>
                  </pic:blipFill>
                  <pic:spPr>
                    <a:xfrm>
                      <a:off x="0" y="0"/>
                      <a:ext cx="5727700" cy="8103235"/>
                    </a:xfrm>
                    <a:prstGeom prst="rect">
                      <a:avLst/>
                    </a:prstGeom>
                  </pic:spPr>
                </pic:pic>
              </a:graphicData>
            </a:graphic>
          </wp:inline>
        </w:drawing>
      </w:r>
    </w:p>
    <w:p>
      <w:pPr>
        <w:pStyle w:val="28"/>
        <w:tabs>
          <w:tab w:val="left" w:pos="190"/>
          <w:tab w:val="center" w:pos="4515"/>
        </w:tabs>
        <w:jc w:val="center"/>
        <w:rPr>
          <w:rFonts w:hint="default" w:ascii="Times New Roman" w:hAnsi="Times New Roman" w:cs="Times New Roman" w:eastAsiaTheme="minorEastAsia"/>
          <w:sz w:val="28"/>
          <w:lang w:val="en-US" w:eastAsia="zh-CN"/>
        </w:rPr>
        <w:sectPr>
          <w:pgSz w:w="16840" w:h="11910" w:orient="landscape"/>
          <w:pgMar w:top="1440" w:right="1080" w:bottom="1440" w:left="1080" w:header="0" w:footer="0" w:gutter="0"/>
          <w:pgBorders>
            <w:top w:val="none" w:sz="0" w:space="0"/>
            <w:left w:val="none" w:sz="0" w:space="0"/>
            <w:bottom w:val="none" w:sz="0" w:space="0"/>
            <w:right w:val="none" w:sz="0" w:space="0"/>
          </w:pgBorders>
          <w:pgNumType w:fmt="decimal"/>
          <w:cols w:space="720" w:num="1"/>
          <w:docGrid w:linePitch="299" w:charSpace="0"/>
        </w:sectPr>
      </w:pPr>
      <w:r>
        <w:rPr>
          <w:rFonts w:hint="default" w:ascii="Times New Roman" w:hAnsi="Times New Roman" w:cs="Times New Roman" w:eastAsiaTheme="minorEastAsia"/>
          <w:sz w:val="28"/>
          <w:lang w:val="en-US" w:eastAsia="zh-CN"/>
        </w:rPr>
        <w:drawing>
          <wp:inline distT="0" distB="0" distL="114300" distR="114300">
            <wp:extent cx="8107680" cy="5730875"/>
            <wp:effectExtent l="0" t="0" r="7620" b="9525"/>
            <wp:docPr id="71" name="图片 71" descr="中鸿包装验收意见（签字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中鸿包装验收意见（签字版）_03"/>
                    <pic:cNvPicPr>
                      <a:picLocks noChangeAspect="1"/>
                    </pic:cNvPicPr>
                  </pic:nvPicPr>
                  <pic:blipFill>
                    <a:blip r:embed="rId43"/>
                    <a:stretch>
                      <a:fillRect/>
                    </a:stretch>
                  </pic:blipFill>
                  <pic:spPr>
                    <a:xfrm>
                      <a:off x="0" y="0"/>
                      <a:ext cx="8107680" cy="5730875"/>
                    </a:xfrm>
                    <a:prstGeom prst="rect">
                      <a:avLst/>
                    </a:prstGeom>
                  </pic:spPr>
                </pic:pic>
              </a:graphicData>
            </a:graphic>
          </wp:inline>
        </w:drawing>
      </w:r>
    </w:p>
    <w:p>
      <w:pPr>
        <w:pStyle w:val="28"/>
        <w:tabs>
          <w:tab w:val="left" w:pos="190"/>
          <w:tab w:val="center" w:pos="4515"/>
        </w:tabs>
        <w:jc w:val="left"/>
        <w:rPr>
          <w:rFonts w:hint="default" w:ascii="Times New Roman" w:hAnsi="Times New Roman" w:cs="Times New Roman" w:eastAsiaTheme="minorEastAsia"/>
          <w:sz w:val="28"/>
          <w:lang w:val="en-US" w:eastAsia="zh-CN"/>
        </w:rPr>
      </w:pPr>
      <w:r>
        <w:rPr>
          <w:rFonts w:hint="default" w:ascii="Times New Roman" w:hAnsi="Times New Roman" w:cs="Times New Roman"/>
        </w:rPr>
        <w:tab/>
      </w:r>
      <w:r>
        <w:rPr>
          <w:rFonts w:hint="default" w:ascii="Times New Roman" w:hAnsi="Times New Roman" w:cs="Times New Roman" w:eastAsiaTheme="minorEastAsia"/>
          <w:sz w:val="28"/>
        </w:rPr>
        <w:t>附件</w:t>
      </w:r>
      <w:r>
        <w:rPr>
          <w:rFonts w:hint="default" w:ascii="Times New Roman" w:hAnsi="Times New Roman" w:cs="Times New Roman" w:eastAsiaTheme="minorEastAsia"/>
          <w:sz w:val="28"/>
          <w:lang w:val="en-US" w:eastAsia="zh-CN"/>
        </w:rPr>
        <w:t>9</w:t>
      </w:r>
      <w:r>
        <w:rPr>
          <w:rFonts w:hint="default" w:ascii="Times New Roman" w:hAnsi="Times New Roman" w:cs="Times New Roman" w:eastAsiaTheme="minorEastAsia"/>
          <w:sz w:val="28"/>
        </w:rPr>
        <w:t xml:space="preserve">  现有项目</w:t>
      </w:r>
      <w:r>
        <w:rPr>
          <w:rFonts w:hint="default" w:ascii="Times New Roman" w:hAnsi="Times New Roman" w:cs="Times New Roman" w:eastAsiaTheme="minorEastAsia"/>
          <w:sz w:val="28"/>
          <w:lang w:val="en-US" w:eastAsia="zh-CN"/>
        </w:rPr>
        <w:t>排污许可证</w:t>
      </w:r>
    </w:p>
    <w:p>
      <w:pPr>
        <w:pStyle w:val="28"/>
        <w:tabs>
          <w:tab w:val="left" w:pos="190"/>
          <w:tab w:val="center" w:pos="4515"/>
        </w:tabs>
        <w:jc w:val="left"/>
        <w:rPr>
          <w:rFonts w:hint="default" w:ascii="Times New Roman" w:hAnsi="Times New Roman" w:cs="Times New Roman" w:eastAsiaTheme="minorEastAsia"/>
          <w:sz w:val="28"/>
          <w:lang w:val="en-US" w:eastAsia="zh-CN"/>
        </w:rPr>
      </w:pPr>
    </w:p>
    <w:p>
      <w:pPr>
        <w:pStyle w:val="28"/>
        <w:tabs>
          <w:tab w:val="left" w:pos="190"/>
          <w:tab w:val="center" w:pos="4515"/>
        </w:tabs>
        <w:jc w:val="center"/>
        <w:rPr>
          <w:rFonts w:hint="default" w:ascii="Times New Roman" w:hAnsi="Times New Roman" w:cs="Times New Roman" w:eastAsiaTheme="minorEastAsia"/>
          <w:sz w:val="28"/>
          <w:lang w:val="en-US" w:eastAsia="zh-CN"/>
        </w:rPr>
        <w:sectPr>
          <w:pgSz w:w="11910" w:h="16840"/>
          <w:pgMar w:top="1440" w:right="1440" w:bottom="1440" w:left="1440" w:header="0" w:footer="0" w:gutter="0"/>
          <w:pgBorders>
            <w:top w:val="none" w:sz="0" w:space="0"/>
            <w:left w:val="none" w:sz="0" w:space="0"/>
            <w:bottom w:val="none" w:sz="0" w:space="0"/>
            <w:right w:val="none" w:sz="0" w:space="0"/>
          </w:pgBorders>
          <w:pgNumType w:fmt="decimal"/>
          <w:cols w:space="720" w:num="1"/>
          <w:docGrid w:linePitch="299" w:charSpace="0"/>
        </w:sectPr>
      </w:pPr>
      <w:r>
        <w:drawing>
          <wp:inline distT="0" distB="0" distL="114300" distR="114300">
            <wp:extent cx="4732020" cy="7164070"/>
            <wp:effectExtent l="0" t="0" r="5080" b="11430"/>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pic:cNvPicPr>
                      <a:picLocks noChangeAspect="1"/>
                    </pic:cNvPicPr>
                  </pic:nvPicPr>
                  <pic:blipFill>
                    <a:blip r:embed="rId44"/>
                    <a:stretch>
                      <a:fillRect/>
                    </a:stretch>
                  </pic:blipFill>
                  <pic:spPr>
                    <a:xfrm>
                      <a:off x="0" y="0"/>
                      <a:ext cx="4732020" cy="7164070"/>
                    </a:xfrm>
                    <a:prstGeom prst="rect">
                      <a:avLst/>
                    </a:prstGeom>
                    <a:noFill/>
                    <a:ln>
                      <a:noFill/>
                    </a:ln>
                  </pic:spPr>
                </pic:pic>
              </a:graphicData>
            </a:graphic>
          </wp:inline>
        </w:drawing>
      </w:r>
    </w:p>
    <w:p>
      <w:pPr>
        <w:pStyle w:val="28"/>
        <w:jc w:val="left"/>
        <w:rPr>
          <w:rFonts w:hint="default" w:ascii="Times New Roman" w:hAnsi="Times New Roman" w:cs="Times New Roman"/>
          <w:color w:val="auto"/>
          <w:sz w:val="28"/>
          <w:szCs w:val="28"/>
          <w:lang w:val="en-US" w:eastAsia="zh-CN"/>
        </w:rPr>
      </w:pPr>
      <w:r>
        <w:rPr>
          <w:rFonts w:hint="eastAsia" w:ascii="Times New Roman" w:hAnsi="Times New Roman" w:cs="Times New Roman"/>
          <w:color w:val="auto"/>
          <w:sz w:val="28"/>
          <w:szCs w:val="28"/>
          <w:lang w:val="en-US" w:eastAsia="zh-CN"/>
        </w:rPr>
        <w:t>附件10 水性油墨SDS资料及检测报告</w:t>
      </w:r>
    </w:p>
    <w:p>
      <w:pPr>
        <w:pStyle w:val="28"/>
        <w:jc w:val="left"/>
        <w:rPr>
          <w:rFonts w:hint="default" w:ascii="Times New Roman" w:hAnsi="Times New Roman" w:cs="Times New Roman"/>
          <w:color w:val="auto"/>
          <w:sz w:val="28"/>
          <w:szCs w:val="28"/>
          <w:lang w:val="en-US" w:eastAsia="zh-CN"/>
        </w:rPr>
        <w:sectPr>
          <w:pgSz w:w="11910" w:h="16840"/>
          <w:pgMar w:top="1080" w:right="1440" w:bottom="1080" w:left="1440" w:header="0" w:footer="0" w:gutter="0"/>
          <w:pgBorders>
            <w:top w:val="none" w:sz="0" w:space="0"/>
            <w:left w:val="none" w:sz="0" w:space="0"/>
            <w:bottom w:val="none" w:sz="0" w:space="0"/>
            <w:right w:val="none" w:sz="0" w:space="0"/>
          </w:pgBorders>
          <w:pgNumType w:fmt="decimal"/>
          <w:cols w:space="720" w:num="1"/>
          <w:docGrid w:linePitch="299" w:charSpace="0"/>
        </w:sectPr>
      </w:pPr>
      <w:r>
        <w:rPr>
          <w:rFonts w:hint="default" w:ascii="Times New Roman" w:hAnsi="Times New Roman" w:cs="Times New Roman"/>
          <w:color w:val="auto"/>
          <w:sz w:val="28"/>
          <w:szCs w:val="28"/>
          <w:lang w:val="en-US" w:eastAsia="zh-CN"/>
        </w:rPr>
        <w:drawing>
          <wp:inline distT="0" distB="0" distL="114300" distR="114300">
            <wp:extent cx="5727700" cy="8103235"/>
            <wp:effectExtent l="0" t="0" r="0" b="12065"/>
            <wp:docPr id="14" name="图片 14" descr="水性油墨SDS资料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水性油墨SDS资料_00"/>
                    <pic:cNvPicPr>
                      <a:picLocks noChangeAspect="1"/>
                    </pic:cNvPicPr>
                  </pic:nvPicPr>
                  <pic:blipFill>
                    <a:blip r:embed="rId45"/>
                    <a:stretch>
                      <a:fillRect/>
                    </a:stretch>
                  </pic:blipFill>
                  <pic:spPr>
                    <a:xfrm>
                      <a:off x="0" y="0"/>
                      <a:ext cx="5727700" cy="8103235"/>
                    </a:xfrm>
                    <a:prstGeom prst="rect">
                      <a:avLst/>
                    </a:prstGeom>
                  </pic:spPr>
                </pic:pic>
              </a:graphicData>
            </a:graphic>
          </wp:inline>
        </w:drawing>
      </w:r>
      <w:r>
        <w:rPr>
          <w:rFonts w:hint="default" w:ascii="Times New Roman" w:hAnsi="Times New Roman" w:cs="Times New Roman"/>
          <w:color w:val="auto"/>
          <w:sz w:val="28"/>
          <w:szCs w:val="28"/>
          <w:lang w:val="en-US" w:eastAsia="zh-CN"/>
        </w:rPr>
        <w:drawing>
          <wp:inline distT="0" distB="0" distL="114300" distR="114300">
            <wp:extent cx="5727700" cy="8103235"/>
            <wp:effectExtent l="0" t="0" r="0" b="12065"/>
            <wp:docPr id="17" name="图片 17" descr="水性油墨SDS资料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水性油墨SDS资料_01"/>
                    <pic:cNvPicPr>
                      <a:picLocks noChangeAspect="1"/>
                    </pic:cNvPicPr>
                  </pic:nvPicPr>
                  <pic:blipFill>
                    <a:blip r:embed="rId46"/>
                    <a:stretch>
                      <a:fillRect/>
                    </a:stretch>
                  </pic:blipFill>
                  <pic:spPr>
                    <a:xfrm>
                      <a:off x="0" y="0"/>
                      <a:ext cx="5727700" cy="8103235"/>
                    </a:xfrm>
                    <a:prstGeom prst="rect">
                      <a:avLst/>
                    </a:prstGeom>
                  </pic:spPr>
                </pic:pic>
              </a:graphicData>
            </a:graphic>
          </wp:inline>
        </w:drawing>
      </w:r>
      <w:r>
        <w:rPr>
          <w:rFonts w:hint="default" w:ascii="Times New Roman" w:hAnsi="Times New Roman" w:cs="Times New Roman"/>
          <w:color w:val="auto"/>
          <w:sz w:val="28"/>
          <w:szCs w:val="28"/>
          <w:lang w:val="en-US" w:eastAsia="zh-CN"/>
        </w:rPr>
        <w:drawing>
          <wp:inline distT="0" distB="0" distL="114300" distR="114300">
            <wp:extent cx="5727700" cy="8103235"/>
            <wp:effectExtent l="0" t="0" r="0" b="12065"/>
            <wp:docPr id="19" name="图片 19" descr="水性油墨SDS资料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水性油墨SDS资料_02"/>
                    <pic:cNvPicPr>
                      <a:picLocks noChangeAspect="1"/>
                    </pic:cNvPicPr>
                  </pic:nvPicPr>
                  <pic:blipFill>
                    <a:blip r:embed="rId47"/>
                    <a:stretch>
                      <a:fillRect/>
                    </a:stretch>
                  </pic:blipFill>
                  <pic:spPr>
                    <a:xfrm>
                      <a:off x="0" y="0"/>
                      <a:ext cx="5727700" cy="8103235"/>
                    </a:xfrm>
                    <a:prstGeom prst="rect">
                      <a:avLst/>
                    </a:prstGeom>
                  </pic:spPr>
                </pic:pic>
              </a:graphicData>
            </a:graphic>
          </wp:inline>
        </w:drawing>
      </w:r>
      <w:r>
        <w:rPr>
          <w:rFonts w:hint="default" w:ascii="Times New Roman" w:hAnsi="Times New Roman" w:cs="Times New Roman"/>
          <w:color w:val="auto"/>
          <w:sz w:val="28"/>
          <w:szCs w:val="28"/>
          <w:lang w:val="en-US" w:eastAsia="zh-CN"/>
        </w:rPr>
        <w:drawing>
          <wp:inline distT="0" distB="0" distL="114300" distR="114300">
            <wp:extent cx="5727700" cy="8103235"/>
            <wp:effectExtent l="0" t="0" r="0" b="12065"/>
            <wp:docPr id="20" name="图片 20" descr="水性油墨SDS资料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水性油墨SDS资料_03"/>
                    <pic:cNvPicPr>
                      <a:picLocks noChangeAspect="1"/>
                    </pic:cNvPicPr>
                  </pic:nvPicPr>
                  <pic:blipFill>
                    <a:blip r:embed="rId48"/>
                    <a:stretch>
                      <a:fillRect/>
                    </a:stretch>
                  </pic:blipFill>
                  <pic:spPr>
                    <a:xfrm>
                      <a:off x="0" y="0"/>
                      <a:ext cx="5727700" cy="8103235"/>
                    </a:xfrm>
                    <a:prstGeom prst="rect">
                      <a:avLst/>
                    </a:prstGeom>
                  </pic:spPr>
                </pic:pic>
              </a:graphicData>
            </a:graphic>
          </wp:inline>
        </w:drawing>
      </w:r>
      <w:r>
        <w:rPr>
          <w:rFonts w:hint="default" w:ascii="Times New Roman" w:hAnsi="Times New Roman" w:cs="Times New Roman"/>
          <w:color w:val="auto"/>
          <w:sz w:val="28"/>
          <w:szCs w:val="28"/>
          <w:lang w:val="en-US" w:eastAsia="zh-CN"/>
        </w:rPr>
        <w:drawing>
          <wp:inline distT="0" distB="0" distL="114300" distR="114300">
            <wp:extent cx="5727700" cy="8103235"/>
            <wp:effectExtent l="0" t="0" r="0" b="12065"/>
            <wp:docPr id="21" name="图片 21" descr="水性油墨SDS资料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水性油墨SDS资料_04"/>
                    <pic:cNvPicPr>
                      <a:picLocks noChangeAspect="1"/>
                    </pic:cNvPicPr>
                  </pic:nvPicPr>
                  <pic:blipFill>
                    <a:blip r:embed="rId49"/>
                    <a:stretch>
                      <a:fillRect/>
                    </a:stretch>
                  </pic:blipFill>
                  <pic:spPr>
                    <a:xfrm>
                      <a:off x="0" y="0"/>
                      <a:ext cx="5727700" cy="8103235"/>
                    </a:xfrm>
                    <a:prstGeom prst="rect">
                      <a:avLst/>
                    </a:prstGeom>
                  </pic:spPr>
                </pic:pic>
              </a:graphicData>
            </a:graphic>
          </wp:inline>
        </w:drawing>
      </w:r>
      <w:r>
        <w:rPr>
          <w:rFonts w:hint="default" w:ascii="Times New Roman" w:hAnsi="Times New Roman" w:cs="Times New Roman"/>
          <w:color w:val="auto"/>
          <w:sz w:val="28"/>
          <w:szCs w:val="28"/>
          <w:lang w:val="en-US" w:eastAsia="zh-CN"/>
        </w:rPr>
        <w:drawing>
          <wp:inline distT="0" distB="0" distL="114300" distR="114300">
            <wp:extent cx="5727700" cy="8103235"/>
            <wp:effectExtent l="0" t="0" r="0" b="12065"/>
            <wp:docPr id="22" name="图片 22" descr="水性油墨SDS资料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水性油墨SDS资料_05"/>
                    <pic:cNvPicPr>
                      <a:picLocks noChangeAspect="1"/>
                    </pic:cNvPicPr>
                  </pic:nvPicPr>
                  <pic:blipFill>
                    <a:blip r:embed="rId50"/>
                    <a:stretch>
                      <a:fillRect/>
                    </a:stretch>
                  </pic:blipFill>
                  <pic:spPr>
                    <a:xfrm>
                      <a:off x="0" y="0"/>
                      <a:ext cx="5727700" cy="8103235"/>
                    </a:xfrm>
                    <a:prstGeom prst="rect">
                      <a:avLst/>
                    </a:prstGeom>
                  </pic:spPr>
                </pic:pic>
              </a:graphicData>
            </a:graphic>
          </wp:inline>
        </w:drawing>
      </w:r>
      <w:r>
        <w:rPr>
          <w:rFonts w:hint="default" w:ascii="Times New Roman" w:hAnsi="Times New Roman" w:cs="Times New Roman"/>
          <w:color w:val="auto"/>
          <w:sz w:val="28"/>
          <w:szCs w:val="28"/>
          <w:lang w:val="en-US" w:eastAsia="zh-CN"/>
        </w:rPr>
        <w:drawing>
          <wp:inline distT="0" distB="0" distL="114300" distR="114300">
            <wp:extent cx="5727700" cy="8103235"/>
            <wp:effectExtent l="0" t="0" r="0" b="12065"/>
            <wp:docPr id="23" name="图片 23" descr="水性油墨SDS资料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水性油墨SDS资料_06"/>
                    <pic:cNvPicPr>
                      <a:picLocks noChangeAspect="1"/>
                    </pic:cNvPicPr>
                  </pic:nvPicPr>
                  <pic:blipFill>
                    <a:blip r:embed="rId51"/>
                    <a:stretch>
                      <a:fillRect/>
                    </a:stretch>
                  </pic:blipFill>
                  <pic:spPr>
                    <a:xfrm>
                      <a:off x="0" y="0"/>
                      <a:ext cx="5727700" cy="8103235"/>
                    </a:xfrm>
                    <a:prstGeom prst="rect">
                      <a:avLst/>
                    </a:prstGeom>
                  </pic:spPr>
                </pic:pic>
              </a:graphicData>
            </a:graphic>
          </wp:inline>
        </w:drawing>
      </w:r>
      <w:r>
        <w:rPr>
          <w:rFonts w:hint="default" w:ascii="Times New Roman" w:hAnsi="Times New Roman" w:cs="Times New Roman"/>
          <w:color w:val="auto"/>
          <w:sz w:val="28"/>
          <w:szCs w:val="28"/>
          <w:lang w:val="en-US" w:eastAsia="zh-CN"/>
        </w:rPr>
        <w:drawing>
          <wp:inline distT="0" distB="0" distL="114300" distR="114300">
            <wp:extent cx="5727700" cy="8103235"/>
            <wp:effectExtent l="0" t="0" r="0" b="12065"/>
            <wp:docPr id="10" name="图片 10" descr="HAPER2206060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HAPER22060604_00"/>
                    <pic:cNvPicPr>
                      <a:picLocks noChangeAspect="1"/>
                    </pic:cNvPicPr>
                  </pic:nvPicPr>
                  <pic:blipFill>
                    <a:blip r:embed="rId52"/>
                    <a:stretch>
                      <a:fillRect/>
                    </a:stretch>
                  </pic:blipFill>
                  <pic:spPr>
                    <a:xfrm>
                      <a:off x="0" y="0"/>
                      <a:ext cx="5727700" cy="8103235"/>
                    </a:xfrm>
                    <a:prstGeom prst="rect">
                      <a:avLst/>
                    </a:prstGeom>
                  </pic:spPr>
                </pic:pic>
              </a:graphicData>
            </a:graphic>
          </wp:inline>
        </w:drawing>
      </w:r>
      <w:r>
        <w:rPr>
          <w:rFonts w:hint="default" w:ascii="Times New Roman" w:hAnsi="Times New Roman" w:cs="Times New Roman"/>
          <w:color w:val="auto"/>
          <w:sz w:val="28"/>
          <w:szCs w:val="28"/>
          <w:lang w:val="en-US" w:eastAsia="zh-CN"/>
        </w:rPr>
        <w:drawing>
          <wp:inline distT="0" distB="0" distL="114300" distR="114300">
            <wp:extent cx="5727700" cy="8103235"/>
            <wp:effectExtent l="0" t="0" r="0" b="12065"/>
            <wp:docPr id="24" name="图片 24" descr="HAPER2206060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HAPER22060604_01"/>
                    <pic:cNvPicPr>
                      <a:picLocks noChangeAspect="1"/>
                    </pic:cNvPicPr>
                  </pic:nvPicPr>
                  <pic:blipFill>
                    <a:blip r:embed="rId53"/>
                    <a:stretch>
                      <a:fillRect/>
                    </a:stretch>
                  </pic:blipFill>
                  <pic:spPr>
                    <a:xfrm>
                      <a:off x="0" y="0"/>
                      <a:ext cx="5727700" cy="8103235"/>
                    </a:xfrm>
                    <a:prstGeom prst="rect">
                      <a:avLst/>
                    </a:prstGeom>
                  </pic:spPr>
                </pic:pic>
              </a:graphicData>
            </a:graphic>
          </wp:inline>
        </w:drawing>
      </w:r>
      <w:r>
        <w:rPr>
          <w:rFonts w:hint="default" w:ascii="Times New Roman" w:hAnsi="Times New Roman" w:cs="Times New Roman"/>
          <w:color w:val="auto"/>
          <w:sz w:val="28"/>
          <w:szCs w:val="28"/>
          <w:lang w:val="en-US" w:eastAsia="zh-CN"/>
        </w:rPr>
        <w:drawing>
          <wp:inline distT="0" distB="0" distL="114300" distR="114300">
            <wp:extent cx="5727700" cy="8103235"/>
            <wp:effectExtent l="0" t="0" r="0" b="12065"/>
            <wp:docPr id="25" name="图片 25" descr="HAPER22060604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HAPER22060604_02"/>
                    <pic:cNvPicPr>
                      <a:picLocks noChangeAspect="1"/>
                    </pic:cNvPicPr>
                  </pic:nvPicPr>
                  <pic:blipFill>
                    <a:blip r:embed="rId54"/>
                    <a:stretch>
                      <a:fillRect/>
                    </a:stretch>
                  </pic:blipFill>
                  <pic:spPr>
                    <a:xfrm>
                      <a:off x="0" y="0"/>
                      <a:ext cx="5727700" cy="8103235"/>
                    </a:xfrm>
                    <a:prstGeom prst="rect">
                      <a:avLst/>
                    </a:prstGeom>
                  </pic:spPr>
                </pic:pic>
              </a:graphicData>
            </a:graphic>
          </wp:inline>
        </w:drawing>
      </w:r>
      <w:r>
        <w:rPr>
          <w:rFonts w:hint="default" w:ascii="Times New Roman" w:hAnsi="Times New Roman" w:cs="Times New Roman"/>
          <w:color w:val="auto"/>
          <w:sz w:val="28"/>
          <w:szCs w:val="28"/>
          <w:lang w:val="en-US" w:eastAsia="zh-CN"/>
        </w:rPr>
        <w:drawing>
          <wp:inline distT="0" distB="0" distL="114300" distR="114300">
            <wp:extent cx="5727700" cy="8103235"/>
            <wp:effectExtent l="0" t="0" r="0" b="12065"/>
            <wp:docPr id="26" name="图片 26" descr="HAPER22060604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HAPER22060604_03"/>
                    <pic:cNvPicPr>
                      <a:picLocks noChangeAspect="1"/>
                    </pic:cNvPicPr>
                  </pic:nvPicPr>
                  <pic:blipFill>
                    <a:blip r:embed="rId55"/>
                    <a:stretch>
                      <a:fillRect/>
                    </a:stretch>
                  </pic:blipFill>
                  <pic:spPr>
                    <a:xfrm>
                      <a:off x="0" y="0"/>
                      <a:ext cx="5727700" cy="8103235"/>
                    </a:xfrm>
                    <a:prstGeom prst="rect">
                      <a:avLst/>
                    </a:prstGeom>
                  </pic:spPr>
                </pic:pic>
              </a:graphicData>
            </a:graphic>
          </wp:inline>
        </w:drawing>
      </w:r>
    </w:p>
    <w:p>
      <w:pPr>
        <w:pStyle w:val="28"/>
        <w:jc w:val="left"/>
        <w:rPr>
          <w:rFonts w:hint="default" w:ascii="Times New Roman" w:hAnsi="Times New Roman" w:eastAsia="宋体" w:cs="Times New Roman"/>
          <w:color w:val="auto"/>
          <w:sz w:val="28"/>
          <w:szCs w:val="28"/>
          <w:lang w:val="en-US" w:eastAsia="zh-CN"/>
        </w:rPr>
      </w:pPr>
      <w:r>
        <w:rPr>
          <w:rFonts w:hint="default" w:ascii="Times New Roman" w:hAnsi="Times New Roman" w:eastAsia="宋体" w:cs="Times New Roman"/>
          <w:color w:val="auto"/>
          <w:sz w:val="28"/>
          <w:szCs w:val="28"/>
          <w:lang w:val="en-US" w:eastAsia="zh-CN"/>
        </w:rPr>
        <w:t>附件1</w:t>
      </w:r>
      <w:r>
        <w:rPr>
          <w:rFonts w:hint="eastAsia" w:ascii="Times New Roman" w:hAnsi="Times New Roman" w:cs="Times New Roman"/>
          <w:color w:val="auto"/>
          <w:sz w:val="28"/>
          <w:szCs w:val="28"/>
          <w:lang w:val="en-US" w:eastAsia="zh-CN"/>
        </w:rPr>
        <w:t>1</w:t>
      </w:r>
    </w:p>
    <w:p>
      <w:pPr>
        <w:ind w:firstLine="440" w:firstLineChars="200"/>
        <w:rPr>
          <w:rFonts w:hint="default" w:ascii="Times New Roman" w:hAnsi="Times New Roman" w:cs="Times New Roman"/>
          <w:color w:val="auto"/>
        </w:rPr>
      </w:pPr>
    </w:p>
    <w:p>
      <w:pPr>
        <w:snapToGrid w:val="0"/>
        <w:spacing w:line="560" w:lineRule="exact"/>
        <w:jc w:val="center"/>
        <w:rPr>
          <w:rFonts w:hint="default" w:ascii="Times New Roman" w:hAnsi="Times New Roman" w:eastAsia="方正小标宋_GBK" w:cs="Times New Roman"/>
          <w:bCs/>
          <w:color w:val="auto"/>
          <w:sz w:val="44"/>
          <w:szCs w:val="44"/>
        </w:rPr>
      </w:pPr>
      <w:r>
        <w:rPr>
          <w:rFonts w:hint="default" w:ascii="Times New Roman" w:hAnsi="Times New Roman" w:eastAsia="方正小标宋_GBK" w:cs="Times New Roman"/>
          <w:bCs/>
          <w:color w:val="auto"/>
          <w:sz w:val="44"/>
          <w:szCs w:val="44"/>
        </w:rPr>
        <w:t>连云港市生态环境局建设项目环境影响评价</w:t>
      </w:r>
    </w:p>
    <w:p>
      <w:pPr>
        <w:snapToGrid w:val="0"/>
        <w:spacing w:line="560" w:lineRule="exact"/>
        <w:jc w:val="center"/>
        <w:rPr>
          <w:rFonts w:hint="default" w:ascii="Times New Roman" w:hAnsi="Times New Roman" w:eastAsia="方正小标宋_GBK" w:cs="Times New Roman"/>
          <w:bCs/>
          <w:color w:val="auto"/>
          <w:sz w:val="44"/>
          <w:szCs w:val="44"/>
        </w:rPr>
      </w:pPr>
      <w:r>
        <w:rPr>
          <w:rFonts w:hint="default" w:ascii="Times New Roman" w:hAnsi="Times New Roman" w:eastAsia="方正小标宋_GBK" w:cs="Times New Roman"/>
          <w:bCs/>
          <w:color w:val="auto"/>
          <w:sz w:val="44"/>
          <w:szCs w:val="44"/>
        </w:rPr>
        <w:t>审批申请表</w:t>
      </w:r>
    </w:p>
    <w:p>
      <w:pPr>
        <w:rPr>
          <w:rFonts w:hint="default" w:ascii="Times New Roman" w:hAnsi="Times New Roman" w:cs="Times New Roman"/>
          <w:color w:val="auto"/>
          <w:sz w:val="28"/>
          <w:szCs w:val="28"/>
        </w:rPr>
      </w:pPr>
      <w:r>
        <w:rPr>
          <w:rFonts w:hint="default" w:ascii="Times New Roman" w:hAnsi="Times New Roman" w:cs="Times New Roman"/>
          <w:color w:val="auto"/>
          <w:sz w:val="28"/>
          <w:szCs w:val="28"/>
        </w:rPr>
        <w:t>建设单位（盖章）：</w:t>
      </w:r>
    </w:p>
    <w:tbl>
      <w:tblPr>
        <w:tblStyle w:val="23"/>
        <w:tblW w:w="95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0"/>
        <w:gridCol w:w="3260"/>
        <w:gridCol w:w="1276"/>
        <w:gridCol w:w="3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1" w:hRule="exact"/>
          <w:jc w:val="center"/>
        </w:trPr>
        <w:tc>
          <w:tcPr>
            <w:tcW w:w="1980"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项目名称</w:t>
            </w:r>
          </w:p>
        </w:tc>
        <w:tc>
          <w:tcPr>
            <w:tcW w:w="3260" w:type="dxa"/>
            <w:vAlign w:val="center"/>
          </w:tcPr>
          <w:p>
            <w:pPr>
              <w:jc w:val="center"/>
              <w:rPr>
                <w:rFonts w:hint="default" w:ascii="Times New Roman" w:hAnsi="Times New Roman" w:cs="Times New Roman"/>
                <w:color w:val="auto"/>
                <w:sz w:val="24"/>
                <w:szCs w:val="24"/>
              </w:rPr>
            </w:pPr>
            <w:r>
              <w:rPr>
                <w:rFonts w:hint="default" w:ascii="Times New Roman" w:hAnsi="Times New Roman" w:eastAsia="宋体" w:cs="Times New Roman"/>
                <w:color w:val="auto"/>
                <w:spacing w:val="-2"/>
                <w:sz w:val="24"/>
                <w:szCs w:val="24"/>
                <w:lang w:val="en-US" w:eastAsia="zh-CN"/>
              </w:rPr>
              <w:t>包装材料制造项目技术改造</w:t>
            </w:r>
          </w:p>
        </w:tc>
        <w:tc>
          <w:tcPr>
            <w:tcW w:w="1276"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项目性质</w:t>
            </w:r>
          </w:p>
        </w:tc>
        <w:tc>
          <w:tcPr>
            <w:tcW w:w="3024" w:type="dxa"/>
            <w:vAlign w:val="center"/>
          </w:tcPr>
          <w:p>
            <w:pPr>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改建</w:t>
            </w:r>
            <w:bookmarkStart w:id="12" w:name="_GoBack"/>
            <w:bookmarkEnd w:id="1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980"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联系人</w:t>
            </w:r>
          </w:p>
        </w:tc>
        <w:tc>
          <w:tcPr>
            <w:tcW w:w="3260" w:type="dxa"/>
            <w:vAlign w:val="center"/>
          </w:tcPr>
          <w:p>
            <w:pPr>
              <w:jc w:val="center"/>
              <w:rPr>
                <w:rFonts w:hint="default" w:ascii="Times New Roman" w:hAnsi="Times New Roman" w:cs="Times New Roman"/>
                <w:color w:val="auto"/>
                <w:sz w:val="24"/>
                <w:szCs w:val="24"/>
              </w:rPr>
            </w:pPr>
            <w:r>
              <w:rPr>
                <w:rFonts w:hint="default" w:ascii="Times New Roman" w:hAnsi="Times New Roman" w:eastAsia="宋体" w:cs="Times New Roman"/>
                <w:color w:val="auto"/>
                <w:spacing w:val="-2"/>
                <w:sz w:val="24"/>
                <w:szCs w:val="24"/>
                <w:lang w:val="en-US" w:eastAsia="zh-CN"/>
              </w:rPr>
              <w:fldChar w:fldCharType="begin"/>
            </w:r>
            <w:r>
              <w:rPr>
                <w:rFonts w:hint="default" w:ascii="Times New Roman" w:hAnsi="Times New Roman" w:eastAsia="宋体" w:cs="Times New Roman"/>
                <w:color w:val="auto"/>
                <w:spacing w:val="-2"/>
                <w:sz w:val="24"/>
                <w:szCs w:val="24"/>
                <w:lang w:val="en-US" w:eastAsia="zh-CN"/>
              </w:rPr>
              <w:instrText xml:space="preserve"> HYPERLINK "https://shuidi.cn/owner_resume?base=bmFtZT3nqqbot4Pli4cmZGlnZXN0PWUxODQ2OWIxOGQyNjAzZTA5MzJmYjMzNDlmMzIwZDY0JnBvc2l0aW9uPeazleS6ug==&amp;clickLogParamsPosition=%E6%80%BB%E8%A7%88%E5%8C%BA-%E4%B8%8B%E8%BD%BD%E7%AE%80%E5%8E%86" \o "窦跃勇" </w:instrText>
            </w:r>
            <w:r>
              <w:rPr>
                <w:rFonts w:hint="default" w:ascii="Times New Roman" w:hAnsi="Times New Roman" w:eastAsia="宋体" w:cs="Times New Roman"/>
                <w:color w:val="auto"/>
                <w:spacing w:val="-2"/>
                <w:sz w:val="24"/>
                <w:szCs w:val="24"/>
                <w:lang w:val="en-US" w:eastAsia="zh-CN"/>
              </w:rPr>
              <w:fldChar w:fldCharType="separate"/>
            </w:r>
            <w:r>
              <w:rPr>
                <w:rFonts w:hint="default" w:ascii="Times New Roman" w:hAnsi="Times New Roman" w:eastAsia="宋体" w:cs="Times New Roman"/>
                <w:color w:val="auto"/>
                <w:spacing w:val="-2"/>
                <w:sz w:val="24"/>
                <w:szCs w:val="24"/>
                <w:lang w:val="en-US" w:eastAsia="zh-CN"/>
              </w:rPr>
              <w:t>窦跃勇</w:t>
            </w:r>
            <w:r>
              <w:rPr>
                <w:rFonts w:hint="default" w:ascii="Times New Roman" w:hAnsi="Times New Roman" w:eastAsia="宋体" w:cs="Times New Roman"/>
                <w:color w:val="auto"/>
                <w:spacing w:val="-2"/>
                <w:sz w:val="24"/>
                <w:szCs w:val="24"/>
                <w:lang w:val="en-US" w:eastAsia="zh-CN"/>
              </w:rPr>
              <w:fldChar w:fldCharType="end"/>
            </w:r>
          </w:p>
        </w:tc>
        <w:tc>
          <w:tcPr>
            <w:tcW w:w="1276"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联系电话</w:t>
            </w:r>
          </w:p>
        </w:tc>
        <w:tc>
          <w:tcPr>
            <w:tcW w:w="3024" w:type="dxa"/>
            <w:vAlign w:val="center"/>
          </w:tcPr>
          <w:p>
            <w:pPr>
              <w:jc w:val="center"/>
              <w:rPr>
                <w:rFonts w:hint="default" w:ascii="Times New Roman" w:hAnsi="Times New Roman" w:cs="Times New Roman"/>
                <w:color w:val="auto"/>
                <w:sz w:val="24"/>
                <w:szCs w:val="24"/>
              </w:rPr>
            </w:pPr>
            <w:r>
              <w:rPr>
                <w:rFonts w:hint="default" w:ascii="Times New Roman" w:hAnsi="Times New Roman" w:eastAsia="宋体" w:cs="Times New Roman"/>
                <w:color w:val="auto"/>
                <w:spacing w:val="-2"/>
                <w:sz w:val="24"/>
                <w:szCs w:val="24"/>
                <w:lang w:val="en-US" w:eastAsia="zh-CN"/>
              </w:rPr>
              <w:t>13705138164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exact"/>
          <w:jc w:val="center"/>
        </w:trPr>
        <w:tc>
          <w:tcPr>
            <w:tcW w:w="1980"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项目地址</w:t>
            </w:r>
          </w:p>
        </w:tc>
        <w:tc>
          <w:tcPr>
            <w:tcW w:w="3260" w:type="dxa"/>
            <w:vAlign w:val="center"/>
          </w:tcPr>
          <w:p>
            <w:pPr>
              <w:jc w:val="center"/>
              <w:rPr>
                <w:rFonts w:hint="default" w:ascii="Times New Roman" w:hAnsi="Times New Roman" w:cs="Times New Roman"/>
                <w:color w:val="auto"/>
                <w:sz w:val="24"/>
                <w:szCs w:val="24"/>
              </w:rPr>
            </w:pPr>
            <w:r>
              <w:rPr>
                <w:rFonts w:hint="default" w:ascii="Times New Roman" w:hAnsi="Times New Roman" w:eastAsia="宋体" w:cs="Times New Roman"/>
                <w:color w:val="auto"/>
                <w:spacing w:val="-2"/>
                <w:sz w:val="24"/>
                <w:szCs w:val="24"/>
                <w:lang w:val="en-US" w:eastAsia="zh-CN"/>
              </w:rPr>
              <w:t>连云港市经济技术开发区东方大道36号</w:t>
            </w:r>
          </w:p>
        </w:tc>
        <w:tc>
          <w:tcPr>
            <w:tcW w:w="1276"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行业类别</w:t>
            </w:r>
          </w:p>
        </w:tc>
        <w:tc>
          <w:tcPr>
            <w:tcW w:w="3024" w:type="dxa"/>
            <w:vAlign w:val="center"/>
          </w:tcPr>
          <w:p>
            <w:pPr>
              <w:keepNext w:val="0"/>
              <w:keepLines w:val="0"/>
              <w:widowControl/>
              <w:suppressLineNumbers w:val="0"/>
              <w:jc w:val="center"/>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C2923 塑料丝、绳</w:t>
            </w:r>
          </w:p>
          <w:p>
            <w:pPr>
              <w:jc w:val="center"/>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及编织品制造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980"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项目总投资</w:t>
            </w:r>
          </w:p>
        </w:tc>
        <w:tc>
          <w:tcPr>
            <w:tcW w:w="3260" w:type="dxa"/>
            <w:vAlign w:val="center"/>
          </w:tcPr>
          <w:p>
            <w:pPr>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10</w:t>
            </w:r>
            <w:r>
              <w:rPr>
                <w:rFonts w:hint="default" w:ascii="Times New Roman" w:hAnsi="Times New Roman" w:eastAsia="宋体" w:cs="Times New Roman"/>
                <w:color w:val="auto"/>
                <w:sz w:val="24"/>
                <w:szCs w:val="24"/>
                <w:lang w:val="en-US" w:eastAsia="zh-CN"/>
              </w:rPr>
              <w:t>000万元</w:t>
            </w:r>
          </w:p>
        </w:tc>
        <w:tc>
          <w:tcPr>
            <w:tcW w:w="1276"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环保投资</w:t>
            </w:r>
          </w:p>
        </w:tc>
        <w:tc>
          <w:tcPr>
            <w:tcW w:w="3024" w:type="dxa"/>
            <w:vAlign w:val="center"/>
          </w:tcPr>
          <w:p>
            <w:pPr>
              <w:jc w:val="center"/>
              <w:rPr>
                <w:rFonts w:hint="default" w:ascii="Times New Roman" w:hAnsi="Times New Roman" w:cs="Times New Roman"/>
                <w:color w:val="auto"/>
                <w:sz w:val="24"/>
                <w:szCs w:val="24"/>
                <w:lang w:val="en-US"/>
              </w:rPr>
            </w:pPr>
            <w:r>
              <w:rPr>
                <w:rFonts w:hint="eastAsia" w:ascii="Times New Roman" w:hAnsi="Times New Roman" w:cs="Times New Roman"/>
                <w:color w:val="auto"/>
                <w:sz w:val="24"/>
                <w:szCs w:val="24"/>
                <w:lang w:val="en-US" w:eastAsia="zh-CN"/>
              </w:rPr>
              <w:t>11</w:t>
            </w:r>
            <w:r>
              <w:rPr>
                <w:rFonts w:hint="default" w:ascii="Times New Roman" w:hAnsi="Times New Roman" w:eastAsia="宋体" w:cs="Times New Roman"/>
                <w:color w:val="auto"/>
                <w:sz w:val="24"/>
                <w:szCs w:val="24"/>
                <w:lang w:val="en-US" w:eastAsia="zh-CN"/>
              </w:rPr>
              <w:t>.5万元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69" w:hRule="exact"/>
          <w:jc w:val="center"/>
        </w:trPr>
        <w:tc>
          <w:tcPr>
            <w:tcW w:w="1980"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环评形式</w:t>
            </w:r>
          </w:p>
        </w:tc>
        <w:tc>
          <w:tcPr>
            <w:tcW w:w="3260"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报告表</w:t>
            </w:r>
          </w:p>
        </w:tc>
        <w:tc>
          <w:tcPr>
            <w:tcW w:w="1276"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环评单位</w:t>
            </w:r>
          </w:p>
        </w:tc>
        <w:tc>
          <w:tcPr>
            <w:tcW w:w="3024"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江苏中之禾工程设计咨询有限公司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5" w:hRule="exact"/>
          <w:jc w:val="center"/>
        </w:trPr>
        <w:tc>
          <w:tcPr>
            <w:tcW w:w="1980"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项目概述</w:t>
            </w:r>
          </w:p>
        </w:tc>
        <w:tc>
          <w:tcPr>
            <w:tcW w:w="7560" w:type="dxa"/>
            <w:gridSpan w:val="3"/>
            <w:vAlign w:val="center"/>
          </w:tcPr>
          <w:p>
            <w:pPr>
              <w:ind w:firstLine="480" w:firstLineChars="200"/>
              <w:jc w:val="left"/>
              <w:rPr>
                <w:rFonts w:hint="default" w:ascii="Times New Roman" w:hAnsi="Times New Roman" w:cs="Times New Roman"/>
                <w:color w:val="FF0000"/>
                <w:sz w:val="24"/>
                <w:szCs w:val="24"/>
              </w:rPr>
            </w:pPr>
            <w:r>
              <w:rPr>
                <w:rFonts w:hint="default" w:ascii="Times New Roman" w:hAnsi="Times New Roman" w:eastAsia="宋体" w:cs="Times New Roman"/>
                <w:sz w:val="24"/>
                <w:lang w:val="en-US" w:eastAsia="zh-CN"/>
              </w:rPr>
              <w:t>连云港中鸿包装有限公司投资</w:t>
            </w:r>
            <w:r>
              <w:rPr>
                <w:rFonts w:hint="eastAsia" w:ascii="Times New Roman" w:hAnsi="Times New Roman" w:eastAsia="宋体" w:cs="Times New Roman"/>
                <w:sz w:val="24"/>
                <w:lang w:val="en-US" w:eastAsia="zh-CN"/>
              </w:rPr>
              <w:t>10000</w:t>
            </w:r>
            <w:r>
              <w:rPr>
                <w:rFonts w:hint="default" w:ascii="Times New Roman" w:hAnsi="Times New Roman" w:eastAsia="宋体" w:cs="Times New Roman"/>
                <w:sz w:val="24"/>
                <w:lang w:val="en-US" w:eastAsia="zh-CN"/>
              </w:rPr>
              <w:t>万元，并新购置涂膜机、吨包切印一体机、缝纫机等设备，对现有包装材料制造项目进行技术改造。项目运营期产生的非甲烷总烃</w:t>
            </w:r>
            <w:r>
              <w:rPr>
                <w:rFonts w:hint="eastAsia" w:ascii="Times New Roman" w:hAnsi="Times New Roman" w:eastAsia="宋体" w:cs="Times New Roman"/>
                <w:sz w:val="24"/>
                <w:lang w:val="en-US" w:eastAsia="zh-CN"/>
              </w:rPr>
              <w:t>满足</w:t>
            </w:r>
            <w:r>
              <w:rPr>
                <w:rFonts w:hint="eastAsia" w:ascii="Times New Roman" w:hAnsi="Times New Roman" w:eastAsia="宋体" w:cs="Times New Roman"/>
                <w:color w:val="auto"/>
                <w:sz w:val="24"/>
                <w:lang w:val="en-US" w:eastAsia="zh-CN"/>
              </w:rPr>
              <w:t>《工业涂装工序大气污染物排放标准》（DB32/4439-2022）</w:t>
            </w:r>
            <w:r>
              <w:rPr>
                <w:rFonts w:hint="eastAsia" w:ascii="Times New Roman" w:hAnsi="Times New Roman" w:cs="Times New Roman"/>
                <w:color w:val="auto"/>
                <w:sz w:val="24"/>
                <w:lang w:val="en-US" w:eastAsia="zh-CN"/>
              </w:rPr>
              <w:t>等标准</w:t>
            </w:r>
            <w:r>
              <w:rPr>
                <w:rFonts w:hint="eastAsia" w:ascii="Times New Roman" w:hAnsi="Times New Roman" w:eastAsia="宋体" w:cs="Times New Roman"/>
                <w:sz w:val="24"/>
                <w:lang w:val="en-US" w:eastAsia="zh-CN"/>
              </w:rPr>
              <w:t>中相关限值</w:t>
            </w:r>
            <w:r>
              <w:rPr>
                <w:rFonts w:hint="default" w:ascii="Times New Roman" w:hAnsi="Times New Roman" w:eastAsia="宋体" w:cs="Times New Roman"/>
                <w:sz w:val="24"/>
                <w:lang w:val="en-US" w:eastAsia="zh-CN"/>
              </w:rPr>
              <w:t>标准；</w:t>
            </w:r>
            <w:r>
              <w:rPr>
                <w:rFonts w:hint="eastAsia" w:ascii="Times New Roman" w:hAnsi="Times New Roman" w:eastAsia="宋体" w:cs="Times New Roman"/>
                <w:sz w:val="24"/>
                <w:lang w:val="en-US" w:eastAsia="zh-CN"/>
              </w:rPr>
              <w:t>项目不新增排放废水</w:t>
            </w:r>
            <w:r>
              <w:rPr>
                <w:rFonts w:hint="default" w:ascii="Times New Roman" w:hAnsi="Times New Roman" w:eastAsia="宋体" w:cs="Times New Roman"/>
                <w:sz w:val="24"/>
                <w:lang w:val="en-US" w:eastAsia="zh-CN"/>
              </w:rPr>
              <w:t>。厂区平面布局合理，且厂界四周都有绿化消声。厂区固废废物全部安全处置，零排放。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exact"/>
          <w:jc w:val="center"/>
        </w:trPr>
        <w:tc>
          <w:tcPr>
            <w:tcW w:w="1980" w:type="dxa"/>
            <w:vMerge w:val="restart"/>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申报材料</w:t>
            </w:r>
          </w:p>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□内打钩</w:t>
            </w:r>
          </w:p>
        </w:tc>
        <w:tc>
          <w:tcPr>
            <w:tcW w:w="7560" w:type="dxa"/>
            <w:gridSpan w:val="3"/>
            <w:vAlign w:val="center"/>
          </w:tcPr>
          <w:p>
            <w:pPr>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F052"/>
            </w:r>
            <w:r>
              <w:rPr>
                <w:rFonts w:hint="default" w:ascii="Times New Roman" w:hAnsi="Times New Roman" w:cs="Times New Roman"/>
                <w:color w:val="auto"/>
                <w:sz w:val="24"/>
                <w:szCs w:val="24"/>
              </w:rPr>
              <w:t>建设项目环境影响报告书（表）（报批稿3份、公示本1份及含所有报批材料的光盘1份）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1980" w:type="dxa"/>
            <w:vMerge w:val="continue"/>
            <w:vAlign w:val="center"/>
          </w:tcPr>
          <w:p>
            <w:pPr>
              <w:jc w:val="center"/>
              <w:rPr>
                <w:rFonts w:hint="default" w:ascii="Times New Roman" w:hAnsi="Times New Roman" w:cs="Times New Roman"/>
                <w:color w:val="auto"/>
                <w:sz w:val="24"/>
                <w:szCs w:val="24"/>
              </w:rPr>
            </w:pPr>
          </w:p>
        </w:tc>
        <w:tc>
          <w:tcPr>
            <w:tcW w:w="7560" w:type="dxa"/>
            <w:gridSpan w:val="3"/>
            <w:vAlign w:val="center"/>
          </w:tcPr>
          <w:p>
            <w:pP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□编制环境影响报告书的建设项目的公众参与说明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1" w:hRule="exact"/>
          <w:jc w:val="center"/>
        </w:trPr>
        <w:tc>
          <w:tcPr>
            <w:tcW w:w="1980" w:type="dxa"/>
            <w:vMerge w:val="continue"/>
            <w:vAlign w:val="center"/>
          </w:tcPr>
          <w:p>
            <w:pPr>
              <w:jc w:val="center"/>
              <w:rPr>
                <w:rFonts w:hint="default" w:ascii="Times New Roman" w:hAnsi="Times New Roman" w:cs="Times New Roman"/>
                <w:color w:val="auto"/>
                <w:sz w:val="24"/>
                <w:szCs w:val="24"/>
              </w:rPr>
            </w:pPr>
          </w:p>
        </w:tc>
        <w:tc>
          <w:tcPr>
            <w:tcW w:w="7560" w:type="dxa"/>
            <w:gridSpan w:val="3"/>
            <w:vAlign w:val="center"/>
          </w:tcPr>
          <w:p>
            <w:pPr>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F052"/>
            </w:r>
            <w:r>
              <w:rPr>
                <w:rFonts w:hint="default" w:ascii="Times New Roman" w:hAnsi="Times New Roman" w:cs="Times New Roman"/>
                <w:color w:val="auto"/>
                <w:sz w:val="24"/>
                <w:szCs w:val="24"/>
              </w:rPr>
              <w:t>附图附件（法定有效的城市规划、土地规划、海洋规划、国土空间规划等相关上位规划的图件；</w:t>
            </w:r>
            <w:r>
              <w:rPr>
                <w:rFonts w:hint="default" w:ascii="Times New Roman" w:hAnsi="Times New Roman" w:cs="Times New Roman"/>
                <w:color w:val="auto"/>
                <w:kern w:val="0"/>
                <w:sz w:val="24"/>
                <w:szCs w:val="24"/>
              </w:rPr>
              <w:t>相关部门出具的有效文件，项目立项和可研批复，编制单位和编制人员情况表，环评编制主持人资质证书、现场踏勘照片，项目委托书、合同等</w:t>
            </w:r>
            <w:r>
              <w:rPr>
                <w:rFonts w:hint="default" w:ascii="Times New Roman" w:hAnsi="Times New Roman" w:cs="Times New Roman"/>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80" w:type="dxa"/>
            <w:vMerge w:val="continue"/>
            <w:vAlign w:val="center"/>
          </w:tcPr>
          <w:p>
            <w:pPr>
              <w:jc w:val="center"/>
              <w:rPr>
                <w:rFonts w:hint="default" w:ascii="Times New Roman" w:hAnsi="Times New Roman" w:cs="Times New Roman"/>
                <w:color w:val="auto"/>
                <w:sz w:val="24"/>
                <w:szCs w:val="24"/>
              </w:rPr>
            </w:pPr>
          </w:p>
        </w:tc>
        <w:tc>
          <w:tcPr>
            <w:tcW w:w="7560" w:type="dxa"/>
            <w:gridSpan w:val="3"/>
            <w:vAlign w:val="center"/>
          </w:tcPr>
          <w:p>
            <w:pP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r>
              <w:rPr>
                <w:rFonts w:hint="default" w:ascii="Times New Roman" w:hAnsi="Times New Roman" w:cs="Times New Roman"/>
                <w:color w:val="auto"/>
                <w:kern w:val="0"/>
                <w:sz w:val="24"/>
                <w:szCs w:val="24"/>
              </w:rPr>
              <w:t>其他需提供的材料（可自行备注）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3" w:hRule="atLeast"/>
          <w:jc w:val="center"/>
        </w:trPr>
        <w:tc>
          <w:tcPr>
            <w:tcW w:w="1980" w:type="dxa"/>
            <w:vAlign w:val="center"/>
          </w:tcPr>
          <w:p>
            <w:pPr>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许可决定送达方式</w:t>
            </w:r>
          </w:p>
        </w:tc>
        <w:tc>
          <w:tcPr>
            <w:tcW w:w="7560" w:type="dxa"/>
            <w:gridSpan w:val="3"/>
            <w:vAlign w:val="center"/>
          </w:tcPr>
          <w:p>
            <w:pP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□邮寄    </w:t>
            </w:r>
            <w:r>
              <w:rPr>
                <w:rFonts w:hint="default" w:ascii="Times New Roman" w:hAnsi="Times New Roman" w:cs="Times New Roman"/>
                <w:color w:val="auto"/>
                <w:sz w:val="24"/>
                <w:szCs w:val="24"/>
              </w:rPr>
              <w:sym w:font="Wingdings 2" w:char="F052"/>
            </w:r>
            <w:r>
              <w:rPr>
                <w:rFonts w:hint="default" w:ascii="Times New Roman" w:hAnsi="Times New Roman" w:cs="Times New Roman"/>
                <w:color w:val="auto"/>
                <w:sz w:val="24"/>
                <w:szCs w:val="24"/>
              </w:rPr>
              <w:t>自行领取     □其它送达方式：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40" w:type="dxa"/>
            <w:gridSpan w:val="4"/>
            <w:vAlign w:val="center"/>
          </w:tcPr>
          <w:p>
            <w:pPr>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我特此确认，本申请表所填内容及所附文件和材料均为真实有效，我对本单位所提交的材料的真实性负责，并承担内容不实之后果。</w:t>
            </w:r>
          </w:p>
          <w:p>
            <w:pPr>
              <w:ind w:firstLine="480" w:firstLineChars="200"/>
              <w:rPr>
                <w:rFonts w:hint="default" w:ascii="Times New Roman" w:hAnsi="Times New Roman" w:cs="Times New Roman"/>
                <w:color w:val="auto"/>
                <w:sz w:val="24"/>
                <w:szCs w:val="24"/>
              </w:rPr>
            </w:pPr>
          </w:p>
          <w:p>
            <w:pPr>
              <w:ind w:firstLine="480" w:firstLineChars="200"/>
              <w:rPr>
                <w:rFonts w:hint="default" w:ascii="Times New Roman" w:hAnsi="Times New Roman" w:cs="Times New Roman"/>
                <w:color w:val="auto"/>
                <w:sz w:val="24"/>
                <w:szCs w:val="24"/>
              </w:rPr>
            </w:pPr>
          </w:p>
          <w:p>
            <w:pPr>
              <w:ind w:firstLine="600" w:firstLineChars="25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申请人（法人代表或附授权委托书）：                 </w:t>
            </w: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cs="Times New Roman"/>
                <w:color w:val="auto"/>
                <w:sz w:val="24"/>
                <w:szCs w:val="24"/>
              </w:rPr>
              <w:t xml:space="preserve"> 日期：</w:t>
            </w:r>
          </w:p>
        </w:tc>
      </w:tr>
    </w:tbl>
    <w:p>
      <w:pPr>
        <w:rPr>
          <w:rFonts w:hint="default" w:ascii="Times New Roman" w:hAnsi="Times New Roman" w:cs="Times New Roman"/>
        </w:rPr>
        <w:sectPr>
          <w:pgSz w:w="11910" w:h="16840"/>
          <w:pgMar w:top="1080" w:right="1440" w:bottom="1080" w:left="1440" w:header="0" w:footer="0" w:gutter="0"/>
          <w:pgBorders>
            <w:top w:val="none" w:sz="0" w:space="0"/>
            <w:left w:val="none" w:sz="0" w:space="0"/>
            <w:bottom w:val="none" w:sz="0" w:space="0"/>
            <w:right w:val="none" w:sz="0" w:space="0"/>
          </w:pgBorders>
          <w:pgNumType w:fmt="decimal"/>
          <w:cols w:space="720" w:num="1"/>
          <w:docGrid w:linePitch="299" w:charSpace="0"/>
        </w:sectPr>
      </w:pPr>
    </w:p>
    <w:p>
      <w:pPr>
        <w:tabs>
          <w:tab w:val="left" w:pos="553"/>
        </w:tabs>
        <w:ind w:firstLine="440" w:firstLineChars="200"/>
        <w:rPr>
          <w:rFonts w:hint="default" w:ascii="Times New Roman" w:hAnsi="Times New Roman" w:eastAsia="Times New Roman" w:cs="Times New Roman"/>
          <w:snapToGrid w:val="0"/>
          <w:w w:val="0"/>
          <w:sz w:val="0"/>
          <w:szCs w:val="0"/>
          <w:u w:color="000000"/>
          <w:shd w:val="clear" w:color="000000" w:fill="000000"/>
          <w:lang w:val="zh-CN" w:eastAsia="zh-CN" w:bidi="zh-CN"/>
        </w:rPr>
      </w:pPr>
      <w:r>
        <w:rPr>
          <w:rFonts w:hint="default" w:ascii="Times New Roman" w:hAnsi="Times New Roman" w:cs="Times New Roman"/>
        </w:rPr>
        <w:t xml:space="preserve">  </w:t>
      </w:r>
      <w:r>
        <w:rPr>
          <w:rFonts w:hint="default" w:ascii="Times New Roman" w:hAnsi="Times New Roman" w:eastAsia="Times New Roman" w:cs="Times New Roman"/>
          <w:snapToGrid w:val="0"/>
          <w:w w:val="0"/>
          <w:sz w:val="0"/>
          <w:szCs w:val="0"/>
          <w:u w:color="000000"/>
          <w:shd w:val="clear" w:color="000000" w:fill="000000"/>
          <w:lang w:val="zh-CN" w:eastAsia="zh-CN" w:bidi="zh-CN"/>
        </w:rPr>
        <w:t xml:space="preserve">  </w:t>
      </w: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pPr>
      <w:r>
        <w:drawing>
          <wp:inline distT="0" distB="0" distL="114300" distR="114300">
            <wp:extent cx="7593965" cy="5549900"/>
            <wp:effectExtent l="0" t="0" r="63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6"/>
                    <a:stretch>
                      <a:fillRect/>
                    </a:stretch>
                  </pic:blipFill>
                  <pic:spPr>
                    <a:xfrm>
                      <a:off x="0" y="0"/>
                      <a:ext cx="7593965" cy="5549900"/>
                    </a:xfrm>
                    <a:prstGeom prst="rect">
                      <a:avLst/>
                    </a:prstGeom>
                    <a:noFill/>
                    <a:ln>
                      <a:noFill/>
                    </a:ln>
                  </pic:spPr>
                </pic:pic>
              </a:graphicData>
            </a:graphic>
          </wp:inline>
        </w:drawing>
      </w:r>
    </w:p>
    <w:p>
      <w:pPr>
        <w:pStyle w:val="28"/>
        <w:rPr>
          <w:rFonts w:hint="default" w:ascii="Times New Roman" w:hAnsi="Times New Roman" w:eastAsia="Times New Roman" w:cs="Times New Roman"/>
          <w:snapToGrid w:val="0"/>
          <w:w w:val="0"/>
          <w:sz w:val="0"/>
          <w:szCs w:val="0"/>
          <w:u w:color="000000"/>
          <w:shd w:val="clear" w:color="000000" w:fill="000000"/>
          <w:lang w:val="zh-CN" w:eastAsia="zh-CN" w:bidi="zh-CN"/>
        </w:rPr>
        <w:sectPr>
          <w:pgSz w:w="16840" w:h="11910" w:orient="landscape"/>
          <w:pgMar w:top="1440" w:right="1080" w:bottom="1440" w:left="1080" w:header="0" w:footer="0" w:gutter="0"/>
          <w:pgBorders>
            <w:top w:val="none" w:sz="0" w:space="0"/>
            <w:left w:val="none" w:sz="0" w:space="0"/>
            <w:bottom w:val="none" w:sz="0" w:space="0"/>
            <w:right w:val="none" w:sz="0" w:space="0"/>
          </w:pgBorders>
          <w:pgNumType w:fmt="decimal"/>
          <w:cols w:space="720" w:num="1"/>
          <w:docGrid w:linePitch="299" w:charSpace="0"/>
        </w:sectPr>
      </w:pPr>
    </w:p>
    <w:p>
      <w:pPr>
        <w:pStyle w:val="28"/>
        <w:rPr>
          <w:rFonts w:hint="default" w:ascii="Times New Roman" w:hAnsi="Times New Roman" w:cs="Times New Roman"/>
        </w:rPr>
      </w:pPr>
      <w:r>
        <w:drawing>
          <wp:inline distT="0" distB="0" distL="114300" distR="114300">
            <wp:extent cx="7880985" cy="5236845"/>
            <wp:effectExtent l="0" t="0" r="5715"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7"/>
                    <a:stretch>
                      <a:fillRect/>
                    </a:stretch>
                  </pic:blipFill>
                  <pic:spPr>
                    <a:xfrm>
                      <a:off x="0" y="0"/>
                      <a:ext cx="7880985" cy="5236845"/>
                    </a:xfrm>
                    <a:prstGeom prst="rect">
                      <a:avLst/>
                    </a:prstGeom>
                    <a:noFill/>
                    <a:ln>
                      <a:noFill/>
                    </a:ln>
                  </pic:spPr>
                </pic:pic>
              </a:graphicData>
            </a:graphic>
          </wp:inline>
        </w:drawing>
      </w:r>
    </w:p>
    <w:p>
      <w:pPr>
        <w:jc w:val="center"/>
        <w:rPr>
          <w:rFonts w:hint="default" w:ascii="Times New Roman" w:hAnsi="Times New Roman" w:eastAsia="宋体" w:cs="Times New Roman"/>
          <w:lang w:eastAsia="zh-CN"/>
        </w:rPr>
        <w:sectPr>
          <w:pgSz w:w="16840" w:h="11910" w:orient="landscape"/>
          <w:pgMar w:top="1440" w:right="1080" w:bottom="1440" w:left="1080" w:header="0" w:footer="0" w:gutter="0"/>
          <w:pgBorders>
            <w:top w:val="none" w:sz="0" w:space="0"/>
            <w:left w:val="none" w:sz="0" w:space="0"/>
            <w:bottom w:val="none" w:sz="0" w:space="0"/>
            <w:right w:val="none" w:sz="0" w:space="0"/>
          </w:pgBorders>
          <w:pgNumType w:fmt="decimal"/>
          <w:cols w:space="720" w:num="1"/>
          <w:docGrid w:linePitch="299" w:charSpace="0"/>
        </w:sectPr>
      </w:pPr>
    </w:p>
    <w:p>
      <w:pPr>
        <w:jc w:val="center"/>
        <w:rPr>
          <w:rFonts w:hint="default" w:ascii="Times New Roman" w:hAnsi="Times New Roman" w:cs="Times New Roman"/>
        </w:rPr>
        <w:sectPr>
          <w:pgSz w:w="16840" w:h="11910" w:orient="landscape"/>
          <w:pgMar w:top="1440" w:right="1080" w:bottom="1440" w:left="1080" w:header="0" w:footer="0" w:gutter="0"/>
          <w:pgBorders>
            <w:top w:val="none" w:sz="0" w:space="0"/>
            <w:left w:val="none" w:sz="0" w:space="0"/>
            <w:bottom w:val="none" w:sz="0" w:space="0"/>
            <w:right w:val="none" w:sz="0" w:space="0"/>
          </w:pgBorders>
          <w:pgNumType w:fmt="decimal"/>
          <w:cols w:space="720" w:num="1"/>
          <w:docGrid w:linePitch="299" w:charSpace="0"/>
        </w:sectPr>
      </w:pPr>
      <w:r>
        <w:drawing>
          <wp:inline distT="0" distB="0" distL="114300" distR="114300">
            <wp:extent cx="8503920" cy="5324475"/>
            <wp:effectExtent l="0" t="0" r="5080" b="952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58"/>
                    <a:stretch>
                      <a:fillRect/>
                    </a:stretch>
                  </pic:blipFill>
                  <pic:spPr>
                    <a:xfrm>
                      <a:off x="0" y="0"/>
                      <a:ext cx="8503920" cy="5324475"/>
                    </a:xfrm>
                    <a:prstGeom prst="rect">
                      <a:avLst/>
                    </a:prstGeom>
                    <a:noFill/>
                    <a:ln>
                      <a:noFill/>
                    </a:ln>
                  </pic:spPr>
                </pic:pic>
              </a:graphicData>
            </a:graphic>
          </wp:inline>
        </w:drawing>
      </w:r>
    </w:p>
    <w:p>
      <w:pPr>
        <w:pStyle w:val="28"/>
        <w:jc w:val="both"/>
        <w:rPr>
          <w:rFonts w:hint="default" w:ascii="Times New Roman" w:hAnsi="Times New Roman" w:cs="Times New Roman"/>
        </w:rPr>
      </w:pPr>
    </w:p>
    <w:p>
      <w:pPr>
        <w:pStyle w:val="28"/>
        <w:jc w:val="center"/>
        <w:rPr>
          <w:rFonts w:hint="default" w:ascii="Times New Roman" w:hAnsi="Times New Roman" w:cs="Times New Roman"/>
          <w:sz w:val="28"/>
          <w:szCs w:val="28"/>
        </w:rPr>
        <w:sectPr>
          <w:pgSz w:w="11910" w:h="16840"/>
          <w:pgMar w:top="1080" w:right="1440" w:bottom="1080" w:left="1440" w:header="0" w:footer="0" w:gutter="0"/>
          <w:pgBorders>
            <w:top w:val="none" w:sz="0" w:space="0"/>
            <w:left w:val="none" w:sz="0" w:space="0"/>
            <w:bottom w:val="none" w:sz="0" w:space="0"/>
            <w:right w:val="none" w:sz="0" w:space="0"/>
          </w:pgBorders>
          <w:pgNumType w:fmt="decimal"/>
          <w:cols w:space="720" w:num="1"/>
          <w:docGrid w:linePitch="299" w:charSpace="0"/>
        </w:sectPr>
      </w:pPr>
      <w:r>
        <w:drawing>
          <wp:inline distT="0" distB="0" distL="114300" distR="114300">
            <wp:extent cx="5419725" cy="6202680"/>
            <wp:effectExtent l="0" t="0" r="3175" b="762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59"/>
                    <a:stretch>
                      <a:fillRect/>
                    </a:stretch>
                  </pic:blipFill>
                  <pic:spPr>
                    <a:xfrm>
                      <a:off x="0" y="0"/>
                      <a:ext cx="5419725" cy="6202680"/>
                    </a:xfrm>
                    <a:prstGeom prst="rect">
                      <a:avLst/>
                    </a:prstGeom>
                    <a:noFill/>
                    <a:ln>
                      <a:noFill/>
                    </a:ln>
                  </pic:spPr>
                </pic:pic>
              </a:graphicData>
            </a:graphic>
          </wp:inline>
        </w:drawing>
      </w:r>
    </w:p>
    <w:p>
      <w:pPr>
        <w:pStyle w:val="28"/>
        <w:rPr>
          <w:rFonts w:hint="default" w:ascii="Times New Roman" w:hAnsi="Times New Roman" w:cs="Times New Roman"/>
        </w:rPr>
      </w:pPr>
      <w:r>
        <w:drawing>
          <wp:inline distT="0" distB="0" distL="114300" distR="114300">
            <wp:extent cx="7611110" cy="5212715"/>
            <wp:effectExtent l="0" t="0" r="8890" b="6985"/>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60"/>
                    <a:stretch>
                      <a:fillRect/>
                    </a:stretch>
                  </pic:blipFill>
                  <pic:spPr>
                    <a:xfrm>
                      <a:off x="0" y="0"/>
                      <a:ext cx="7611110" cy="5212715"/>
                    </a:xfrm>
                    <a:prstGeom prst="rect">
                      <a:avLst/>
                    </a:prstGeom>
                    <a:noFill/>
                    <a:ln>
                      <a:noFill/>
                    </a:ln>
                  </pic:spPr>
                </pic:pic>
              </a:graphicData>
            </a:graphic>
          </wp:inline>
        </w:drawing>
      </w:r>
    </w:p>
    <w:p>
      <w:pPr>
        <w:pStyle w:val="28"/>
        <w:rPr>
          <w:rFonts w:hint="default" w:ascii="Times New Roman" w:hAnsi="Times New Roman" w:cs="Times New Roman"/>
        </w:rPr>
      </w:pPr>
      <w:r>
        <w:rPr>
          <w:rFonts w:hint="default" w:ascii="Times New Roman" w:hAnsi="Times New Roman" w:cs="Times New Roman"/>
          <w:sz w:val="22"/>
        </w:rPr>
        <mc:AlternateContent>
          <mc:Choice Requires="wps">
            <w:drawing>
              <wp:anchor distT="0" distB="0" distL="114300" distR="114300" simplePos="0" relativeHeight="251667456" behindDoc="0" locked="0" layoutInCell="1" allowOverlap="1">
                <wp:simplePos x="0" y="0"/>
                <wp:positionH relativeFrom="column">
                  <wp:posOffset>2723515</wp:posOffset>
                </wp:positionH>
                <wp:positionV relativeFrom="paragraph">
                  <wp:posOffset>20955</wp:posOffset>
                </wp:positionV>
                <wp:extent cx="3484880" cy="288925"/>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3484880" cy="288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480" w:lineRule="auto"/>
                              <w:jc w:val="center"/>
                              <w:rPr>
                                <w:rFonts w:hint="default" w:eastAsia="宋体"/>
                                <w:lang w:val="en-US" w:eastAsia="zh-CN"/>
                              </w:rPr>
                            </w:pPr>
                            <w:r>
                              <w:rPr>
                                <w:rFonts w:hint="default" w:ascii="Times New Roman" w:hAnsi="Times New Roman" w:eastAsia="宋体" w:cs="Times New Roman"/>
                                <w:b/>
                                <w:bCs/>
                                <w:sz w:val="28"/>
                                <w:szCs w:val="28"/>
                                <w:lang w:val="en-US" w:eastAsia="zh-CN"/>
                              </w:rPr>
                              <w:t>附图5  四邻、卫生防护距离情况图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45pt;margin-top:1.65pt;height:22.75pt;width:274.4pt;z-index:251667456;mso-width-relative:page;mso-height-relative:page;" filled="f" stroked="f" coordsize="21600,21600" o:gfxdata="UEsDBAoAAAAAAIdO4kAAAAAAAAAAAAAAAAAEAAAAZHJzL1BLAwQUAAAACACHTuJAuBDSlNkAAAAI&#10;AQAADwAAAGRycy9kb3ducmV2LnhtbE2Py07DMBBF90j8gzVI7KjTFEga4lQoUoWEYNHSDTsnniYR&#10;9jjE7gO+nmEFy9G5uvdMuTo7K444hcGTgvksAYHUejNQp2D3tr7JQYSoyWjrCRV8YYBVdXlR6sL4&#10;E23wuI2d4BIKhVbQxzgWUoa2R6fDzI9IzPZ+cjryOXXSTPrE5c7KNEnupdMD8UKvR6x7bD+2B6fg&#10;uV6/6k2Tuvzb1k8v+8fxc/d+p9T11Tx5ABHxHP/C8KvP6lCxU+MPZIKwCm7TfMlRBYsFCObLLMtA&#10;NAzyHGRVyv8PVD9QSwMEFAAAAAgAh07iQLrykvQ9AgAAaAQAAA4AAABkcnMvZTJvRG9jLnhtbK1U&#10;wU4bMRC9V+o/WL6XTUKgIWKDUhBVJVSQaNWz4/WyK9ke13bYpR/Q/gGnXnrvd/EdffYmAdEeOPTi&#10;jGdm3/i9mcnxSW80u1U+tGRLPt4bcaaspKq1NyX//On8zYyzEIWthCarSn6nAj9ZvH513Lm5mlBD&#10;ulKeAcSGeedK3sTo5kURZKOMCHvklEWwJm9ExNXfFJUXHdCNLiaj0WHRka+cJ6lCgPdsCPINon8J&#10;INV1K9UZybVRNg6oXmkRQSk0rQt8kV9b10rGy7oOKjJdcjCN+UQR2Kt0FotjMb/xwjWt3DxBvOQJ&#10;zzgZ0VoU3UGdiSjY2rd/QZlWegpUxz1JphiIZEXAYjx6ps11I5zKXCB1cDvRw/+DlR9vrzxrq5JP&#10;jjizwqDjD/c/Hn7+fvj1ncEHgToX5si7dsiM/TvqMTZbf4Az8e5rb9IvGDHEIe/dTl7VRybh3J/O&#10;prMZQhKxyWx2NDlIMMXj186H+F6RYckouUf7sqri9iLEIXWbkopZOm+1zi3UlnUlP9w/GOUPdhGA&#10;a4saicPw1mTFftVviK2ougMvT8NoBCfPWxS/ECFeCY9ZwHuxLfESR60JRWhjcdaQ//Yvf8pHixDl&#10;rMNslTx8XQuvONMfLJp3NJ5OARvzZXrwdoKLfxpZPY3YtTkljO8Ye+lkNlN+1Fuz9mS+YKmWqSpC&#10;wkrULnncmqdxmHgspVTLZU7C+DkRL+y1kwl6kHO5jlS3Wekk06DNRj0MYO7VZlnShD+956zHP4jF&#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gQ0pTZAAAACAEAAA8AAAAAAAAAAQAgAAAAIgAAAGRy&#10;cy9kb3ducmV2LnhtbFBLAQIUABQAAAAIAIdO4kC68pL0PQIAAGgEAAAOAAAAAAAAAAEAIAAAACgB&#10;AABkcnMvZTJvRG9jLnhtbFBLBQYAAAAABgAGAFkBAADXBQAAAAA=&#10;">
                <v:fill on="f" focussize="0,0"/>
                <v:stroke on="f" weight="0.5pt"/>
                <v:imagedata o:title=""/>
                <o:lock v:ext="edit" aspectratio="f"/>
                <v:textbox>
                  <w:txbxContent>
                    <w:p>
                      <w:pPr>
                        <w:spacing w:line="480" w:lineRule="auto"/>
                        <w:jc w:val="center"/>
                        <w:rPr>
                          <w:rFonts w:hint="default" w:eastAsia="宋体"/>
                          <w:lang w:val="en-US" w:eastAsia="zh-CN"/>
                        </w:rPr>
                      </w:pPr>
                      <w:r>
                        <w:rPr>
                          <w:rFonts w:hint="default" w:ascii="Times New Roman" w:hAnsi="Times New Roman" w:eastAsia="宋体" w:cs="Times New Roman"/>
                          <w:b/>
                          <w:bCs/>
                          <w:sz w:val="28"/>
                          <w:szCs w:val="28"/>
                          <w:lang w:val="en-US" w:eastAsia="zh-CN"/>
                        </w:rPr>
                        <w:t>附图5  四邻、卫生防护距离情况图</w:t>
                      </w:r>
                    </w:p>
                  </w:txbxContent>
                </v:textbox>
              </v:shape>
            </w:pict>
          </mc:Fallback>
        </mc:AlternateContent>
      </w:r>
    </w:p>
    <w:p>
      <w:pPr>
        <w:pStyle w:val="28"/>
        <w:rPr>
          <w:rFonts w:hint="default" w:ascii="Times New Roman" w:hAnsi="Times New Roman" w:cs="Times New Roman"/>
        </w:rPr>
      </w:pPr>
    </w:p>
    <w:p>
      <w:pPr>
        <w:pStyle w:val="28"/>
        <w:rPr>
          <w:rFonts w:hint="default" w:ascii="Times New Roman" w:hAnsi="Times New Roman" w:cs="Times New Roman"/>
        </w:rPr>
      </w:pPr>
    </w:p>
    <w:p>
      <w:pPr>
        <w:pStyle w:val="28"/>
        <w:rPr>
          <w:rFonts w:hint="default" w:ascii="Times New Roman" w:hAnsi="Times New Roman" w:cs="Times New Roman"/>
        </w:rPr>
        <w:sectPr>
          <w:pgSz w:w="16840" w:h="11910" w:orient="landscape"/>
          <w:pgMar w:top="1440" w:right="1080" w:bottom="1440" w:left="1080" w:header="0" w:footer="0" w:gutter="0"/>
          <w:pgBorders>
            <w:top w:val="none" w:sz="0" w:space="0"/>
            <w:left w:val="none" w:sz="0" w:space="0"/>
            <w:bottom w:val="none" w:sz="0" w:space="0"/>
            <w:right w:val="none" w:sz="0" w:space="0"/>
          </w:pgBorders>
          <w:pgNumType w:fmt="decimal"/>
          <w:cols w:space="720" w:num="1"/>
          <w:docGrid w:linePitch="299" w:charSpace="0"/>
        </w:sectPr>
      </w:pPr>
    </w:p>
    <w:p>
      <w:pPr>
        <w:pStyle w:val="28"/>
        <w:rPr>
          <w:rFonts w:hint="default" w:ascii="Times New Roman" w:hAnsi="Times New Roman" w:cs="Times New Roman"/>
        </w:rPr>
      </w:pPr>
      <w:r>
        <w:drawing>
          <wp:inline distT="0" distB="0" distL="114300" distR="114300">
            <wp:extent cx="5602605" cy="6880860"/>
            <wp:effectExtent l="0" t="0" r="10795" b="2540"/>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61"/>
                    <a:stretch>
                      <a:fillRect/>
                    </a:stretch>
                  </pic:blipFill>
                  <pic:spPr>
                    <a:xfrm>
                      <a:off x="0" y="0"/>
                      <a:ext cx="5602605" cy="6880860"/>
                    </a:xfrm>
                    <a:prstGeom prst="rect">
                      <a:avLst/>
                    </a:prstGeom>
                    <a:noFill/>
                    <a:ln>
                      <a:noFill/>
                    </a:ln>
                  </pic:spPr>
                </pic:pic>
              </a:graphicData>
            </a:graphic>
          </wp:inline>
        </w:drawing>
      </w:r>
    </w:p>
    <w:p>
      <w:pPr>
        <w:pStyle w:val="28"/>
        <w:rPr>
          <w:rFonts w:hint="default" w:ascii="Times New Roman" w:hAnsi="Times New Roman" w:cs="Times New Roman"/>
        </w:rPr>
      </w:pPr>
    </w:p>
    <w:p>
      <w:pPr>
        <w:pStyle w:val="28"/>
        <w:rPr>
          <w:rFonts w:hint="default" w:ascii="Times New Roman" w:hAnsi="Times New Roman" w:cs="Times New Roman"/>
        </w:rPr>
        <w:sectPr>
          <w:pgSz w:w="11910" w:h="16840"/>
          <w:pgMar w:top="1080" w:right="1440" w:bottom="1080" w:left="1440" w:header="0" w:footer="0" w:gutter="0"/>
          <w:pgBorders>
            <w:top w:val="none" w:sz="0" w:space="0"/>
            <w:left w:val="none" w:sz="0" w:space="0"/>
            <w:bottom w:val="none" w:sz="0" w:space="0"/>
            <w:right w:val="none" w:sz="0" w:space="0"/>
          </w:pgBorders>
          <w:pgNumType w:fmt="decimal"/>
          <w:cols w:space="720" w:num="1"/>
          <w:docGrid w:linePitch="299" w:charSpace="0"/>
        </w:sectPr>
      </w:pPr>
      <w:r>
        <w:rPr>
          <w:rFonts w:hint="default" w:ascii="Times New Roman" w:hAnsi="Times New Roman" w:cs="Times New Roman"/>
          <w:sz w:val="22"/>
        </w:rPr>
        <mc:AlternateContent>
          <mc:Choice Requires="wps">
            <w:drawing>
              <wp:anchor distT="0" distB="0" distL="114300" distR="114300" simplePos="0" relativeHeight="251666432" behindDoc="0" locked="0" layoutInCell="1" allowOverlap="1">
                <wp:simplePos x="0" y="0"/>
                <wp:positionH relativeFrom="column">
                  <wp:posOffset>1202055</wp:posOffset>
                </wp:positionH>
                <wp:positionV relativeFrom="paragraph">
                  <wp:posOffset>52705</wp:posOffset>
                </wp:positionV>
                <wp:extent cx="3484880" cy="288925"/>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3484880" cy="2889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480" w:lineRule="auto"/>
                              <w:jc w:val="center"/>
                              <w:rPr>
                                <w:rFonts w:hint="default" w:eastAsia="宋体"/>
                                <w:lang w:val="en-US" w:eastAsia="zh-CN"/>
                              </w:rPr>
                            </w:pPr>
                            <w:r>
                              <w:rPr>
                                <w:rFonts w:hint="default" w:ascii="Times New Roman" w:hAnsi="Times New Roman" w:eastAsia="宋体" w:cs="Times New Roman"/>
                                <w:b/>
                                <w:bCs/>
                                <w:sz w:val="28"/>
                                <w:szCs w:val="28"/>
                                <w:lang w:val="en-US" w:eastAsia="zh-CN"/>
                              </w:rPr>
                              <w:t>附图</w:t>
                            </w:r>
                            <w:r>
                              <w:rPr>
                                <w:rFonts w:hint="eastAsia" w:ascii="Times New Roman" w:hAnsi="Times New Roman" w:eastAsia="宋体" w:cs="Times New Roman"/>
                                <w:b/>
                                <w:bCs/>
                                <w:sz w:val="28"/>
                                <w:szCs w:val="28"/>
                                <w:lang w:val="en-US" w:eastAsia="zh-CN"/>
                              </w:rPr>
                              <w:t>6</w:t>
                            </w:r>
                            <w:r>
                              <w:rPr>
                                <w:rFonts w:hint="default"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bCs/>
                                <w:sz w:val="28"/>
                                <w:szCs w:val="28"/>
                                <w:lang w:val="en-US" w:eastAsia="zh-CN"/>
                              </w:rPr>
                              <w:t xml:space="preserve"> 监测点位</w:t>
                            </w:r>
                            <w:r>
                              <w:rPr>
                                <w:rFonts w:hint="default" w:ascii="Times New Roman" w:hAnsi="Times New Roman" w:eastAsia="宋体" w:cs="Times New Roman"/>
                                <w:b/>
                                <w:bCs/>
                                <w:sz w:val="28"/>
                                <w:szCs w:val="28"/>
                                <w:lang w:val="en-US" w:eastAsia="zh-CN"/>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65pt;margin-top:4.15pt;height:22.75pt;width:274.4pt;z-index:251666432;mso-width-relative:page;mso-height-relative:page;" filled="f" stroked="f" coordsize="21600,21600" o:gfxdata="UEsDBAoAAAAAAIdO4kAAAAAAAAAAAAAAAAAEAAAAZHJzL1BLAwQUAAAACACHTuJAs3Y+xtkAAAAI&#10;AQAADwAAAGRycy9kb3ducmV2LnhtbE2PzU7DMBCE70i8g7VI3KiTRgWTxqlQpAoJwaGlF26b2E2i&#10;xusQuz/w9CwnOK1GM5r9plhd3CBOdgq9Jw3pLAFhqfGmp1bD7n19p0CEiGRw8GQ1fNkAq/L6qsDc&#10;+DNt7GkbW8ElFHLU0MU45lKGprMOw8yPltjb+8lhZDm10kx45nI3yHmS3EuHPfGHDkdbdbY5bI9O&#10;w0u1fsNNPXfqe6ieX/dP4+fuY6H17U2aLEFEe4l/YfjFZ3Qoman2RzJBDKzVY8ZRDYoP+w+ZSkHU&#10;GhaZAlkW8v+A8gdQSwMEFAAAAAgAh07iQNgf/ng9AgAAaAQAAA4AAABkcnMvZTJvRG9jLnhtbK1U&#10;wU4bMRC9V+o/WL6XTUKAELFBKYiqEipItOrZ8XrZlWyPazvs0g9o/6CnXnrvd/EdffYmAdEeOPTi&#10;jGdm3/i9mcnJaW80u1M+tGRLPt4bcaaspKq1tyX/9PHizYyzEIWthCarSn6vAj9dvH510rm5mlBD&#10;ulKeAcSGeedK3sTo5kURZKOMCHvklEWwJm9ExNXfFpUXHdCNLiaj0WHRka+cJ6lCgPd8CPINon8J&#10;INV1K9U5ybVRNg6oXmkRQSk0rQt8kV9b10rGq7oOKjJdcjCN+UQR2Kt0FosTMb/1wjWt3DxBvOQJ&#10;zzgZ0VoU3UGdiyjY2rd/QZlWegpUxz1JphiIZEXAYjx6ps1NI5zKXCB1cDvRw/+DlR/urj1rq5Lv&#10;H3FmhUHHH358f/j5++HXNwYfBOpcmCPvxiEz9m+px9hs/QHOxLuvvUm/YMQQh7z3O3lVH5mEc386&#10;m85mCEnEJrPZ8eQgwRSPXzsf4jtFhiWj5B7ty6qKu8sQh9RtSipm6aLVOrdQW9aV/HD/YJQ/2EUA&#10;ri1qJA7DW5MV+1W/Ibai6h68PA2jEZy8aFH8UoR4LTxmAe/FtsQrHLUmFKGNxVlD/uu//CkfLUKU&#10;sw6zVfLwZS284ky/t2je8Xg6BWzMl+nB0QQX/zSyehqxa3NGGN8x9tLJbKb8qLdm7cl8xlItU1WE&#10;hJWoXfK4Nc/iMPFYSqmWy5yE8XMiXtobJxP0IOdyHalus9JJpkGbjXoYwNyrzbKkCX96z1mPfxC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N2PsbZAAAACAEAAA8AAAAAAAAAAQAgAAAAIgAAAGRy&#10;cy9kb3ducmV2LnhtbFBLAQIUABQAAAAIAIdO4kDYH/54PQIAAGgEAAAOAAAAAAAAAAEAIAAAACgB&#10;AABkcnMvZTJvRG9jLnhtbFBLBQYAAAAABgAGAFkBAADXBQAAAAA=&#10;">
                <v:fill on="f" focussize="0,0"/>
                <v:stroke on="f" weight="0.5pt"/>
                <v:imagedata o:title=""/>
                <o:lock v:ext="edit" aspectratio="f"/>
                <v:textbox>
                  <w:txbxContent>
                    <w:p>
                      <w:pPr>
                        <w:spacing w:line="480" w:lineRule="auto"/>
                        <w:jc w:val="center"/>
                        <w:rPr>
                          <w:rFonts w:hint="default" w:eastAsia="宋体"/>
                          <w:lang w:val="en-US" w:eastAsia="zh-CN"/>
                        </w:rPr>
                      </w:pPr>
                      <w:r>
                        <w:rPr>
                          <w:rFonts w:hint="default" w:ascii="Times New Roman" w:hAnsi="Times New Roman" w:eastAsia="宋体" w:cs="Times New Roman"/>
                          <w:b/>
                          <w:bCs/>
                          <w:sz w:val="28"/>
                          <w:szCs w:val="28"/>
                          <w:lang w:val="en-US" w:eastAsia="zh-CN"/>
                        </w:rPr>
                        <w:t>附图</w:t>
                      </w:r>
                      <w:r>
                        <w:rPr>
                          <w:rFonts w:hint="eastAsia" w:ascii="Times New Roman" w:hAnsi="Times New Roman" w:eastAsia="宋体" w:cs="Times New Roman"/>
                          <w:b/>
                          <w:bCs/>
                          <w:sz w:val="28"/>
                          <w:szCs w:val="28"/>
                          <w:lang w:val="en-US" w:eastAsia="zh-CN"/>
                        </w:rPr>
                        <w:t>6</w:t>
                      </w:r>
                      <w:r>
                        <w:rPr>
                          <w:rFonts w:hint="default"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bCs/>
                          <w:sz w:val="28"/>
                          <w:szCs w:val="28"/>
                          <w:lang w:val="en-US" w:eastAsia="zh-CN"/>
                        </w:rPr>
                        <w:t xml:space="preserve"> 监测点位</w:t>
                      </w:r>
                      <w:r>
                        <w:rPr>
                          <w:rFonts w:hint="default" w:ascii="Times New Roman" w:hAnsi="Times New Roman" w:eastAsia="宋体" w:cs="Times New Roman"/>
                          <w:b/>
                          <w:bCs/>
                          <w:sz w:val="28"/>
                          <w:szCs w:val="28"/>
                          <w:lang w:val="en-US" w:eastAsia="zh-CN"/>
                        </w:rPr>
                        <w:t>图</w:t>
                      </w:r>
                    </w:p>
                  </w:txbxContent>
                </v:textbox>
              </v:shape>
            </w:pict>
          </mc:Fallback>
        </mc:AlternateContent>
      </w:r>
    </w:p>
    <w:tbl>
      <w:tblPr>
        <w:tblStyle w:val="24"/>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70" w:type="dxa"/>
          </w:tcPr>
          <w:p>
            <w:pPr>
              <w:widowControl/>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571490" cy="7644130"/>
                  <wp:effectExtent l="0" t="0" r="3810" b="1270"/>
                  <wp:docPr id="16" name="图片 16" descr="1e298d553137407625ea5acc53f4d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e298d553137407625ea5acc53f4dce"/>
                          <pic:cNvPicPr>
                            <a:picLocks noChangeAspect="1"/>
                          </pic:cNvPicPr>
                        </pic:nvPicPr>
                        <pic:blipFill>
                          <a:blip r:embed="rId62"/>
                          <a:stretch>
                            <a:fillRect/>
                          </a:stretch>
                        </pic:blipFill>
                        <pic:spPr>
                          <a:xfrm>
                            <a:off x="0" y="0"/>
                            <a:ext cx="5571490" cy="76441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70" w:type="dxa"/>
          </w:tcPr>
          <w:p>
            <w:pPr>
              <w:pStyle w:val="28"/>
              <w:rPr>
                <w:rFonts w:hint="default" w:ascii="Times New Roman" w:hAnsi="Times New Roman" w:cs="Times New Roman"/>
                <w:b/>
              </w:rPr>
            </w:pPr>
            <w:r>
              <w:rPr>
                <w:rFonts w:hint="default" w:ascii="Times New Roman" w:hAnsi="Times New Roman" w:cs="Times New Roman"/>
                <w:b/>
                <w:sz w:val="28"/>
              </w:rPr>
              <w:t>附图</w:t>
            </w:r>
            <w:r>
              <w:rPr>
                <w:rFonts w:hint="default" w:ascii="Times New Roman" w:hAnsi="Times New Roman" w:eastAsia="宋体" w:cs="Times New Roman"/>
                <w:b/>
                <w:sz w:val="28"/>
                <w:lang w:val="en-US" w:eastAsia="zh-CN"/>
              </w:rPr>
              <w:t>7</w:t>
            </w:r>
            <w:r>
              <w:rPr>
                <w:rFonts w:hint="default" w:ascii="Times New Roman" w:hAnsi="Times New Roman" w:cs="Times New Roman"/>
                <w:b/>
                <w:sz w:val="28"/>
              </w:rPr>
              <w:t>工程师勘查现场照片</w:t>
            </w:r>
          </w:p>
        </w:tc>
      </w:tr>
    </w:tbl>
    <w:p>
      <w:pPr>
        <w:pStyle w:val="28"/>
        <w:rPr>
          <w:rFonts w:hint="default" w:ascii="Times New Roman" w:hAnsi="Times New Roman" w:cs="Times New Roman"/>
        </w:rPr>
        <w:sectPr>
          <w:pgSz w:w="11910" w:h="16840"/>
          <w:pgMar w:top="1080" w:right="1440" w:bottom="1080" w:left="1440" w:header="0" w:footer="0" w:gutter="0"/>
          <w:pgBorders>
            <w:top w:val="none" w:sz="0" w:space="0"/>
            <w:left w:val="none" w:sz="0" w:space="0"/>
            <w:bottom w:val="none" w:sz="0" w:space="0"/>
            <w:right w:val="none" w:sz="0" w:space="0"/>
          </w:pgBorders>
          <w:pgNumType w:fmt="decimal"/>
          <w:cols w:space="720" w:num="1"/>
          <w:docGrid w:linePitch="299" w:charSpace="0"/>
        </w:sectPr>
      </w:pPr>
    </w:p>
    <w:p>
      <w:pPr>
        <w:rPr>
          <w:rFonts w:hint="default" w:ascii="Times New Roman" w:hAnsi="Times New Roman" w:cs="Times New Roman"/>
        </w:rPr>
      </w:pPr>
    </w:p>
    <w:sectPr>
      <w:footerReference r:id="rId10" w:type="default"/>
      <w:pgSz w:w="16840" w:h="11910" w:orient="landscape"/>
      <w:pgMar w:top="1100" w:right="1440" w:bottom="280" w:left="1420" w:header="0" w:footer="0" w:gutter="0"/>
      <w:pgBorders>
        <w:top w:val="none" w:sz="0" w:space="0"/>
        <w:left w:val="none" w:sz="0" w:space="0"/>
        <w:bottom w:val="none" w:sz="0" w:space="0"/>
        <w:right w:val="none" w:sz="0" w:space="0"/>
      </w:pgBorders>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文鼎CS中宋">
    <w:altName w:val="宋体"/>
    <w:panose1 w:val="00000000000000000000"/>
    <w:charset w:val="86"/>
    <w:family w:val="modern"/>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font>
  <w:font w:name="TimesNewRomanPSMT">
    <w:altName w:val="等线"/>
    <w:panose1 w:val="00000000000000000000"/>
    <w:charset w:val="86"/>
    <w:family w:val="auto"/>
    <w:pitch w:val="default"/>
    <w:sig w:usb0="00000000" w:usb1="00000000" w:usb2="00000010" w:usb3="00000000" w:csb0="00040000" w:csb1="00000000"/>
  </w:font>
  <w:font w:name="Cambria Math">
    <w:panose1 w:val="02040503050406030204"/>
    <w:charset w:val="00"/>
    <w:family w:val="roman"/>
    <w:pitch w:val="default"/>
    <w:sig w:usb0="E00006FF" w:usb1="420024FF" w:usb2="02000000" w:usb3="00000000" w:csb0="2000019F" w:csb1="00000000"/>
  </w:font>
  <w:font w:name="仿宋">
    <w:panose1 w:val="02010609060101010101"/>
    <w:charset w:val="86"/>
    <w:family w:val="auto"/>
    <w:pitch w:val="default"/>
    <w:sig w:usb0="800002BF" w:usb1="38CF7CFA" w:usb2="00000016" w:usb3="00000000" w:csb0="00040001" w:csb1="00000000"/>
  </w:font>
  <w:font w:name="方正小标宋_GBK">
    <w:altName w:val="黑体"/>
    <w:panose1 w:val="00000000000000000000"/>
    <w:charset w:val="86"/>
    <w:family w:val="script"/>
    <w:pitch w:val="default"/>
    <w:sig w:usb0="00000000" w:usb1="00000000" w:usb2="00000010" w:usb3="00000000" w:csb0="00040000" w:csb1="00000000"/>
  </w:font>
  <w:font w:name="Tahoma">
    <w:panose1 w:val="020B0604030504040204"/>
    <w:charset w:val="00"/>
    <w:family w:val="auto"/>
    <w:pitch w:val="default"/>
    <w:sig w:usb0="E1002EFF" w:usb1="C000605B" w:usb2="00000029" w:usb3="00000000" w:csb0="200101FF" w:csb1="20280000"/>
  </w:font>
  <w:font w:name="Wingdings 2">
    <w:panose1 w:val="05020102010507070707"/>
    <w:charset w:val="00"/>
    <w:family w:val="auto"/>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w:rPr>
        <w:sz w:val="20"/>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w:rPr>
        <w:sz w:val="20"/>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15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15</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28</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0"/>
        <w:szCs w:val="20"/>
      </w:rPr>
    </w:pPr>
    <w:r>
      <w:rPr>
        <w:sz w:val="20"/>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36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36</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sz w:val="2"/>
        <w:szCs w:val="2"/>
      </w:rPr>
    </w:pPr>
    <w:r>
      <w:rPr>
        <w:sz w:val="2"/>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65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65</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86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86</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EB65EEE"/>
    <w:multiLevelType w:val="singleLevel"/>
    <w:tmpl w:val="DEB65EEE"/>
    <w:lvl w:ilvl="0" w:tentative="0">
      <w:start w:val="1"/>
      <w:numFmt w:val="bullet"/>
      <w:pStyle w:val="8"/>
      <w:lvlText w:val=""/>
      <w:lvlJc w:val="left"/>
      <w:pPr>
        <w:tabs>
          <w:tab w:val="left" w:pos="2040"/>
        </w:tabs>
        <w:ind w:left="2040" w:hanging="360"/>
      </w:pPr>
      <w:rPr>
        <w:rFonts w:hint="default" w:ascii="Wingdings" w:hAnsi="Wingdings"/>
      </w:rPr>
    </w:lvl>
  </w:abstractNum>
  <w:abstractNum w:abstractNumId="1">
    <w:nsid w:val="E0A08F34"/>
    <w:multiLevelType w:val="singleLevel"/>
    <w:tmpl w:val="E0A08F34"/>
    <w:lvl w:ilvl="0" w:tentative="0">
      <w:start w:val="5"/>
      <w:numFmt w:val="chineseCounting"/>
      <w:suff w:val="nothing"/>
      <w:lvlText w:val="%1、"/>
      <w:lvlJc w:val="left"/>
      <w:rPr>
        <w:rFonts w:hint="eastAsia"/>
      </w:rPr>
    </w:lvl>
  </w:abstractNum>
  <w:abstractNum w:abstractNumId="2">
    <w:nsid w:val="1B166371"/>
    <w:multiLevelType w:val="singleLevel"/>
    <w:tmpl w:val="1B166371"/>
    <w:lvl w:ilvl="0" w:tentative="0">
      <w:start w:val="1"/>
      <w:numFmt w:val="decimal"/>
      <w:suff w:val="nothing"/>
      <w:lvlText w:val="（%1）"/>
      <w:lvlJc w:val="left"/>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720"/>
  <w:drawingGridHorizontalSpacing w:val="110"/>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1YjAxODhjYTIyZDFhZWU4Zjg0YzM0OTAxNTVkMjgifQ=="/>
  </w:docVars>
  <w:rsids>
    <w:rsidRoot w:val="00172A27"/>
    <w:rsid w:val="00044A5B"/>
    <w:rsid w:val="00052A18"/>
    <w:rsid w:val="000F5645"/>
    <w:rsid w:val="00172A27"/>
    <w:rsid w:val="001B392D"/>
    <w:rsid w:val="002742D7"/>
    <w:rsid w:val="0047449D"/>
    <w:rsid w:val="00493B6D"/>
    <w:rsid w:val="00555760"/>
    <w:rsid w:val="005A707F"/>
    <w:rsid w:val="0079212B"/>
    <w:rsid w:val="007A7497"/>
    <w:rsid w:val="0099737F"/>
    <w:rsid w:val="00BB33AE"/>
    <w:rsid w:val="00C63F1C"/>
    <w:rsid w:val="00DE799E"/>
    <w:rsid w:val="00F431B9"/>
    <w:rsid w:val="00FD1A19"/>
    <w:rsid w:val="0119132C"/>
    <w:rsid w:val="01200B75"/>
    <w:rsid w:val="01253372"/>
    <w:rsid w:val="013435B5"/>
    <w:rsid w:val="01373DA5"/>
    <w:rsid w:val="014D21B8"/>
    <w:rsid w:val="01906BF9"/>
    <w:rsid w:val="019963BA"/>
    <w:rsid w:val="01D6224B"/>
    <w:rsid w:val="0205362F"/>
    <w:rsid w:val="02100824"/>
    <w:rsid w:val="02150B93"/>
    <w:rsid w:val="02427F54"/>
    <w:rsid w:val="0243641E"/>
    <w:rsid w:val="024B725A"/>
    <w:rsid w:val="0269035A"/>
    <w:rsid w:val="02717CEA"/>
    <w:rsid w:val="02764B31"/>
    <w:rsid w:val="027A5A60"/>
    <w:rsid w:val="027F06F4"/>
    <w:rsid w:val="02836593"/>
    <w:rsid w:val="028E3F25"/>
    <w:rsid w:val="029550BB"/>
    <w:rsid w:val="02B60A8B"/>
    <w:rsid w:val="02BE4077"/>
    <w:rsid w:val="02C4593E"/>
    <w:rsid w:val="02E629F3"/>
    <w:rsid w:val="02FC0821"/>
    <w:rsid w:val="030968CA"/>
    <w:rsid w:val="033D7784"/>
    <w:rsid w:val="0362193B"/>
    <w:rsid w:val="03666D35"/>
    <w:rsid w:val="036F343E"/>
    <w:rsid w:val="03C11E5E"/>
    <w:rsid w:val="03C911B8"/>
    <w:rsid w:val="03D35307"/>
    <w:rsid w:val="03E95394"/>
    <w:rsid w:val="03F73964"/>
    <w:rsid w:val="040745CA"/>
    <w:rsid w:val="040B0C41"/>
    <w:rsid w:val="0440652C"/>
    <w:rsid w:val="04437768"/>
    <w:rsid w:val="044440B3"/>
    <w:rsid w:val="04477C0E"/>
    <w:rsid w:val="04676957"/>
    <w:rsid w:val="047A1C27"/>
    <w:rsid w:val="049A3B80"/>
    <w:rsid w:val="049B267B"/>
    <w:rsid w:val="049C16D0"/>
    <w:rsid w:val="04A46E78"/>
    <w:rsid w:val="04C64BF3"/>
    <w:rsid w:val="04D8594A"/>
    <w:rsid w:val="04D87ADD"/>
    <w:rsid w:val="04F046FE"/>
    <w:rsid w:val="055E3242"/>
    <w:rsid w:val="056E7ADA"/>
    <w:rsid w:val="059211F2"/>
    <w:rsid w:val="05BF3F3D"/>
    <w:rsid w:val="05C26AD0"/>
    <w:rsid w:val="06087B52"/>
    <w:rsid w:val="06484360"/>
    <w:rsid w:val="064D0A38"/>
    <w:rsid w:val="066F2E60"/>
    <w:rsid w:val="067578E9"/>
    <w:rsid w:val="068E7ADE"/>
    <w:rsid w:val="06995100"/>
    <w:rsid w:val="06B705F7"/>
    <w:rsid w:val="06C564BB"/>
    <w:rsid w:val="06F50F77"/>
    <w:rsid w:val="070473E6"/>
    <w:rsid w:val="07137941"/>
    <w:rsid w:val="07254B85"/>
    <w:rsid w:val="07797F74"/>
    <w:rsid w:val="077B36C0"/>
    <w:rsid w:val="077C7F29"/>
    <w:rsid w:val="079F6195"/>
    <w:rsid w:val="07B13FE6"/>
    <w:rsid w:val="07F27525"/>
    <w:rsid w:val="080E64C1"/>
    <w:rsid w:val="08503E71"/>
    <w:rsid w:val="085D1644"/>
    <w:rsid w:val="08762705"/>
    <w:rsid w:val="0878647D"/>
    <w:rsid w:val="088405CC"/>
    <w:rsid w:val="088F2102"/>
    <w:rsid w:val="08906D87"/>
    <w:rsid w:val="08D04E09"/>
    <w:rsid w:val="08DD5BA8"/>
    <w:rsid w:val="08E6156B"/>
    <w:rsid w:val="097204B5"/>
    <w:rsid w:val="09C723E3"/>
    <w:rsid w:val="09E27A7A"/>
    <w:rsid w:val="0A0E2F31"/>
    <w:rsid w:val="0A0F6A75"/>
    <w:rsid w:val="0A670558"/>
    <w:rsid w:val="0A8C04CE"/>
    <w:rsid w:val="0AC43BFC"/>
    <w:rsid w:val="0ACD2EDB"/>
    <w:rsid w:val="0AE70C75"/>
    <w:rsid w:val="0AF134B0"/>
    <w:rsid w:val="0B2F44BB"/>
    <w:rsid w:val="0B3A7FBD"/>
    <w:rsid w:val="0B4D0DCA"/>
    <w:rsid w:val="0B4E35B5"/>
    <w:rsid w:val="0B61253D"/>
    <w:rsid w:val="0B637566"/>
    <w:rsid w:val="0B647998"/>
    <w:rsid w:val="0B652C7C"/>
    <w:rsid w:val="0B6F78AF"/>
    <w:rsid w:val="0B735633"/>
    <w:rsid w:val="0B752201"/>
    <w:rsid w:val="0BA3348D"/>
    <w:rsid w:val="0BA75CD2"/>
    <w:rsid w:val="0BAC0749"/>
    <w:rsid w:val="0BF40C1F"/>
    <w:rsid w:val="0C1777DF"/>
    <w:rsid w:val="0C3003B8"/>
    <w:rsid w:val="0C3B1C9C"/>
    <w:rsid w:val="0C7A44B7"/>
    <w:rsid w:val="0CBA4BF3"/>
    <w:rsid w:val="0CCE34E7"/>
    <w:rsid w:val="0CD3127B"/>
    <w:rsid w:val="0CDA33C1"/>
    <w:rsid w:val="0CF13886"/>
    <w:rsid w:val="0D181FDD"/>
    <w:rsid w:val="0D3A635D"/>
    <w:rsid w:val="0D556D8D"/>
    <w:rsid w:val="0D590B82"/>
    <w:rsid w:val="0D7C538D"/>
    <w:rsid w:val="0D8D5C5A"/>
    <w:rsid w:val="0DA35FCF"/>
    <w:rsid w:val="0DAA6878"/>
    <w:rsid w:val="0DAE1DAC"/>
    <w:rsid w:val="0DBF4B4E"/>
    <w:rsid w:val="0DCD2FF9"/>
    <w:rsid w:val="0DE92BF0"/>
    <w:rsid w:val="0E327B63"/>
    <w:rsid w:val="0E4932EC"/>
    <w:rsid w:val="0E512721"/>
    <w:rsid w:val="0E672854"/>
    <w:rsid w:val="0F00703D"/>
    <w:rsid w:val="0F3D44EB"/>
    <w:rsid w:val="0F4C2863"/>
    <w:rsid w:val="0F4F29AE"/>
    <w:rsid w:val="0F60004F"/>
    <w:rsid w:val="0F7C33C7"/>
    <w:rsid w:val="0F8120BC"/>
    <w:rsid w:val="0FBD7BC5"/>
    <w:rsid w:val="0FC81C60"/>
    <w:rsid w:val="0FCE1079"/>
    <w:rsid w:val="0FD541B5"/>
    <w:rsid w:val="0FD97ABC"/>
    <w:rsid w:val="101E5B5C"/>
    <w:rsid w:val="105945C9"/>
    <w:rsid w:val="1067024D"/>
    <w:rsid w:val="108300B5"/>
    <w:rsid w:val="10847DC6"/>
    <w:rsid w:val="109B4D80"/>
    <w:rsid w:val="10A546BD"/>
    <w:rsid w:val="10D01A3C"/>
    <w:rsid w:val="10D63763"/>
    <w:rsid w:val="10D746F5"/>
    <w:rsid w:val="10E804F5"/>
    <w:rsid w:val="10F60449"/>
    <w:rsid w:val="10F93ED3"/>
    <w:rsid w:val="110A58CF"/>
    <w:rsid w:val="110F1804"/>
    <w:rsid w:val="11370766"/>
    <w:rsid w:val="113D5E06"/>
    <w:rsid w:val="11673155"/>
    <w:rsid w:val="11691059"/>
    <w:rsid w:val="116B706D"/>
    <w:rsid w:val="11703D81"/>
    <w:rsid w:val="11AA28B3"/>
    <w:rsid w:val="11B9217B"/>
    <w:rsid w:val="11C631A2"/>
    <w:rsid w:val="12015736"/>
    <w:rsid w:val="120A15E4"/>
    <w:rsid w:val="124669A1"/>
    <w:rsid w:val="12582E7C"/>
    <w:rsid w:val="12696E37"/>
    <w:rsid w:val="126B0D8E"/>
    <w:rsid w:val="128C7F71"/>
    <w:rsid w:val="12AB6A4E"/>
    <w:rsid w:val="12C1651F"/>
    <w:rsid w:val="12ED07B2"/>
    <w:rsid w:val="12EF6816"/>
    <w:rsid w:val="132D27D4"/>
    <w:rsid w:val="133A2949"/>
    <w:rsid w:val="13573133"/>
    <w:rsid w:val="135D699C"/>
    <w:rsid w:val="13655F72"/>
    <w:rsid w:val="136B7B17"/>
    <w:rsid w:val="13991D74"/>
    <w:rsid w:val="13A4695F"/>
    <w:rsid w:val="13FF7A53"/>
    <w:rsid w:val="147541B9"/>
    <w:rsid w:val="148461AA"/>
    <w:rsid w:val="14854DD7"/>
    <w:rsid w:val="14B72F68"/>
    <w:rsid w:val="14CE2959"/>
    <w:rsid w:val="14DB4D3B"/>
    <w:rsid w:val="150F2E75"/>
    <w:rsid w:val="15177D0A"/>
    <w:rsid w:val="15327291"/>
    <w:rsid w:val="15763D45"/>
    <w:rsid w:val="159D3660"/>
    <w:rsid w:val="15A7335A"/>
    <w:rsid w:val="15F41BDB"/>
    <w:rsid w:val="15F71051"/>
    <w:rsid w:val="15FB1D3A"/>
    <w:rsid w:val="16073835"/>
    <w:rsid w:val="162639BD"/>
    <w:rsid w:val="16322361"/>
    <w:rsid w:val="16670C85"/>
    <w:rsid w:val="16685987"/>
    <w:rsid w:val="16685CDE"/>
    <w:rsid w:val="16822060"/>
    <w:rsid w:val="1692422D"/>
    <w:rsid w:val="16A46D9A"/>
    <w:rsid w:val="16DA5B9B"/>
    <w:rsid w:val="16F87A30"/>
    <w:rsid w:val="16FF7D4D"/>
    <w:rsid w:val="171D3ACC"/>
    <w:rsid w:val="17341AD4"/>
    <w:rsid w:val="174C34D5"/>
    <w:rsid w:val="175277E6"/>
    <w:rsid w:val="1756567F"/>
    <w:rsid w:val="17571D9C"/>
    <w:rsid w:val="175C4063"/>
    <w:rsid w:val="178256BC"/>
    <w:rsid w:val="17930573"/>
    <w:rsid w:val="17962E57"/>
    <w:rsid w:val="179838F0"/>
    <w:rsid w:val="17A5010A"/>
    <w:rsid w:val="17BF689C"/>
    <w:rsid w:val="17C43577"/>
    <w:rsid w:val="17E06C0C"/>
    <w:rsid w:val="17E31439"/>
    <w:rsid w:val="17E90C45"/>
    <w:rsid w:val="17FB6783"/>
    <w:rsid w:val="17FD24FB"/>
    <w:rsid w:val="18075128"/>
    <w:rsid w:val="181B0649"/>
    <w:rsid w:val="1855359D"/>
    <w:rsid w:val="186407CC"/>
    <w:rsid w:val="186667BF"/>
    <w:rsid w:val="18687853"/>
    <w:rsid w:val="18956BD8"/>
    <w:rsid w:val="18AF2DB6"/>
    <w:rsid w:val="18D0309A"/>
    <w:rsid w:val="18E51C98"/>
    <w:rsid w:val="18F60CBF"/>
    <w:rsid w:val="190143CC"/>
    <w:rsid w:val="190855FC"/>
    <w:rsid w:val="19174E2B"/>
    <w:rsid w:val="191B5F2E"/>
    <w:rsid w:val="192450FC"/>
    <w:rsid w:val="1938059A"/>
    <w:rsid w:val="194276A7"/>
    <w:rsid w:val="194A42D7"/>
    <w:rsid w:val="194C5C3E"/>
    <w:rsid w:val="19682BF4"/>
    <w:rsid w:val="19920140"/>
    <w:rsid w:val="19C04323"/>
    <w:rsid w:val="19E45084"/>
    <w:rsid w:val="1A065122"/>
    <w:rsid w:val="1A1E48CD"/>
    <w:rsid w:val="1A2B74C5"/>
    <w:rsid w:val="1A342014"/>
    <w:rsid w:val="1A6F55AB"/>
    <w:rsid w:val="1A750F21"/>
    <w:rsid w:val="1A8E1B30"/>
    <w:rsid w:val="1A970383"/>
    <w:rsid w:val="1AAC34B0"/>
    <w:rsid w:val="1AC14912"/>
    <w:rsid w:val="1ACA3B2B"/>
    <w:rsid w:val="1B250C23"/>
    <w:rsid w:val="1B656D35"/>
    <w:rsid w:val="1BB2680C"/>
    <w:rsid w:val="1BCB5D57"/>
    <w:rsid w:val="1BE455C1"/>
    <w:rsid w:val="1BF21F58"/>
    <w:rsid w:val="1C3324DE"/>
    <w:rsid w:val="1C617C3C"/>
    <w:rsid w:val="1C6C3F2B"/>
    <w:rsid w:val="1C9F4CD7"/>
    <w:rsid w:val="1CB87C7F"/>
    <w:rsid w:val="1CCB2BC8"/>
    <w:rsid w:val="1CF47C1E"/>
    <w:rsid w:val="1D214AEF"/>
    <w:rsid w:val="1D343B34"/>
    <w:rsid w:val="1D540E0F"/>
    <w:rsid w:val="1DA0128A"/>
    <w:rsid w:val="1DAA2BD1"/>
    <w:rsid w:val="1DAE1895"/>
    <w:rsid w:val="1DB90DB6"/>
    <w:rsid w:val="1DC934B1"/>
    <w:rsid w:val="1DDA176D"/>
    <w:rsid w:val="1DEE4121"/>
    <w:rsid w:val="1DF2477C"/>
    <w:rsid w:val="1DF60118"/>
    <w:rsid w:val="1DFF645F"/>
    <w:rsid w:val="1E3A40AE"/>
    <w:rsid w:val="1E7159F1"/>
    <w:rsid w:val="1E7A7D49"/>
    <w:rsid w:val="1EBB4638"/>
    <w:rsid w:val="1ED43EE1"/>
    <w:rsid w:val="1F002828"/>
    <w:rsid w:val="1F0B4CBD"/>
    <w:rsid w:val="1F26229E"/>
    <w:rsid w:val="1F2B79A5"/>
    <w:rsid w:val="1F3210B4"/>
    <w:rsid w:val="1F592C68"/>
    <w:rsid w:val="1F760886"/>
    <w:rsid w:val="1F7A6B27"/>
    <w:rsid w:val="1F923106"/>
    <w:rsid w:val="1FF924B3"/>
    <w:rsid w:val="2002265A"/>
    <w:rsid w:val="20037184"/>
    <w:rsid w:val="203902BE"/>
    <w:rsid w:val="208714FC"/>
    <w:rsid w:val="2088409C"/>
    <w:rsid w:val="208A4B48"/>
    <w:rsid w:val="209916F9"/>
    <w:rsid w:val="20D14E97"/>
    <w:rsid w:val="20D43C06"/>
    <w:rsid w:val="20F81657"/>
    <w:rsid w:val="20FF5536"/>
    <w:rsid w:val="21176DF9"/>
    <w:rsid w:val="21242585"/>
    <w:rsid w:val="21304445"/>
    <w:rsid w:val="21556F04"/>
    <w:rsid w:val="216B6F75"/>
    <w:rsid w:val="217A15CF"/>
    <w:rsid w:val="21AB4B04"/>
    <w:rsid w:val="21E054D0"/>
    <w:rsid w:val="21F242E4"/>
    <w:rsid w:val="22060647"/>
    <w:rsid w:val="22311F0B"/>
    <w:rsid w:val="22536AC3"/>
    <w:rsid w:val="226D2D61"/>
    <w:rsid w:val="227E248B"/>
    <w:rsid w:val="229A37FF"/>
    <w:rsid w:val="229C08FC"/>
    <w:rsid w:val="22A9767A"/>
    <w:rsid w:val="22B25A28"/>
    <w:rsid w:val="230448B3"/>
    <w:rsid w:val="23180AF5"/>
    <w:rsid w:val="232214FA"/>
    <w:rsid w:val="2324426F"/>
    <w:rsid w:val="234537C3"/>
    <w:rsid w:val="236A4649"/>
    <w:rsid w:val="23A6788A"/>
    <w:rsid w:val="23C03737"/>
    <w:rsid w:val="23D250FC"/>
    <w:rsid w:val="23DE7C0A"/>
    <w:rsid w:val="23FD79D0"/>
    <w:rsid w:val="240F5A37"/>
    <w:rsid w:val="24105C0C"/>
    <w:rsid w:val="244C5F91"/>
    <w:rsid w:val="244D0366"/>
    <w:rsid w:val="24654C66"/>
    <w:rsid w:val="247F4ABE"/>
    <w:rsid w:val="248536CD"/>
    <w:rsid w:val="24DF06A6"/>
    <w:rsid w:val="25145328"/>
    <w:rsid w:val="25383810"/>
    <w:rsid w:val="25445C0D"/>
    <w:rsid w:val="25542362"/>
    <w:rsid w:val="255C0354"/>
    <w:rsid w:val="257F113E"/>
    <w:rsid w:val="25A51E39"/>
    <w:rsid w:val="25A70E86"/>
    <w:rsid w:val="25CD5C03"/>
    <w:rsid w:val="262430BF"/>
    <w:rsid w:val="267C3185"/>
    <w:rsid w:val="268D5392"/>
    <w:rsid w:val="26A803C7"/>
    <w:rsid w:val="26AB5818"/>
    <w:rsid w:val="26B344AB"/>
    <w:rsid w:val="26BB5A5B"/>
    <w:rsid w:val="26D57ED3"/>
    <w:rsid w:val="26F81245"/>
    <w:rsid w:val="274E68CF"/>
    <w:rsid w:val="27532331"/>
    <w:rsid w:val="276A3A86"/>
    <w:rsid w:val="276E6F72"/>
    <w:rsid w:val="27786244"/>
    <w:rsid w:val="27796D09"/>
    <w:rsid w:val="27840543"/>
    <w:rsid w:val="27A733E3"/>
    <w:rsid w:val="27C958CE"/>
    <w:rsid w:val="27CC6CF7"/>
    <w:rsid w:val="2831008F"/>
    <w:rsid w:val="28572730"/>
    <w:rsid w:val="285E0EC8"/>
    <w:rsid w:val="28C179E4"/>
    <w:rsid w:val="28D36FBE"/>
    <w:rsid w:val="28F305FD"/>
    <w:rsid w:val="29133015"/>
    <w:rsid w:val="291807B8"/>
    <w:rsid w:val="29242870"/>
    <w:rsid w:val="293E0359"/>
    <w:rsid w:val="296740C8"/>
    <w:rsid w:val="29710B2F"/>
    <w:rsid w:val="297D6303"/>
    <w:rsid w:val="298D240E"/>
    <w:rsid w:val="29A812EF"/>
    <w:rsid w:val="29B0189F"/>
    <w:rsid w:val="29E22301"/>
    <w:rsid w:val="2A3D1EA3"/>
    <w:rsid w:val="2A674B2F"/>
    <w:rsid w:val="2A7E22A0"/>
    <w:rsid w:val="2A9071FF"/>
    <w:rsid w:val="2A981161"/>
    <w:rsid w:val="2AA32FDC"/>
    <w:rsid w:val="2ABC6246"/>
    <w:rsid w:val="2AC84BEB"/>
    <w:rsid w:val="2ADE7F6A"/>
    <w:rsid w:val="2B035C23"/>
    <w:rsid w:val="2B0D0850"/>
    <w:rsid w:val="2B2160A9"/>
    <w:rsid w:val="2B280569"/>
    <w:rsid w:val="2B3B716B"/>
    <w:rsid w:val="2B5C5333"/>
    <w:rsid w:val="2B750AC2"/>
    <w:rsid w:val="2B7608F5"/>
    <w:rsid w:val="2B7746D3"/>
    <w:rsid w:val="2B8A1858"/>
    <w:rsid w:val="2BC90437"/>
    <w:rsid w:val="2BCE4106"/>
    <w:rsid w:val="2BF846ED"/>
    <w:rsid w:val="2C0E56CF"/>
    <w:rsid w:val="2C3B4831"/>
    <w:rsid w:val="2C443ECD"/>
    <w:rsid w:val="2C790C0F"/>
    <w:rsid w:val="2CA16BE8"/>
    <w:rsid w:val="2CC342FE"/>
    <w:rsid w:val="2CC9456C"/>
    <w:rsid w:val="2CCA3186"/>
    <w:rsid w:val="2CCE400E"/>
    <w:rsid w:val="2CDC5E43"/>
    <w:rsid w:val="2CED6EF0"/>
    <w:rsid w:val="2CFE2B46"/>
    <w:rsid w:val="2D0638B0"/>
    <w:rsid w:val="2D162420"/>
    <w:rsid w:val="2D2828D0"/>
    <w:rsid w:val="2D3C237E"/>
    <w:rsid w:val="2D522E91"/>
    <w:rsid w:val="2D9D4938"/>
    <w:rsid w:val="2DBD3B8B"/>
    <w:rsid w:val="2DD61CA4"/>
    <w:rsid w:val="2DDF387E"/>
    <w:rsid w:val="2DEB0C1C"/>
    <w:rsid w:val="2E0917A2"/>
    <w:rsid w:val="2E1B14D5"/>
    <w:rsid w:val="2E20550B"/>
    <w:rsid w:val="2E2364A7"/>
    <w:rsid w:val="2E2D743B"/>
    <w:rsid w:val="2E3B1AF8"/>
    <w:rsid w:val="2E44207A"/>
    <w:rsid w:val="2E804559"/>
    <w:rsid w:val="2EAB443F"/>
    <w:rsid w:val="2EB95917"/>
    <w:rsid w:val="2ED32E1D"/>
    <w:rsid w:val="2EDC2BE1"/>
    <w:rsid w:val="2F080A98"/>
    <w:rsid w:val="2F090B6F"/>
    <w:rsid w:val="2F144A7B"/>
    <w:rsid w:val="2F5141D5"/>
    <w:rsid w:val="2F5B50F7"/>
    <w:rsid w:val="2F8D7929"/>
    <w:rsid w:val="2FA9355F"/>
    <w:rsid w:val="2FC13C59"/>
    <w:rsid w:val="2FC6394B"/>
    <w:rsid w:val="2FC82F97"/>
    <w:rsid w:val="2FDE58A6"/>
    <w:rsid w:val="301167E9"/>
    <w:rsid w:val="301A5865"/>
    <w:rsid w:val="303D313B"/>
    <w:rsid w:val="304C36C0"/>
    <w:rsid w:val="30645D71"/>
    <w:rsid w:val="3078676B"/>
    <w:rsid w:val="3105593D"/>
    <w:rsid w:val="3135416E"/>
    <w:rsid w:val="316B52B5"/>
    <w:rsid w:val="31857F5E"/>
    <w:rsid w:val="319E48F7"/>
    <w:rsid w:val="31B41A25"/>
    <w:rsid w:val="31E00E01"/>
    <w:rsid w:val="31F65892"/>
    <w:rsid w:val="31FC12EF"/>
    <w:rsid w:val="32362FBA"/>
    <w:rsid w:val="32467C44"/>
    <w:rsid w:val="32687194"/>
    <w:rsid w:val="326E7E26"/>
    <w:rsid w:val="32795879"/>
    <w:rsid w:val="32936401"/>
    <w:rsid w:val="32B77B22"/>
    <w:rsid w:val="32B803DE"/>
    <w:rsid w:val="32CF63C1"/>
    <w:rsid w:val="32E621AD"/>
    <w:rsid w:val="32EA7BF5"/>
    <w:rsid w:val="3307101E"/>
    <w:rsid w:val="330C468C"/>
    <w:rsid w:val="330E5DD5"/>
    <w:rsid w:val="33346287"/>
    <w:rsid w:val="3337290D"/>
    <w:rsid w:val="335214F5"/>
    <w:rsid w:val="33B177E8"/>
    <w:rsid w:val="33CA6AA2"/>
    <w:rsid w:val="33D5751F"/>
    <w:rsid w:val="33EB6803"/>
    <w:rsid w:val="33F24171"/>
    <w:rsid w:val="34651402"/>
    <w:rsid w:val="34884D7D"/>
    <w:rsid w:val="34BD5094"/>
    <w:rsid w:val="34C00965"/>
    <w:rsid w:val="34C77EAB"/>
    <w:rsid w:val="34EB0885"/>
    <w:rsid w:val="351530B1"/>
    <w:rsid w:val="3557602E"/>
    <w:rsid w:val="356279A2"/>
    <w:rsid w:val="35671EB4"/>
    <w:rsid w:val="357E3650"/>
    <w:rsid w:val="35971087"/>
    <w:rsid w:val="35D91930"/>
    <w:rsid w:val="35F26FC0"/>
    <w:rsid w:val="36486BE0"/>
    <w:rsid w:val="36511F38"/>
    <w:rsid w:val="36611382"/>
    <w:rsid w:val="366764A5"/>
    <w:rsid w:val="36841DA7"/>
    <w:rsid w:val="36AD2EE7"/>
    <w:rsid w:val="36F17510"/>
    <w:rsid w:val="37144D14"/>
    <w:rsid w:val="375B08FF"/>
    <w:rsid w:val="377F4FB5"/>
    <w:rsid w:val="37907F2F"/>
    <w:rsid w:val="379542BF"/>
    <w:rsid w:val="37AA0929"/>
    <w:rsid w:val="37AA6032"/>
    <w:rsid w:val="37B7226F"/>
    <w:rsid w:val="37BE38CF"/>
    <w:rsid w:val="37CF19C3"/>
    <w:rsid w:val="37D90437"/>
    <w:rsid w:val="38186D8B"/>
    <w:rsid w:val="38190834"/>
    <w:rsid w:val="38355A6B"/>
    <w:rsid w:val="384B0C09"/>
    <w:rsid w:val="384C6E5B"/>
    <w:rsid w:val="3885236D"/>
    <w:rsid w:val="38A83EAF"/>
    <w:rsid w:val="38B83E0A"/>
    <w:rsid w:val="38C5723C"/>
    <w:rsid w:val="38CE1573"/>
    <w:rsid w:val="38E728C7"/>
    <w:rsid w:val="38E769F4"/>
    <w:rsid w:val="391B753E"/>
    <w:rsid w:val="391D4354"/>
    <w:rsid w:val="3930052B"/>
    <w:rsid w:val="39427769"/>
    <w:rsid w:val="39A3041C"/>
    <w:rsid w:val="39C96EB0"/>
    <w:rsid w:val="39C973B3"/>
    <w:rsid w:val="39D32C64"/>
    <w:rsid w:val="39D55E17"/>
    <w:rsid w:val="39F56A62"/>
    <w:rsid w:val="39F8419A"/>
    <w:rsid w:val="3A0C50A6"/>
    <w:rsid w:val="3A0D6176"/>
    <w:rsid w:val="3A1B6272"/>
    <w:rsid w:val="3A246FFC"/>
    <w:rsid w:val="3A283DCD"/>
    <w:rsid w:val="3A2A0758"/>
    <w:rsid w:val="3A470913"/>
    <w:rsid w:val="3A4D5506"/>
    <w:rsid w:val="3AB8057A"/>
    <w:rsid w:val="3ABD0230"/>
    <w:rsid w:val="3AD96C53"/>
    <w:rsid w:val="3AF84BF8"/>
    <w:rsid w:val="3B0A5A7F"/>
    <w:rsid w:val="3B20012B"/>
    <w:rsid w:val="3B3615DF"/>
    <w:rsid w:val="3B4277E0"/>
    <w:rsid w:val="3B4F0A10"/>
    <w:rsid w:val="3B9C3C56"/>
    <w:rsid w:val="3BC17240"/>
    <w:rsid w:val="3BC46D08"/>
    <w:rsid w:val="3BCD3993"/>
    <w:rsid w:val="3BCE5DD9"/>
    <w:rsid w:val="3BD82B58"/>
    <w:rsid w:val="3BF410F7"/>
    <w:rsid w:val="3C070788"/>
    <w:rsid w:val="3C275C16"/>
    <w:rsid w:val="3C330A07"/>
    <w:rsid w:val="3C6D55F2"/>
    <w:rsid w:val="3C87324C"/>
    <w:rsid w:val="3C922DDD"/>
    <w:rsid w:val="3CAB3899"/>
    <w:rsid w:val="3CBB55B3"/>
    <w:rsid w:val="3CD728B6"/>
    <w:rsid w:val="3CF45CCD"/>
    <w:rsid w:val="3D164942"/>
    <w:rsid w:val="3D347EBE"/>
    <w:rsid w:val="3D362C14"/>
    <w:rsid w:val="3D551C7E"/>
    <w:rsid w:val="3D625C76"/>
    <w:rsid w:val="3D761451"/>
    <w:rsid w:val="3D9170BE"/>
    <w:rsid w:val="3D93444B"/>
    <w:rsid w:val="3DAB69D4"/>
    <w:rsid w:val="3DFD4754"/>
    <w:rsid w:val="3E135D25"/>
    <w:rsid w:val="3E647336"/>
    <w:rsid w:val="3EA4471C"/>
    <w:rsid w:val="3EA452C3"/>
    <w:rsid w:val="3EB44677"/>
    <w:rsid w:val="3ECA6E27"/>
    <w:rsid w:val="3F12422F"/>
    <w:rsid w:val="3F2F3033"/>
    <w:rsid w:val="3F3B0756"/>
    <w:rsid w:val="3F452150"/>
    <w:rsid w:val="3F794A24"/>
    <w:rsid w:val="3F7F1379"/>
    <w:rsid w:val="3FAA619D"/>
    <w:rsid w:val="401A149E"/>
    <w:rsid w:val="4044721B"/>
    <w:rsid w:val="40642868"/>
    <w:rsid w:val="40743490"/>
    <w:rsid w:val="409C46F8"/>
    <w:rsid w:val="40A86F45"/>
    <w:rsid w:val="40BC1CAF"/>
    <w:rsid w:val="40DE71B3"/>
    <w:rsid w:val="40E13EB9"/>
    <w:rsid w:val="40E92B9C"/>
    <w:rsid w:val="40F30283"/>
    <w:rsid w:val="411A7992"/>
    <w:rsid w:val="412B7F06"/>
    <w:rsid w:val="414538EA"/>
    <w:rsid w:val="41557D0E"/>
    <w:rsid w:val="415A08CA"/>
    <w:rsid w:val="417E0679"/>
    <w:rsid w:val="418A79F8"/>
    <w:rsid w:val="41CE504C"/>
    <w:rsid w:val="41CF28EE"/>
    <w:rsid w:val="42292360"/>
    <w:rsid w:val="42346605"/>
    <w:rsid w:val="4238078F"/>
    <w:rsid w:val="426E4A71"/>
    <w:rsid w:val="42AD499A"/>
    <w:rsid w:val="42E158D5"/>
    <w:rsid w:val="43157A51"/>
    <w:rsid w:val="43371E77"/>
    <w:rsid w:val="4358066B"/>
    <w:rsid w:val="43752F27"/>
    <w:rsid w:val="439F44F2"/>
    <w:rsid w:val="43A30E8D"/>
    <w:rsid w:val="43A311D4"/>
    <w:rsid w:val="43B70F66"/>
    <w:rsid w:val="43CA322E"/>
    <w:rsid w:val="440134C8"/>
    <w:rsid w:val="44042DAC"/>
    <w:rsid w:val="440F51E1"/>
    <w:rsid w:val="44110F59"/>
    <w:rsid w:val="44393D26"/>
    <w:rsid w:val="4445262F"/>
    <w:rsid w:val="44496558"/>
    <w:rsid w:val="446A7B20"/>
    <w:rsid w:val="447E374E"/>
    <w:rsid w:val="448945B4"/>
    <w:rsid w:val="44B75081"/>
    <w:rsid w:val="44C3293F"/>
    <w:rsid w:val="44C56B58"/>
    <w:rsid w:val="45002C52"/>
    <w:rsid w:val="45074874"/>
    <w:rsid w:val="45102FBE"/>
    <w:rsid w:val="45196317"/>
    <w:rsid w:val="452E70B8"/>
    <w:rsid w:val="45357D20"/>
    <w:rsid w:val="45401A63"/>
    <w:rsid w:val="45666FFF"/>
    <w:rsid w:val="456B6447"/>
    <w:rsid w:val="458B0154"/>
    <w:rsid w:val="45994B8C"/>
    <w:rsid w:val="45997458"/>
    <w:rsid w:val="460D4A04"/>
    <w:rsid w:val="464B45C2"/>
    <w:rsid w:val="465D7FEC"/>
    <w:rsid w:val="467C38ED"/>
    <w:rsid w:val="46812956"/>
    <w:rsid w:val="46AD6480"/>
    <w:rsid w:val="46DE64B8"/>
    <w:rsid w:val="46E03390"/>
    <w:rsid w:val="46F26477"/>
    <w:rsid w:val="472E6CC4"/>
    <w:rsid w:val="47397C95"/>
    <w:rsid w:val="47607AF6"/>
    <w:rsid w:val="477016D8"/>
    <w:rsid w:val="479223B1"/>
    <w:rsid w:val="47C87B7A"/>
    <w:rsid w:val="47E04ECA"/>
    <w:rsid w:val="47E744AA"/>
    <w:rsid w:val="47FB44C2"/>
    <w:rsid w:val="482F5E51"/>
    <w:rsid w:val="483B0352"/>
    <w:rsid w:val="484A2C8B"/>
    <w:rsid w:val="4851130F"/>
    <w:rsid w:val="48AE6137"/>
    <w:rsid w:val="48B0472E"/>
    <w:rsid w:val="48C44B7C"/>
    <w:rsid w:val="492C64F6"/>
    <w:rsid w:val="49657C02"/>
    <w:rsid w:val="49CE737E"/>
    <w:rsid w:val="49F20EE5"/>
    <w:rsid w:val="4A056E6A"/>
    <w:rsid w:val="4A3F7B54"/>
    <w:rsid w:val="4A463C87"/>
    <w:rsid w:val="4A6813E9"/>
    <w:rsid w:val="4A6C513B"/>
    <w:rsid w:val="4AA43EEF"/>
    <w:rsid w:val="4AA6292A"/>
    <w:rsid w:val="4AB0493A"/>
    <w:rsid w:val="4ACE7DF5"/>
    <w:rsid w:val="4B05210B"/>
    <w:rsid w:val="4B0842D4"/>
    <w:rsid w:val="4B125CE2"/>
    <w:rsid w:val="4B3E4619"/>
    <w:rsid w:val="4B5A1229"/>
    <w:rsid w:val="4B5C1D90"/>
    <w:rsid w:val="4B6372F8"/>
    <w:rsid w:val="4B6507CD"/>
    <w:rsid w:val="4B7A2DCB"/>
    <w:rsid w:val="4B7F078C"/>
    <w:rsid w:val="4B8260A9"/>
    <w:rsid w:val="4BA412A4"/>
    <w:rsid w:val="4BB44F0C"/>
    <w:rsid w:val="4BCC6C97"/>
    <w:rsid w:val="4BF13D98"/>
    <w:rsid w:val="4C0D4686"/>
    <w:rsid w:val="4C3D0087"/>
    <w:rsid w:val="4C51283A"/>
    <w:rsid w:val="4C5621EA"/>
    <w:rsid w:val="4C5720C5"/>
    <w:rsid w:val="4C5E1EEB"/>
    <w:rsid w:val="4C7C7C27"/>
    <w:rsid w:val="4C8B1ABB"/>
    <w:rsid w:val="4CA03A24"/>
    <w:rsid w:val="4CCD443F"/>
    <w:rsid w:val="4CCF308D"/>
    <w:rsid w:val="4D0A5D2E"/>
    <w:rsid w:val="4D297A4C"/>
    <w:rsid w:val="4D4A7BFB"/>
    <w:rsid w:val="4D4B1038"/>
    <w:rsid w:val="4D943B9B"/>
    <w:rsid w:val="4DCB5249"/>
    <w:rsid w:val="4DF37828"/>
    <w:rsid w:val="4E06603E"/>
    <w:rsid w:val="4E6E7E06"/>
    <w:rsid w:val="4E716202"/>
    <w:rsid w:val="4EC9516B"/>
    <w:rsid w:val="4ED6211E"/>
    <w:rsid w:val="4EDA624F"/>
    <w:rsid w:val="4F4F0A39"/>
    <w:rsid w:val="4FB154D2"/>
    <w:rsid w:val="4FCD4D4A"/>
    <w:rsid w:val="4FD317B8"/>
    <w:rsid w:val="4FDA4CD9"/>
    <w:rsid w:val="500716F3"/>
    <w:rsid w:val="50352892"/>
    <w:rsid w:val="50391909"/>
    <w:rsid w:val="50454E3E"/>
    <w:rsid w:val="505B2A82"/>
    <w:rsid w:val="506A5C79"/>
    <w:rsid w:val="50A92020"/>
    <w:rsid w:val="50B82CDF"/>
    <w:rsid w:val="50BD570F"/>
    <w:rsid w:val="50CA4969"/>
    <w:rsid w:val="50D873C4"/>
    <w:rsid w:val="50D92DFE"/>
    <w:rsid w:val="51072E7E"/>
    <w:rsid w:val="513A564E"/>
    <w:rsid w:val="514C1822"/>
    <w:rsid w:val="51712147"/>
    <w:rsid w:val="518C60C3"/>
    <w:rsid w:val="519E29F2"/>
    <w:rsid w:val="51AC22C1"/>
    <w:rsid w:val="51AE0F7B"/>
    <w:rsid w:val="51C370F3"/>
    <w:rsid w:val="51DE21F4"/>
    <w:rsid w:val="51E95511"/>
    <w:rsid w:val="51F0384E"/>
    <w:rsid w:val="5212618A"/>
    <w:rsid w:val="52136B79"/>
    <w:rsid w:val="52455AC6"/>
    <w:rsid w:val="524B1ADA"/>
    <w:rsid w:val="52510C45"/>
    <w:rsid w:val="52A27CEF"/>
    <w:rsid w:val="52AD57D3"/>
    <w:rsid w:val="52B641B9"/>
    <w:rsid w:val="52BD6A0A"/>
    <w:rsid w:val="52C06024"/>
    <w:rsid w:val="52C84ED8"/>
    <w:rsid w:val="52D83656"/>
    <w:rsid w:val="52F1284C"/>
    <w:rsid w:val="52F60E0C"/>
    <w:rsid w:val="52FE3767"/>
    <w:rsid w:val="530A5264"/>
    <w:rsid w:val="531C3FD4"/>
    <w:rsid w:val="532E00A0"/>
    <w:rsid w:val="532F37CD"/>
    <w:rsid w:val="53470A39"/>
    <w:rsid w:val="53707CCE"/>
    <w:rsid w:val="53871B8C"/>
    <w:rsid w:val="53966D60"/>
    <w:rsid w:val="5397332B"/>
    <w:rsid w:val="53A53F64"/>
    <w:rsid w:val="53CB5E92"/>
    <w:rsid w:val="53E9244E"/>
    <w:rsid w:val="53EA0E7E"/>
    <w:rsid w:val="54142665"/>
    <w:rsid w:val="541D15B2"/>
    <w:rsid w:val="542425E2"/>
    <w:rsid w:val="54416A0B"/>
    <w:rsid w:val="54767BCD"/>
    <w:rsid w:val="54855A4E"/>
    <w:rsid w:val="550B04EA"/>
    <w:rsid w:val="55196CE1"/>
    <w:rsid w:val="55262DC2"/>
    <w:rsid w:val="55540F13"/>
    <w:rsid w:val="557A2B1B"/>
    <w:rsid w:val="558E7EF8"/>
    <w:rsid w:val="55940A85"/>
    <w:rsid w:val="55DA38A0"/>
    <w:rsid w:val="55F8121C"/>
    <w:rsid w:val="560E52F8"/>
    <w:rsid w:val="561340FA"/>
    <w:rsid w:val="5621502B"/>
    <w:rsid w:val="565602C6"/>
    <w:rsid w:val="56841FE6"/>
    <w:rsid w:val="56915DDE"/>
    <w:rsid w:val="569B4BF9"/>
    <w:rsid w:val="56A143BE"/>
    <w:rsid w:val="56AA56B4"/>
    <w:rsid w:val="56AC076E"/>
    <w:rsid w:val="56B5251C"/>
    <w:rsid w:val="56D06587"/>
    <w:rsid w:val="570E4BEE"/>
    <w:rsid w:val="573169AC"/>
    <w:rsid w:val="573B036F"/>
    <w:rsid w:val="573E4B9B"/>
    <w:rsid w:val="574134AB"/>
    <w:rsid w:val="57632AF2"/>
    <w:rsid w:val="577E025B"/>
    <w:rsid w:val="57944261"/>
    <w:rsid w:val="579A4402"/>
    <w:rsid w:val="57CE11E3"/>
    <w:rsid w:val="57CE405F"/>
    <w:rsid w:val="57DC7CFC"/>
    <w:rsid w:val="57E37482"/>
    <w:rsid w:val="58646496"/>
    <w:rsid w:val="587B596E"/>
    <w:rsid w:val="589019A8"/>
    <w:rsid w:val="58A23F37"/>
    <w:rsid w:val="58A62624"/>
    <w:rsid w:val="58B50A2A"/>
    <w:rsid w:val="58C657BC"/>
    <w:rsid w:val="58E27976"/>
    <w:rsid w:val="590B4DC0"/>
    <w:rsid w:val="59253085"/>
    <w:rsid w:val="592A2B5C"/>
    <w:rsid w:val="592A3774"/>
    <w:rsid w:val="5932477C"/>
    <w:rsid w:val="59484FC5"/>
    <w:rsid w:val="594941DE"/>
    <w:rsid w:val="594B5168"/>
    <w:rsid w:val="595079D6"/>
    <w:rsid w:val="59747984"/>
    <w:rsid w:val="5978138E"/>
    <w:rsid w:val="599627C1"/>
    <w:rsid w:val="59A26483"/>
    <w:rsid w:val="59A754A3"/>
    <w:rsid w:val="59B630A6"/>
    <w:rsid w:val="59B64419"/>
    <w:rsid w:val="59DD20DD"/>
    <w:rsid w:val="59E61A12"/>
    <w:rsid w:val="59EC6A29"/>
    <w:rsid w:val="59EF3692"/>
    <w:rsid w:val="5A09496B"/>
    <w:rsid w:val="5A221372"/>
    <w:rsid w:val="5A3B6362"/>
    <w:rsid w:val="5A432DB4"/>
    <w:rsid w:val="5A45526D"/>
    <w:rsid w:val="5A4A08C9"/>
    <w:rsid w:val="5A6A611C"/>
    <w:rsid w:val="5A7B1C1D"/>
    <w:rsid w:val="5A8C0E92"/>
    <w:rsid w:val="5A8D068A"/>
    <w:rsid w:val="5ABC25A4"/>
    <w:rsid w:val="5AD323CA"/>
    <w:rsid w:val="5AD75631"/>
    <w:rsid w:val="5AE825BC"/>
    <w:rsid w:val="5B1E3C02"/>
    <w:rsid w:val="5B2151ED"/>
    <w:rsid w:val="5B2840BE"/>
    <w:rsid w:val="5B2D3EF3"/>
    <w:rsid w:val="5B66309E"/>
    <w:rsid w:val="5B7C6E4D"/>
    <w:rsid w:val="5B8F7AA0"/>
    <w:rsid w:val="5BAE5F81"/>
    <w:rsid w:val="5BAF30D9"/>
    <w:rsid w:val="5C08402D"/>
    <w:rsid w:val="5C0D7E00"/>
    <w:rsid w:val="5C180C7F"/>
    <w:rsid w:val="5C261656"/>
    <w:rsid w:val="5C29153C"/>
    <w:rsid w:val="5C3211A1"/>
    <w:rsid w:val="5C34538D"/>
    <w:rsid w:val="5C3F1395"/>
    <w:rsid w:val="5C493AD1"/>
    <w:rsid w:val="5C677510"/>
    <w:rsid w:val="5C790301"/>
    <w:rsid w:val="5CE121F3"/>
    <w:rsid w:val="5D1C02FB"/>
    <w:rsid w:val="5D3B2A95"/>
    <w:rsid w:val="5D4702AE"/>
    <w:rsid w:val="5D55673C"/>
    <w:rsid w:val="5DB26EB1"/>
    <w:rsid w:val="5DB9023F"/>
    <w:rsid w:val="5DBB3761"/>
    <w:rsid w:val="5DD010BC"/>
    <w:rsid w:val="5DD140D6"/>
    <w:rsid w:val="5DDF0063"/>
    <w:rsid w:val="5E145205"/>
    <w:rsid w:val="5E1B6804"/>
    <w:rsid w:val="5E341674"/>
    <w:rsid w:val="5E347859"/>
    <w:rsid w:val="5E637124"/>
    <w:rsid w:val="5E7E699C"/>
    <w:rsid w:val="5EAE10D3"/>
    <w:rsid w:val="5F0025A7"/>
    <w:rsid w:val="5F015B21"/>
    <w:rsid w:val="5F0220A6"/>
    <w:rsid w:val="5F2D5BFD"/>
    <w:rsid w:val="5F35332F"/>
    <w:rsid w:val="5F926146"/>
    <w:rsid w:val="5F9F1931"/>
    <w:rsid w:val="5FC4010D"/>
    <w:rsid w:val="600D6CF9"/>
    <w:rsid w:val="60152B16"/>
    <w:rsid w:val="601608F3"/>
    <w:rsid w:val="602348BE"/>
    <w:rsid w:val="6029190C"/>
    <w:rsid w:val="60A26642"/>
    <w:rsid w:val="60AB7085"/>
    <w:rsid w:val="60DB248F"/>
    <w:rsid w:val="60F03F78"/>
    <w:rsid w:val="60F670B5"/>
    <w:rsid w:val="61046274"/>
    <w:rsid w:val="611D2893"/>
    <w:rsid w:val="6131633F"/>
    <w:rsid w:val="613A02C3"/>
    <w:rsid w:val="614C7196"/>
    <w:rsid w:val="61532759"/>
    <w:rsid w:val="61631EF5"/>
    <w:rsid w:val="61736957"/>
    <w:rsid w:val="618B4BEB"/>
    <w:rsid w:val="61A85B24"/>
    <w:rsid w:val="61CE695A"/>
    <w:rsid w:val="61E43E4A"/>
    <w:rsid w:val="61F65DD1"/>
    <w:rsid w:val="621A528D"/>
    <w:rsid w:val="62586279"/>
    <w:rsid w:val="625B7D4E"/>
    <w:rsid w:val="62EE3F20"/>
    <w:rsid w:val="62F37D50"/>
    <w:rsid w:val="631D48DE"/>
    <w:rsid w:val="633A3BD0"/>
    <w:rsid w:val="634E3827"/>
    <w:rsid w:val="63570EDA"/>
    <w:rsid w:val="63892462"/>
    <w:rsid w:val="639205B1"/>
    <w:rsid w:val="63BF1E44"/>
    <w:rsid w:val="63E83387"/>
    <w:rsid w:val="640228A7"/>
    <w:rsid w:val="64053712"/>
    <w:rsid w:val="641B077B"/>
    <w:rsid w:val="64206900"/>
    <w:rsid w:val="64247D08"/>
    <w:rsid w:val="644224AB"/>
    <w:rsid w:val="646031C3"/>
    <w:rsid w:val="648F0DE9"/>
    <w:rsid w:val="649864A1"/>
    <w:rsid w:val="65151B82"/>
    <w:rsid w:val="653D72C9"/>
    <w:rsid w:val="654013BD"/>
    <w:rsid w:val="656E07B6"/>
    <w:rsid w:val="65801643"/>
    <w:rsid w:val="6583773F"/>
    <w:rsid w:val="65956E9C"/>
    <w:rsid w:val="659A13EE"/>
    <w:rsid w:val="65A4210E"/>
    <w:rsid w:val="65A76CDD"/>
    <w:rsid w:val="65AC6BC4"/>
    <w:rsid w:val="65CD6820"/>
    <w:rsid w:val="65E47E23"/>
    <w:rsid w:val="665B00BE"/>
    <w:rsid w:val="66822C7A"/>
    <w:rsid w:val="6687018F"/>
    <w:rsid w:val="668A67FE"/>
    <w:rsid w:val="66B410B9"/>
    <w:rsid w:val="66B65E5A"/>
    <w:rsid w:val="671C3FB3"/>
    <w:rsid w:val="673A46B0"/>
    <w:rsid w:val="676D7A10"/>
    <w:rsid w:val="679C4255"/>
    <w:rsid w:val="67CE1DC4"/>
    <w:rsid w:val="67DB7004"/>
    <w:rsid w:val="67E1643D"/>
    <w:rsid w:val="67F51E74"/>
    <w:rsid w:val="67FC12DC"/>
    <w:rsid w:val="67FE2C38"/>
    <w:rsid w:val="68115D88"/>
    <w:rsid w:val="68265831"/>
    <w:rsid w:val="68446AD9"/>
    <w:rsid w:val="68886A86"/>
    <w:rsid w:val="688B4513"/>
    <w:rsid w:val="68B0223F"/>
    <w:rsid w:val="68D20407"/>
    <w:rsid w:val="690347A6"/>
    <w:rsid w:val="694146A0"/>
    <w:rsid w:val="697832AC"/>
    <w:rsid w:val="69871699"/>
    <w:rsid w:val="698956DA"/>
    <w:rsid w:val="69944908"/>
    <w:rsid w:val="699833FF"/>
    <w:rsid w:val="69D21A4C"/>
    <w:rsid w:val="69E50D30"/>
    <w:rsid w:val="69F94604"/>
    <w:rsid w:val="69FF6C80"/>
    <w:rsid w:val="6A0600AE"/>
    <w:rsid w:val="6A152BF7"/>
    <w:rsid w:val="6A5C452B"/>
    <w:rsid w:val="6A5C61DA"/>
    <w:rsid w:val="6A5F4421"/>
    <w:rsid w:val="6A66783C"/>
    <w:rsid w:val="6A703458"/>
    <w:rsid w:val="6A705326"/>
    <w:rsid w:val="6A911AC8"/>
    <w:rsid w:val="6A9378D9"/>
    <w:rsid w:val="6AA61B4B"/>
    <w:rsid w:val="6AA964C8"/>
    <w:rsid w:val="6AD13FC0"/>
    <w:rsid w:val="6ADE7537"/>
    <w:rsid w:val="6B007E75"/>
    <w:rsid w:val="6B130AEA"/>
    <w:rsid w:val="6B45746B"/>
    <w:rsid w:val="6B4D52A2"/>
    <w:rsid w:val="6B584D03"/>
    <w:rsid w:val="6B8A77C4"/>
    <w:rsid w:val="6BDA5F51"/>
    <w:rsid w:val="6BE40B7D"/>
    <w:rsid w:val="6BE96194"/>
    <w:rsid w:val="6BF01146"/>
    <w:rsid w:val="6BFB789F"/>
    <w:rsid w:val="6C1442C8"/>
    <w:rsid w:val="6C382C77"/>
    <w:rsid w:val="6C3D203B"/>
    <w:rsid w:val="6C4E2DAE"/>
    <w:rsid w:val="6C541E33"/>
    <w:rsid w:val="6C81630B"/>
    <w:rsid w:val="6C826763"/>
    <w:rsid w:val="6C926846"/>
    <w:rsid w:val="6CB24EA6"/>
    <w:rsid w:val="6CC078C1"/>
    <w:rsid w:val="6CD4474B"/>
    <w:rsid w:val="6CD862CA"/>
    <w:rsid w:val="6CE4707A"/>
    <w:rsid w:val="6CEB74F1"/>
    <w:rsid w:val="6D2320B9"/>
    <w:rsid w:val="6D5262E6"/>
    <w:rsid w:val="6D655CEE"/>
    <w:rsid w:val="6D8370C8"/>
    <w:rsid w:val="6D980ED2"/>
    <w:rsid w:val="6DA34120"/>
    <w:rsid w:val="6DDD3B87"/>
    <w:rsid w:val="6DF21C7B"/>
    <w:rsid w:val="6DF651C7"/>
    <w:rsid w:val="6E0241E6"/>
    <w:rsid w:val="6E0948CB"/>
    <w:rsid w:val="6E6659E4"/>
    <w:rsid w:val="6E781BF3"/>
    <w:rsid w:val="6E872B7F"/>
    <w:rsid w:val="6EC3071F"/>
    <w:rsid w:val="6EC64DA9"/>
    <w:rsid w:val="6EF971F4"/>
    <w:rsid w:val="6F0A0E16"/>
    <w:rsid w:val="6F1572A0"/>
    <w:rsid w:val="6F4101EB"/>
    <w:rsid w:val="6F490CF7"/>
    <w:rsid w:val="6F4F27B2"/>
    <w:rsid w:val="6F6F2B28"/>
    <w:rsid w:val="6F8166E3"/>
    <w:rsid w:val="6F88533A"/>
    <w:rsid w:val="6F8B3F0D"/>
    <w:rsid w:val="6FA96E6B"/>
    <w:rsid w:val="6FAF14A2"/>
    <w:rsid w:val="6FD10A12"/>
    <w:rsid w:val="6FD9516B"/>
    <w:rsid w:val="6FF720EB"/>
    <w:rsid w:val="7014337E"/>
    <w:rsid w:val="706039DC"/>
    <w:rsid w:val="7064403B"/>
    <w:rsid w:val="706D2994"/>
    <w:rsid w:val="70716758"/>
    <w:rsid w:val="708C48E9"/>
    <w:rsid w:val="70924180"/>
    <w:rsid w:val="70AA5F6C"/>
    <w:rsid w:val="70CB4EDE"/>
    <w:rsid w:val="710B5494"/>
    <w:rsid w:val="71144D62"/>
    <w:rsid w:val="711D667E"/>
    <w:rsid w:val="712E4649"/>
    <w:rsid w:val="71414B6F"/>
    <w:rsid w:val="71701C0C"/>
    <w:rsid w:val="71B86881"/>
    <w:rsid w:val="71E62EAF"/>
    <w:rsid w:val="71F51F40"/>
    <w:rsid w:val="71FD7C59"/>
    <w:rsid w:val="721E360A"/>
    <w:rsid w:val="722C6568"/>
    <w:rsid w:val="722D33E0"/>
    <w:rsid w:val="724C4D86"/>
    <w:rsid w:val="728631D7"/>
    <w:rsid w:val="728E2A1A"/>
    <w:rsid w:val="728F450C"/>
    <w:rsid w:val="729D44F7"/>
    <w:rsid w:val="72A3275B"/>
    <w:rsid w:val="72AB72EA"/>
    <w:rsid w:val="72B95E98"/>
    <w:rsid w:val="72B96737"/>
    <w:rsid w:val="72D13DAD"/>
    <w:rsid w:val="72F45AE6"/>
    <w:rsid w:val="72F90DDA"/>
    <w:rsid w:val="731A7AA8"/>
    <w:rsid w:val="731B0628"/>
    <w:rsid w:val="733C4746"/>
    <w:rsid w:val="73412411"/>
    <w:rsid w:val="734D5233"/>
    <w:rsid w:val="73A6500A"/>
    <w:rsid w:val="73B84DED"/>
    <w:rsid w:val="73F41B79"/>
    <w:rsid w:val="74212243"/>
    <w:rsid w:val="742835D1"/>
    <w:rsid w:val="7459156D"/>
    <w:rsid w:val="745D327B"/>
    <w:rsid w:val="74A0744C"/>
    <w:rsid w:val="74D5567E"/>
    <w:rsid w:val="74FF48A4"/>
    <w:rsid w:val="75072A7D"/>
    <w:rsid w:val="75100F9E"/>
    <w:rsid w:val="7552524D"/>
    <w:rsid w:val="75713828"/>
    <w:rsid w:val="757226AA"/>
    <w:rsid w:val="757C33B3"/>
    <w:rsid w:val="75954C96"/>
    <w:rsid w:val="75976E56"/>
    <w:rsid w:val="75A44B2F"/>
    <w:rsid w:val="75AF3A58"/>
    <w:rsid w:val="75EE01C9"/>
    <w:rsid w:val="76051E1C"/>
    <w:rsid w:val="76376D1C"/>
    <w:rsid w:val="7652142F"/>
    <w:rsid w:val="767945B8"/>
    <w:rsid w:val="76805946"/>
    <w:rsid w:val="76896FB4"/>
    <w:rsid w:val="769048FD"/>
    <w:rsid w:val="7693133E"/>
    <w:rsid w:val="76DA59FC"/>
    <w:rsid w:val="770B3462"/>
    <w:rsid w:val="771E3744"/>
    <w:rsid w:val="774106C7"/>
    <w:rsid w:val="77590873"/>
    <w:rsid w:val="777A05E8"/>
    <w:rsid w:val="777F175A"/>
    <w:rsid w:val="77D25FCC"/>
    <w:rsid w:val="77D575CC"/>
    <w:rsid w:val="77DE2925"/>
    <w:rsid w:val="77DE2F1A"/>
    <w:rsid w:val="78033604"/>
    <w:rsid w:val="78112CFA"/>
    <w:rsid w:val="78246666"/>
    <w:rsid w:val="782855C5"/>
    <w:rsid w:val="785E239F"/>
    <w:rsid w:val="785E5813"/>
    <w:rsid w:val="78686CA8"/>
    <w:rsid w:val="786F5A60"/>
    <w:rsid w:val="78795CFC"/>
    <w:rsid w:val="78915BE9"/>
    <w:rsid w:val="78A23447"/>
    <w:rsid w:val="78BE4B00"/>
    <w:rsid w:val="78C10FDA"/>
    <w:rsid w:val="791C11C6"/>
    <w:rsid w:val="79296585"/>
    <w:rsid w:val="799040F2"/>
    <w:rsid w:val="79944636"/>
    <w:rsid w:val="79FF29F9"/>
    <w:rsid w:val="7A0B3A39"/>
    <w:rsid w:val="7A27787F"/>
    <w:rsid w:val="7A2860D9"/>
    <w:rsid w:val="7A343E31"/>
    <w:rsid w:val="7A44714F"/>
    <w:rsid w:val="7A5E7D4D"/>
    <w:rsid w:val="7A61076D"/>
    <w:rsid w:val="7A756E44"/>
    <w:rsid w:val="7A877FCC"/>
    <w:rsid w:val="7A967430"/>
    <w:rsid w:val="7AC64220"/>
    <w:rsid w:val="7AE9225A"/>
    <w:rsid w:val="7AEC6BD1"/>
    <w:rsid w:val="7AF71734"/>
    <w:rsid w:val="7B0A1A68"/>
    <w:rsid w:val="7B1D4B83"/>
    <w:rsid w:val="7B452CBB"/>
    <w:rsid w:val="7B607AF4"/>
    <w:rsid w:val="7B8D4C1F"/>
    <w:rsid w:val="7BB45A89"/>
    <w:rsid w:val="7BC167E5"/>
    <w:rsid w:val="7C08168C"/>
    <w:rsid w:val="7C253B94"/>
    <w:rsid w:val="7C43410B"/>
    <w:rsid w:val="7C4F3121"/>
    <w:rsid w:val="7C647170"/>
    <w:rsid w:val="7C86358B"/>
    <w:rsid w:val="7C8C4897"/>
    <w:rsid w:val="7C8C7F67"/>
    <w:rsid w:val="7CB22018"/>
    <w:rsid w:val="7CB44869"/>
    <w:rsid w:val="7CBE700E"/>
    <w:rsid w:val="7CD24869"/>
    <w:rsid w:val="7CE76AA8"/>
    <w:rsid w:val="7CF20C20"/>
    <w:rsid w:val="7D097714"/>
    <w:rsid w:val="7D2D0C41"/>
    <w:rsid w:val="7D3F20B7"/>
    <w:rsid w:val="7D485CF7"/>
    <w:rsid w:val="7D8C2E23"/>
    <w:rsid w:val="7D9C58B1"/>
    <w:rsid w:val="7DA05226"/>
    <w:rsid w:val="7DA261A2"/>
    <w:rsid w:val="7DAF78B8"/>
    <w:rsid w:val="7DE06CCB"/>
    <w:rsid w:val="7E132151"/>
    <w:rsid w:val="7E1B00E6"/>
    <w:rsid w:val="7E290B1C"/>
    <w:rsid w:val="7E4E22FD"/>
    <w:rsid w:val="7E563314"/>
    <w:rsid w:val="7E8569F1"/>
    <w:rsid w:val="7E8F15B6"/>
    <w:rsid w:val="7EC70A07"/>
    <w:rsid w:val="7ECB5A3C"/>
    <w:rsid w:val="7F00383E"/>
    <w:rsid w:val="7F075DA6"/>
    <w:rsid w:val="7F323B1D"/>
    <w:rsid w:val="7F4339B5"/>
    <w:rsid w:val="7F647874"/>
    <w:rsid w:val="7F663D79"/>
    <w:rsid w:val="7F710522"/>
    <w:rsid w:val="7FC756E3"/>
    <w:rsid w:val="7FCC144A"/>
    <w:rsid w:val="7FD50AB1"/>
    <w:rsid w:val="7FDD44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iPriority="99" w:semiHidden="0" w:name="footer"/>
    <w:lsdException w:qFormat="1" w:uiPriority="99"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pPr>
    <w:rPr>
      <w:rFonts w:eastAsia="宋体" w:asciiTheme="minorAscii" w:hAnsiTheme="minorAscii" w:cstheme="minorBidi"/>
      <w:sz w:val="22"/>
      <w:szCs w:val="22"/>
      <w:lang w:val="en-US" w:eastAsia="en-US" w:bidi="ar-SA"/>
    </w:rPr>
  </w:style>
  <w:style w:type="paragraph" w:styleId="3">
    <w:name w:val="heading 1"/>
    <w:basedOn w:val="1"/>
    <w:next w:val="1"/>
    <w:qFormat/>
    <w:uiPriority w:val="1"/>
    <w:pPr>
      <w:spacing w:before="7"/>
      <w:outlineLvl w:val="0"/>
    </w:pPr>
    <w:rPr>
      <w:rFonts w:ascii="黑体" w:hAnsi="黑体" w:eastAsia="黑体"/>
      <w:sz w:val="30"/>
      <w:szCs w:val="30"/>
    </w:rPr>
  </w:style>
  <w:style w:type="paragraph" w:styleId="4">
    <w:name w:val="heading 2"/>
    <w:basedOn w:val="1"/>
    <w:next w:val="1"/>
    <w:qFormat/>
    <w:uiPriority w:val="1"/>
    <w:pPr>
      <w:ind w:left="976"/>
      <w:outlineLvl w:val="1"/>
    </w:pPr>
    <w:rPr>
      <w:rFonts w:ascii="宋体" w:hAnsi="宋体" w:eastAsia="宋体"/>
      <w:b/>
      <w:bCs/>
      <w:sz w:val="21"/>
      <w:szCs w:val="21"/>
    </w:rPr>
  </w:style>
  <w:style w:type="paragraph" w:styleId="2">
    <w:name w:val="heading 4"/>
    <w:basedOn w:val="1"/>
    <w:next w:val="1"/>
    <w:qFormat/>
    <w:uiPriority w:val="0"/>
    <w:pPr>
      <w:keepNext/>
      <w:snapToGrid w:val="0"/>
      <w:spacing w:line="360" w:lineRule="auto"/>
      <w:outlineLvl w:val="3"/>
    </w:pPr>
    <w:rPr>
      <w:rFonts w:ascii="黑体" w:hAnsi="宋体" w:eastAsia="黑体" w:cs="Times New Roman"/>
      <w:b/>
      <w:bCs/>
      <w:sz w:val="24"/>
      <w:szCs w:val="20"/>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5">
    <w:name w:val="Normal Indent"/>
    <w:basedOn w:val="1"/>
    <w:qFormat/>
    <w:uiPriority w:val="0"/>
    <w:pPr>
      <w:ind w:firstLine="420" w:firstLineChars="200"/>
    </w:pPr>
    <w:rPr>
      <w:szCs w:val="24"/>
    </w:rPr>
  </w:style>
  <w:style w:type="paragraph" w:styleId="6">
    <w:name w:val="annotation text"/>
    <w:basedOn w:val="1"/>
    <w:link w:val="56"/>
    <w:qFormat/>
    <w:uiPriority w:val="0"/>
  </w:style>
  <w:style w:type="paragraph" w:styleId="7">
    <w:name w:val="Body Text"/>
    <w:basedOn w:val="1"/>
    <w:next w:val="8"/>
    <w:qFormat/>
    <w:uiPriority w:val="1"/>
    <w:rPr>
      <w:rFonts w:ascii="宋体" w:hAnsi="宋体" w:eastAsia="宋体"/>
      <w:sz w:val="21"/>
      <w:szCs w:val="21"/>
    </w:rPr>
  </w:style>
  <w:style w:type="paragraph" w:styleId="8">
    <w:name w:val="List Bullet 5"/>
    <w:basedOn w:val="1"/>
    <w:qFormat/>
    <w:uiPriority w:val="0"/>
    <w:pPr>
      <w:numPr>
        <w:ilvl w:val="0"/>
        <w:numId w:val="1"/>
      </w:numPr>
    </w:pPr>
  </w:style>
  <w:style w:type="paragraph" w:styleId="9">
    <w:name w:val="Body Text Indent"/>
    <w:basedOn w:val="1"/>
    <w:qFormat/>
    <w:uiPriority w:val="0"/>
    <w:pPr>
      <w:spacing w:line="480" w:lineRule="exact"/>
      <w:ind w:firstLine="533"/>
    </w:pPr>
    <w:rPr>
      <w:rFonts w:ascii="Times New Roman" w:hAnsi="Times New Roman" w:eastAsia="仿宋_GB2312" w:cs="Times New Roman"/>
      <w:sz w:val="30"/>
      <w:szCs w:val="20"/>
    </w:rPr>
  </w:style>
  <w:style w:type="paragraph" w:styleId="10">
    <w:name w:val="Plain Text"/>
    <w:basedOn w:val="1"/>
    <w:next w:val="11"/>
    <w:qFormat/>
    <w:uiPriority w:val="0"/>
    <w:rPr>
      <w:rFonts w:ascii="宋体" w:hAnsi="Courier New" w:cs="Courier New"/>
      <w:szCs w:val="21"/>
    </w:rPr>
  </w:style>
  <w:style w:type="paragraph" w:styleId="11">
    <w:name w:val="toc 1"/>
    <w:basedOn w:val="1"/>
    <w:next w:val="1"/>
    <w:qFormat/>
    <w:uiPriority w:val="0"/>
  </w:style>
  <w:style w:type="paragraph" w:styleId="12">
    <w:name w:val="Balloon Text"/>
    <w:basedOn w:val="1"/>
    <w:link w:val="58"/>
    <w:qFormat/>
    <w:uiPriority w:val="0"/>
    <w:rPr>
      <w:sz w:val="18"/>
      <w:szCs w:val="18"/>
    </w:rPr>
  </w:style>
  <w:style w:type="paragraph" w:styleId="13">
    <w:name w:val="footer"/>
    <w:basedOn w:val="1"/>
    <w:unhideWhenUsed/>
    <w:qFormat/>
    <w:uiPriority w:val="99"/>
    <w:pPr>
      <w:tabs>
        <w:tab w:val="center" w:pos="4153"/>
        <w:tab w:val="right" w:pos="8306"/>
      </w:tabs>
      <w:snapToGrid w:val="0"/>
    </w:pPr>
    <w:rPr>
      <w:sz w:val="18"/>
      <w:szCs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index heading"/>
    <w:basedOn w:val="1"/>
    <w:next w:val="1"/>
    <w:unhideWhenUsed/>
    <w:qFormat/>
    <w:uiPriority w:val="99"/>
    <w:pPr>
      <w:pBdr>
        <w:top w:val="double" w:color="auto" w:sz="6" w:space="0"/>
        <w:left w:val="double" w:color="auto" w:sz="6" w:space="0"/>
        <w:bottom w:val="double" w:color="auto" w:sz="6" w:space="0"/>
        <w:right w:val="double" w:color="auto" w:sz="6" w:space="0"/>
      </w:pBdr>
      <w:spacing w:before="240" w:after="120"/>
      <w:jc w:val="center"/>
    </w:pPr>
    <w:rPr>
      <w:rFonts w:ascii="Arial" w:hAnsi="Arial" w:cs="Arial"/>
      <w:b/>
      <w:bCs/>
      <w:spacing w:val="-8"/>
    </w:rPr>
  </w:style>
  <w:style w:type="paragraph" w:styleId="16">
    <w:name w:val="List"/>
    <w:basedOn w:val="1"/>
    <w:qFormat/>
    <w:uiPriority w:val="0"/>
    <w:pPr>
      <w:ind w:left="200" w:hanging="200" w:hangingChars="200"/>
      <w:contextualSpacing/>
    </w:pPr>
  </w:style>
  <w:style w:type="paragraph" w:styleId="17">
    <w:name w:val="Body Text Indent 3"/>
    <w:basedOn w:val="1"/>
    <w:qFormat/>
    <w:uiPriority w:val="0"/>
    <w:pPr>
      <w:spacing w:line="360" w:lineRule="auto"/>
      <w:ind w:firstLine="420"/>
    </w:pPr>
    <w:rPr>
      <w:sz w:val="24"/>
      <w:szCs w:val="24"/>
    </w:rPr>
  </w:style>
  <w:style w:type="paragraph" w:styleId="18">
    <w:name w:val="Normal (Web)"/>
    <w:basedOn w:val="1"/>
    <w:qFormat/>
    <w:uiPriority w:val="99"/>
    <w:pPr>
      <w:widowControl/>
      <w:spacing w:before="100" w:beforeAutospacing="1" w:after="100" w:afterAutospacing="1"/>
    </w:pPr>
    <w:rPr>
      <w:rFonts w:ascii="宋体" w:hAnsi="宋体" w:cs="宋体"/>
      <w:sz w:val="24"/>
      <w:szCs w:val="24"/>
    </w:rPr>
  </w:style>
  <w:style w:type="paragraph" w:styleId="19">
    <w:name w:val="annotation subject"/>
    <w:basedOn w:val="6"/>
    <w:next w:val="6"/>
    <w:link w:val="57"/>
    <w:qFormat/>
    <w:uiPriority w:val="0"/>
    <w:rPr>
      <w:b/>
      <w:bCs/>
    </w:rPr>
  </w:style>
  <w:style w:type="paragraph" w:styleId="20">
    <w:name w:val="Body Text First Indent"/>
    <w:basedOn w:val="7"/>
    <w:next w:val="1"/>
    <w:qFormat/>
    <w:uiPriority w:val="0"/>
    <w:pPr>
      <w:spacing w:after="120"/>
      <w:ind w:firstLine="420" w:firstLineChars="100"/>
      <w:jc w:val="both"/>
    </w:pPr>
    <w:rPr>
      <w:kern w:val="2"/>
    </w:rPr>
  </w:style>
  <w:style w:type="paragraph" w:styleId="21">
    <w:name w:val="Body Text First Indent 2"/>
    <w:basedOn w:val="9"/>
    <w:next w:val="22"/>
    <w:qFormat/>
    <w:uiPriority w:val="0"/>
    <w:pPr>
      <w:spacing w:after="120" w:line="240" w:lineRule="auto"/>
      <w:ind w:left="420" w:leftChars="200" w:firstLine="420" w:firstLineChars="200"/>
    </w:pPr>
    <w:rPr>
      <w:sz w:val="21"/>
    </w:rPr>
  </w:style>
  <w:style w:type="paragraph" w:customStyle="1" w:styleId="22">
    <w:name w:val="正文首行缩进  2字符"/>
    <w:basedOn w:val="1"/>
    <w:qFormat/>
    <w:uiPriority w:val="0"/>
    <w:pPr>
      <w:widowControl/>
      <w:spacing w:line="360" w:lineRule="auto"/>
      <w:ind w:firstLine="480"/>
    </w:pPr>
    <w:rPr>
      <w:sz w:val="24"/>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6">
    <w:name w:val="Strong"/>
    <w:basedOn w:val="25"/>
    <w:qFormat/>
    <w:uiPriority w:val="0"/>
    <w:rPr>
      <w:b/>
      <w:bCs/>
    </w:rPr>
  </w:style>
  <w:style w:type="character" w:styleId="27">
    <w:name w:val="annotation reference"/>
    <w:qFormat/>
    <w:uiPriority w:val="0"/>
    <w:rPr>
      <w:sz w:val="21"/>
      <w:szCs w:val="21"/>
    </w:rPr>
  </w:style>
  <w:style w:type="paragraph" w:customStyle="1" w:styleId="28">
    <w:name w:val="新格式表"/>
    <w:basedOn w:val="1"/>
    <w:qFormat/>
    <w:uiPriority w:val="0"/>
    <w:pPr>
      <w:adjustRightInd w:val="0"/>
      <w:snapToGrid w:val="0"/>
      <w:spacing w:line="0" w:lineRule="atLeast"/>
      <w:jc w:val="center"/>
    </w:pPr>
    <w:rPr>
      <w:color w:val="000000"/>
      <w:kern w:val="0"/>
      <w:szCs w:val="21"/>
    </w:rPr>
  </w:style>
  <w:style w:type="paragraph" w:customStyle="1" w:styleId="29">
    <w:name w:val="Default"/>
    <w:basedOn w:val="30"/>
    <w:next w:val="16"/>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30">
    <w:name w:val="纯文本1"/>
    <w:basedOn w:val="1"/>
    <w:qFormat/>
    <w:uiPriority w:val="99"/>
    <w:rPr>
      <w:rFonts w:ascii="宋体" w:hAnsi="Courier New" w:cs="宋体"/>
      <w:szCs w:val="21"/>
    </w:rPr>
  </w:style>
  <w:style w:type="paragraph" w:customStyle="1" w:styleId="31">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32">
    <w:name w:val="Default1"/>
    <w:basedOn w:val="1"/>
    <w:next w:val="1"/>
    <w:qFormat/>
    <w:uiPriority w:val="99"/>
    <w:pPr>
      <w:autoSpaceDE w:val="0"/>
      <w:autoSpaceDN w:val="0"/>
      <w:adjustRightInd w:val="0"/>
    </w:pPr>
    <w:rPr>
      <w:rFonts w:ascii="宋体"/>
      <w:sz w:val="24"/>
    </w:rPr>
  </w:style>
  <w:style w:type="table" w:customStyle="1" w:styleId="33">
    <w:name w:val="Table Normal"/>
    <w:semiHidden/>
    <w:unhideWhenUsed/>
    <w:qFormat/>
    <w:uiPriority w:val="2"/>
    <w:tblPr>
      <w:tblCellMar>
        <w:top w:w="0" w:type="dxa"/>
        <w:left w:w="0" w:type="dxa"/>
        <w:bottom w:w="0" w:type="dxa"/>
        <w:right w:w="0" w:type="dxa"/>
      </w:tblCellMar>
    </w:tblPr>
  </w:style>
  <w:style w:type="paragraph" w:styleId="34">
    <w:name w:val="List Paragraph"/>
    <w:basedOn w:val="1"/>
    <w:qFormat/>
    <w:uiPriority w:val="1"/>
  </w:style>
  <w:style w:type="paragraph" w:customStyle="1" w:styleId="35">
    <w:name w:val="Table Paragraph"/>
    <w:basedOn w:val="1"/>
    <w:qFormat/>
    <w:uiPriority w:val="1"/>
  </w:style>
  <w:style w:type="paragraph" w:customStyle="1" w:styleId="36">
    <w:name w:val="标号正文"/>
    <w:basedOn w:val="1"/>
    <w:next w:val="1"/>
    <w:qFormat/>
    <w:uiPriority w:val="0"/>
    <w:pPr>
      <w:tabs>
        <w:tab w:val="left" w:pos="1540"/>
      </w:tabs>
      <w:overflowPunct w:val="0"/>
      <w:snapToGrid w:val="0"/>
      <w:spacing w:line="360" w:lineRule="auto"/>
      <w:ind w:firstLine="1040"/>
    </w:pPr>
    <w:rPr>
      <w:rFonts w:ascii="Arial" w:hAnsi="Arial" w:eastAsia="宋体"/>
      <w:sz w:val="24"/>
      <w:szCs w:val="20"/>
    </w:rPr>
  </w:style>
  <w:style w:type="paragraph" w:customStyle="1" w:styleId="37">
    <w:name w:val="表格文字"/>
    <w:basedOn w:val="1"/>
    <w:qFormat/>
    <w:uiPriority w:val="0"/>
    <w:pPr>
      <w:spacing w:line="300" w:lineRule="exact"/>
      <w:jc w:val="center"/>
    </w:pPr>
    <w:rPr>
      <w:szCs w:val="24"/>
    </w:rPr>
  </w:style>
  <w:style w:type="paragraph" w:customStyle="1" w:styleId="38">
    <w:name w:val="表格1"/>
    <w:basedOn w:val="1"/>
    <w:qFormat/>
    <w:uiPriority w:val="0"/>
    <w:pPr>
      <w:widowControl/>
      <w:spacing w:before="20" w:beforeLines="20" w:after="20" w:afterLines="20"/>
      <w:jc w:val="center"/>
    </w:pPr>
    <w:rPr>
      <w:sz w:val="21"/>
      <w:szCs w:val="21"/>
    </w:rPr>
  </w:style>
  <w:style w:type="paragraph" w:customStyle="1" w:styleId="39">
    <w:name w:val="表格"/>
    <w:basedOn w:val="34"/>
    <w:next w:val="1"/>
    <w:qFormat/>
    <w:uiPriority w:val="0"/>
    <w:rPr>
      <w:sz w:val="24"/>
    </w:rPr>
  </w:style>
  <w:style w:type="paragraph" w:customStyle="1" w:styleId="40">
    <w:name w:val="WPSOffice手动目录 1"/>
    <w:qFormat/>
    <w:uiPriority w:val="0"/>
    <w:rPr>
      <w:rFonts w:asciiTheme="minorHAnsi" w:hAnsiTheme="minorHAnsi" w:eastAsiaTheme="minorEastAsia" w:cstheme="minorBidi"/>
      <w:lang w:val="en-US" w:eastAsia="zh-CN" w:bidi="ar-SA"/>
    </w:rPr>
  </w:style>
  <w:style w:type="paragraph" w:customStyle="1" w:styleId="41">
    <w:name w:val="表格文字2"/>
    <w:basedOn w:val="1"/>
    <w:qFormat/>
    <w:uiPriority w:val="0"/>
    <w:pPr>
      <w:tabs>
        <w:tab w:val="left" w:pos="277"/>
        <w:tab w:val="left" w:pos="600"/>
        <w:tab w:val="left" w:pos="780"/>
        <w:tab w:val="left" w:pos="2517"/>
      </w:tabs>
      <w:adjustRightInd w:val="0"/>
      <w:snapToGrid w:val="0"/>
      <w:jc w:val="center"/>
      <w:textAlignment w:val="baseline"/>
    </w:pPr>
    <w:rPr>
      <w:szCs w:val="21"/>
    </w:rPr>
  </w:style>
  <w:style w:type="paragraph" w:customStyle="1" w:styleId="42">
    <w:name w:val="表格及图件标题"/>
    <w:basedOn w:val="1"/>
    <w:next w:val="39"/>
    <w:qFormat/>
    <w:uiPriority w:val="0"/>
    <w:pPr>
      <w:spacing w:before="25" w:beforeLines="25"/>
      <w:jc w:val="center"/>
    </w:pPr>
    <w:rPr>
      <w:rFonts w:ascii="Times New Roman" w:hAnsi="Times New Roman"/>
      <w:b/>
      <w:sz w:val="20"/>
      <w:szCs w:val="20"/>
    </w:rPr>
  </w:style>
  <w:style w:type="paragraph" w:customStyle="1" w:styleId="43">
    <w:name w:val="CM17"/>
    <w:basedOn w:val="29"/>
    <w:next w:val="29"/>
    <w:qFormat/>
    <w:uiPriority w:val="99"/>
    <w:pPr>
      <w:spacing w:line="500" w:lineRule="atLeast"/>
    </w:pPr>
    <w:rPr>
      <w:rFonts w:hAnsiTheme="minorHAnsi" w:cstheme="minorBidi"/>
      <w:color w:val="auto"/>
    </w:rPr>
  </w:style>
  <w:style w:type="paragraph" w:customStyle="1" w:styleId="44">
    <w:name w:val="0-Meng"/>
    <w:basedOn w:val="1"/>
    <w:next w:val="1"/>
    <w:qFormat/>
    <w:uiPriority w:val="0"/>
    <w:pPr>
      <w:spacing w:line="360" w:lineRule="auto"/>
      <w:ind w:firstLine="200" w:firstLineChars="200"/>
    </w:pPr>
    <w:rPr>
      <w:sz w:val="24"/>
      <w:lang w:val="zh-CN"/>
    </w:rPr>
  </w:style>
  <w:style w:type="paragraph" w:customStyle="1" w:styleId="45">
    <w:name w:val="正  文"/>
    <w:basedOn w:val="1"/>
    <w:qFormat/>
    <w:uiPriority w:val="0"/>
    <w:pPr>
      <w:widowControl/>
      <w:spacing w:line="500" w:lineRule="exact"/>
      <w:ind w:firstLine="200" w:firstLineChars="200"/>
    </w:pPr>
    <w:rPr>
      <w:rFonts w:ascii="Times New Roman" w:hAnsi="Times New Roman"/>
      <w:color w:val="000000"/>
      <w:sz w:val="24"/>
    </w:rPr>
  </w:style>
  <w:style w:type="paragraph" w:customStyle="1" w:styleId="46">
    <w:name w:val="题2"/>
    <w:basedOn w:val="4"/>
    <w:qFormat/>
    <w:uiPriority w:val="0"/>
    <w:pPr>
      <w:adjustRightInd w:val="0"/>
      <w:snapToGrid w:val="0"/>
      <w:spacing w:before="156" w:beforeLines="50" w:after="156" w:afterLines="50" w:line="360" w:lineRule="auto"/>
    </w:pPr>
    <w:rPr>
      <w:rFonts w:ascii="Times New Roman" w:hAnsi="Times New Roman"/>
      <w:sz w:val="30"/>
      <w:szCs w:val="28"/>
    </w:rPr>
  </w:style>
  <w:style w:type="paragraph" w:customStyle="1" w:styleId="47">
    <w:name w:val="样式 表格 + 黑色"/>
    <w:basedOn w:val="1"/>
    <w:qFormat/>
    <w:uiPriority w:val="0"/>
    <w:rPr>
      <w:color w:val="000000"/>
    </w:rPr>
  </w:style>
  <w:style w:type="paragraph" w:customStyle="1" w:styleId="48">
    <w:name w:val="样式 列表 + 左侧:  0 厘米 悬挂缩进: 2 字符"/>
    <w:basedOn w:val="16"/>
    <w:qFormat/>
    <w:uiPriority w:val="0"/>
    <w:pPr>
      <w:tabs>
        <w:tab w:val="center" w:pos="4153"/>
        <w:tab w:val="right" w:pos="8306"/>
      </w:tabs>
      <w:adjustRightInd w:val="0"/>
      <w:snapToGrid w:val="0"/>
      <w:ind w:left="0" w:firstLine="0" w:firstLineChars="0"/>
      <w:jc w:val="center"/>
    </w:pPr>
    <w:rPr>
      <w:rFonts w:ascii="Times New Roman" w:hAnsi="Times New Roman"/>
      <w:bCs/>
      <w:szCs w:val="21"/>
    </w:rPr>
  </w:style>
  <w:style w:type="paragraph" w:customStyle="1" w:styleId="49">
    <w:name w:val="表格标题"/>
    <w:basedOn w:val="1"/>
    <w:next w:val="1"/>
    <w:qFormat/>
    <w:uiPriority w:val="0"/>
    <w:pPr>
      <w:adjustRightInd w:val="0"/>
      <w:spacing w:before="120" w:line="360" w:lineRule="auto"/>
      <w:jc w:val="center"/>
    </w:pPr>
    <w:rPr>
      <w:rFonts w:eastAsia="文鼎CS中宋"/>
      <w:sz w:val="24"/>
    </w:rPr>
  </w:style>
  <w:style w:type="paragraph" w:customStyle="1" w:styleId="50">
    <w:name w:val="p0"/>
    <w:basedOn w:val="1"/>
    <w:qFormat/>
    <w:uiPriority w:val="0"/>
    <w:pPr>
      <w:widowControl/>
    </w:pPr>
    <w:rPr>
      <w:rFonts w:ascii="Times New Roman" w:hAnsi="Times New Roman"/>
      <w:szCs w:val="21"/>
    </w:rPr>
  </w:style>
  <w:style w:type="character" w:customStyle="1" w:styleId="51">
    <w:name w:val="font21"/>
    <w:basedOn w:val="25"/>
    <w:qFormat/>
    <w:uiPriority w:val="0"/>
    <w:rPr>
      <w:rFonts w:hint="default" w:ascii="Times New Roman" w:hAnsi="Times New Roman" w:cs="Times New Roman"/>
      <w:b/>
      <w:color w:val="000000"/>
      <w:sz w:val="18"/>
      <w:szCs w:val="18"/>
      <w:u w:val="none"/>
      <w:vertAlign w:val="superscript"/>
    </w:rPr>
  </w:style>
  <w:style w:type="paragraph" w:customStyle="1" w:styleId="52">
    <w:name w:val="zxz5"/>
    <w:next w:val="1"/>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53">
    <w:name w:val="我的正文"/>
    <w:basedOn w:val="1"/>
    <w:qFormat/>
    <w:uiPriority w:val="0"/>
    <w:pPr>
      <w:spacing w:line="520" w:lineRule="exact"/>
      <w:ind w:firstLine="560" w:firstLineChars="200"/>
    </w:pPr>
    <w:rPr>
      <w:rFonts w:ascii="宋体" w:hAnsi="宋体" w:eastAsia="宋体"/>
      <w:color w:val="000000"/>
      <w:sz w:val="28"/>
      <w:szCs w:val="28"/>
    </w:rPr>
  </w:style>
  <w:style w:type="paragraph" w:customStyle="1" w:styleId="54">
    <w:name w:val="样式 楷体_GB2312 居中"/>
    <w:basedOn w:val="1"/>
    <w:qFormat/>
    <w:uiPriority w:val="0"/>
    <w:pPr>
      <w:spacing w:line="360" w:lineRule="auto"/>
      <w:jc w:val="center"/>
    </w:pPr>
    <w:rPr>
      <w:rFonts w:ascii="楷体_GB2312" w:hAnsi="Times New Roman" w:eastAsia="楷体_GB2312" w:cs="Times New Roman"/>
      <w:szCs w:val="20"/>
    </w:rPr>
  </w:style>
  <w:style w:type="paragraph" w:customStyle="1" w:styleId="55">
    <w:name w:val="标题 2+ 行距: 固定值 24 磅 Char"/>
    <w:basedOn w:val="4"/>
    <w:qFormat/>
    <w:uiPriority w:val="0"/>
    <w:pPr>
      <w:spacing w:line="480" w:lineRule="exact"/>
    </w:pPr>
    <w:rPr>
      <w:rFonts w:cs="Arial"/>
    </w:rPr>
  </w:style>
  <w:style w:type="character" w:customStyle="1" w:styleId="56">
    <w:name w:val="批注文字 Char"/>
    <w:basedOn w:val="25"/>
    <w:link w:val="6"/>
    <w:qFormat/>
    <w:uiPriority w:val="0"/>
    <w:rPr>
      <w:rFonts w:asciiTheme="minorHAnsi" w:hAnsiTheme="minorHAnsi" w:eastAsiaTheme="minorHAnsi" w:cstheme="minorBidi"/>
      <w:sz w:val="22"/>
      <w:szCs w:val="22"/>
      <w:lang w:eastAsia="en-US"/>
    </w:rPr>
  </w:style>
  <w:style w:type="character" w:customStyle="1" w:styleId="57">
    <w:name w:val="批注主题 Char"/>
    <w:basedOn w:val="56"/>
    <w:link w:val="19"/>
    <w:qFormat/>
    <w:uiPriority w:val="0"/>
    <w:rPr>
      <w:rFonts w:asciiTheme="minorHAnsi" w:hAnsiTheme="minorHAnsi" w:eastAsiaTheme="minorHAnsi" w:cstheme="minorBidi"/>
      <w:b/>
      <w:bCs/>
      <w:sz w:val="22"/>
      <w:szCs w:val="22"/>
      <w:lang w:eastAsia="en-US"/>
    </w:rPr>
  </w:style>
  <w:style w:type="character" w:customStyle="1" w:styleId="58">
    <w:name w:val="批注框文本 Char"/>
    <w:basedOn w:val="25"/>
    <w:link w:val="12"/>
    <w:qFormat/>
    <w:uiPriority w:val="0"/>
    <w:rPr>
      <w:rFonts w:asciiTheme="minorHAnsi" w:hAnsiTheme="minorHAnsi" w:eastAsiaTheme="minorHAnsi" w:cstheme="minorBidi"/>
      <w:sz w:val="18"/>
      <w:szCs w:val="18"/>
      <w:lang w:eastAsia="en-US"/>
    </w:rPr>
  </w:style>
  <w:style w:type="paragraph" w:customStyle="1" w:styleId="59">
    <w:name w:val="Other|1"/>
    <w:basedOn w:val="1"/>
    <w:qFormat/>
    <w:uiPriority w:val="0"/>
    <w:pPr>
      <w:jc w:val="center"/>
    </w:pPr>
    <w:rPr>
      <w:sz w:val="20"/>
      <w:szCs w:val="20"/>
      <w:lang w:val="zh-TW" w:eastAsia="zh-TW" w:bidi="zh-TW"/>
    </w:rPr>
  </w:style>
  <w:style w:type="character" w:customStyle="1" w:styleId="60">
    <w:name w:val="fontstyle01"/>
    <w:qFormat/>
    <w:uiPriority w:val="0"/>
    <w:rPr>
      <w:rFonts w:hint="eastAsia" w:ascii="宋体" w:hAnsi="宋体" w:eastAsia="宋体"/>
      <w:color w:val="000000"/>
      <w:sz w:val="24"/>
      <w:szCs w:val="24"/>
    </w:rPr>
  </w:style>
  <w:style w:type="paragraph" w:customStyle="1" w:styleId="61">
    <w:name w:val="标题2"/>
    <w:unhideWhenUsed/>
    <w:qFormat/>
    <w:uiPriority w:val="2"/>
    <w:pPr>
      <w:outlineLvl w:val="2"/>
    </w:pPr>
    <w:rPr>
      <w:rFonts w:asciiTheme="minorHAnsi" w:hAnsiTheme="minorHAnsi" w:eastAsiaTheme="minorEastAsia" w:cstheme="minorBidi"/>
      <w:kern w:val="2"/>
      <w:sz w:val="21"/>
      <w:szCs w:val="22"/>
      <w:lang w:val="en-US" w:eastAsia="zh-CN" w:bidi="ar-SA"/>
    </w:rPr>
  </w:style>
  <w:style w:type="paragraph" w:customStyle="1" w:styleId="62">
    <w:name w:val="正文（lulu四号字）"/>
    <w:basedOn w:val="9"/>
    <w:qFormat/>
    <w:uiPriority w:val="0"/>
    <w:pPr>
      <w:spacing w:after="0" w:line="500" w:lineRule="exact"/>
      <w:ind w:left="0" w:leftChars="0" w:firstLine="560"/>
    </w:pPr>
    <w:rPr>
      <w:rFonts w:ascii="宋体" w:hAnsi="宋体" w:cs="宋体"/>
      <w:kern w:val="2"/>
      <w:sz w:val="28"/>
      <w:szCs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49.jpe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4.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3.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footer" Target="foot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jpe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jpe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emf"/><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wmf"/><Relationship Id="rId16" Type="http://schemas.openxmlformats.org/officeDocument/2006/relationships/image" Target="media/image3.emf"/><Relationship Id="rId15" Type="http://schemas.openxmlformats.org/officeDocument/2006/relationships/oleObject" Target="embeddings/oleObject2.bin"/><Relationship Id="rId14" Type="http://schemas.openxmlformats.org/officeDocument/2006/relationships/image" Target="media/image2.png"/><Relationship Id="rId13" Type="http://schemas.openxmlformats.org/officeDocument/2006/relationships/image" Target="media/image1.emf"/><Relationship Id="rId12" Type="http://schemas.openxmlformats.org/officeDocument/2006/relationships/oleObject" Target="embeddings/oleObject1.bin"/><Relationship Id="rId11" Type="http://schemas.openxmlformats.org/officeDocument/2006/relationships/theme" Target="theme/theme1.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3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104</Pages>
  <Words>47855</Words>
  <Characters>55853</Characters>
  <Lines>397</Lines>
  <Paragraphs>111</Paragraphs>
  <TotalTime>5</TotalTime>
  <ScaleCrop>false</ScaleCrop>
  <LinksUpToDate>false</LinksUpToDate>
  <CharactersWithSpaces>56838</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2021-03-05T09:15:00Z</dcterms:created>
  <dc:creator>lhj</dc:creator>
  <cp:lastModifiedBy>英</cp:lastModifiedBy>
  <dcterms:modified xsi:type="dcterms:W3CDTF">2023-08-16T09:19:46Z</dcterms:modified>
  <dc:title>附件2</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2021-03-03T00:00:00Z</vt:filetime>
  </property>
  <property fmtid="{D5CDD505-2E9C-101B-9397-08002B2CF9AE}" pid="3" name="LastSaved">
    <vt:filetime>2021-03-05T00:00:00Z</vt:filetime>
  </property>
  <property fmtid="{D5CDD505-2E9C-101B-9397-08002B2CF9AE}" pid="4" name="KSOProductBuildVer">
    <vt:lpwstr>2052-11.1.0.14309</vt:lpwstr>
  </property>
  <property fmtid="{D5CDD505-2E9C-101B-9397-08002B2CF9AE}" pid="5" name="ICV">
    <vt:lpwstr>0E6829A8EDDC47CC9DF06091ED5A0BC9</vt:lpwstr>
  </property>
</Properties>
</file>