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bookmarkStart w:id="0" w:name="_GoBack"/>
      <w:bookmarkEnd w:id="0"/>
      <w:r>
        <w:rPr>
          <w:rFonts w:hint="eastAsia" w:ascii="方正小标宋简体" w:hAnsi="方正小标宋简体" w:eastAsia="方正小标宋简体" w:cs="方正小标宋简体"/>
          <w:sz w:val="36"/>
          <w:szCs w:val="36"/>
        </w:rPr>
        <w:t>年开发区行政事业性收费项目目录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
        <w:gridCol w:w="1215"/>
        <w:gridCol w:w="4080"/>
        <w:gridCol w:w="825"/>
        <w:gridCol w:w="22"/>
        <w:gridCol w:w="2251"/>
        <w:gridCol w:w="2449"/>
        <w:gridCol w:w="133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jc w:val="center"/>
              <w:rPr>
                <w:b/>
                <w:bCs/>
              </w:rPr>
            </w:pPr>
            <w:r>
              <w:rPr>
                <w:rFonts w:hint="eastAsia"/>
                <w:b/>
                <w:bCs/>
              </w:rPr>
              <w:t>序号</w:t>
            </w:r>
          </w:p>
        </w:tc>
        <w:tc>
          <w:tcPr>
            <w:tcW w:w="1232" w:type="dxa"/>
            <w:gridSpan w:val="2"/>
            <w:vAlign w:val="center"/>
          </w:tcPr>
          <w:p>
            <w:pPr>
              <w:jc w:val="center"/>
              <w:rPr>
                <w:b/>
                <w:bCs/>
              </w:rPr>
            </w:pPr>
            <w:r>
              <w:rPr>
                <w:rFonts w:hint="eastAsia"/>
                <w:b/>
                <w:bCs/>
              </w:rPr>
              <w:t>收费项目名称</w:t>
            </w:r>
          </w:p>
        </w:tc>
        <w:tc>
          <w:tcPr>
            <w:tcW w:w="4080" w:type="dxa"/>
            <w:vAlign w:val="center"/>
          </w:tcPr>
          <w:p>
            <w:pPr>
              <w:jc w:val="center"/>
              <w:rPr>
                <w:b/>
                <w:bCs/>
              </w:rPr>
            </w:pPr>
            <w:r>
              <w:rPr>
                <w:rFonts w:hint="eastAsia"/>
                <w:b/>
                <w:bCs/>
              </w:rPr>
              <w:t>收费标准</w:t>
            </w:r>
          </w:p>
        </w:tc>
        <w:tc>
          <w:tcPr>
            <w:tcW w:w="825" w:type="dxa"/>
            <w:vAlign w:val="center"/>
          </w:tcPr>
          <w:p>
            <w:pPr>
              <w:jc w:val="center"/>
              <w:rPr>
                <w:b/>
                <w:bCs/>
              </w:rPr>
            </w:pPr>
            <w:r>
              <w:rPr>
                <w:rFonts w:hint="eastAsia"/>
                <w:b/>
                <w:bCs/>
              </w:rPr>
              <w:t>立项级别</w:t>
            </w:r>
          </w:p>
        </w:tc>
        <w:tc>
          <w:tcPr>
            <w:tcW w:w="2273" w:type="dxa"/>
            <w:gridSpan w:val="2"/>
            <w:vAlign w:val="center"/>
          </w:tcPr>
          <w:p>
            <w:pPr>
              <w:jc w:val="center"/>
              <w:rPr>
                <w:b/>
                <w:bCs/>
              </w:rPr>
            </w:pPr>
            <w:r>
              <w:rPr>
                <w:rFonts w:hint="eastAsia"/>
                <w:b/>
                <w:bCs/>
              </w:rPr>
              <w:t>文件依据</w:t>
            </w:r>
          </w:p>
        </w:tc>
        <w:tc>
          <w:tcPr>
            <w:tcW w:w="3780" w:type="dxa"/>
            <w:gridSpan w:val="2"/>
            <w:vAlign w:val="center"/>
          </w:tcPr>
          <w:p>
            <w:pPr>
              <w:jc w:val="center"/>
              <w:rPr>
                <w:b/>
                <w:bCs/>
              </w:rPr>
            </w:pPr>
            <w:r>
              <w:rPr>
                <w:rFonts w:hint="eastAsia"/>
                <w:b/>
                <w:bCs/>
              </w:rPr>
              <w:t>执收单位</w:t>
            </w:r>
          </w:p>
        </w:tc>
        <w:tc>
          <w:tcPr>
            <w:tcW w:w="1281" w:type="dxa"/>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jc w:val="center"/>
            </w:pPr>
            <w:r>
              <w:rPr>
                <w:rFonts w:hint="eastAsia"/>
              </w:rPr>
              <w:t>1</w:t>
            </w:r>
          </w:p>
        </w:tc>
        <w:tc>
          <w:tcPr>
            <w:tcW w:w="1232" w:type="dxa"/>
            <w:gridSpan w:val="2"/>
            <w:vAlign w:val="center"/>
          </w:tcPr>
          <w:p>
            <w:r>
              <w:rPr>
                <w:rFonts w:hint="eastAsia"/>
              </w:rPr>
              <w:t>企业注册登记费</w:t>
            </w:r>
          </w:p>
        </w:tc>
        <w:tc>
          <w:tcPr>
            <w:tcW w:w="4080" w:type="dxa"/>
            <w:vAlign w:val="center"/>
          </w:tcPr>
          <w:p>
            <w:pPr>
              <w:jc w:val="left"/>
            </w:pPr>
            <w:r>
              <w:rPr>
                <w:rFonts w:hint="eastAsia"/>
              </w:rPr>
              <w:t>自2015年1月1日起暂停征收，包括开业注册登记、变更登记、企业年度检验、补（换）证照及领取执照副本。</w:t>
            </w:r>
          </w:p>
        </w:tc>
        <w:tc>
          <w:tcPr>
            <w:tcW w:w="825" w:type="dxa"/>
            <w:vAlign w:val="center"/>
          </w:tcPr>
          <w:p>
            <w:pPr>
              <w:jc w:val="center"/>
            </w:pPr>
            <w:r>
              <w:rPr>
                <w:rFonts w:hint="eastAsia"/>
              </w:rPr>
              <w:t>国家</w:t>
            </w:r>
          </w:p>
        </w:tc>
        <w:tc>
          <w:tcPr>
            <w:tcW w:w="2273" w:type="dxa"/>
            <w:gridSpan w:val="2"/>
            <w:vAlign w:val="center"/>
          </w:tcPr>
          <w:p>
            <w:pPr>
              <w:jc w:val="center"/>
            </w:pPr>
            <w:r>
              <w:rPr>
                <w:rFonts w:hint="eastAsia"/>
              </w:rPr>
              <w:t>苏财综〔2015〕1号</w:t>
            </w:r>
          </w:p>
        </w:tc>
        <w:tc>
          <w:tcPr>
            <w:tcW w:w="3780" w:type="dxa"/>
            <w:gridSpan w:val="2"/>
            <w:vAlign w:val="center"/>
          </w:tcPr>
          <w:p>
            <w:pPr>
              <w:jc w:val="center"/>
            </w:pPr>
            <w:r>
              <w:rPr>
                <w:rFonts w:hint="eastAsia"/>
              </w:rPr>
              <w:t>暂停征收</w:t>
            </w:r>
          </w:p>
        </w:tc>
        <w:tc>
          <w:tcPr>
            <w:tcW w:w="12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jc w:val="center"/>
            </w:pPr>
            <w:r>
              <w:rPr>
                <w:rFonts w:hint="eastAsia"/>
              </w:rPr>
              <w:t>2</w:t>
            </w:r>
          </w:p>
        </w:tc>
        <w:tc>
          <w:tcPr>
            <w:tcW w:w="1232" w:type="dxa"/>
            <w:gridSpan w:val="2"/>
            <w:vAlign w:val="center"/>
          </w:tcPr>
          <w:p>
            <w:pPr>
              <w:jc w:val="center"/>
            </w:pPr>
            <w:r>
              <w:rPr>
                <w:rFonts w:hint="eastAsia"/>
              </w:rPr>
              <w:t>个体工商户注册登记费</w:t>
            </w:r>
          </w:p>
        </w:tc>
        <w:tc>
          <w:tcPr>
            <w:tcW w:w="4080" w:type="dxa"/>
            <w:vAlign w:val="center"/>
          </w:tcPr>
          <w:p>
            <w:pPr>
              <w:jc w:val="center"/>
            </w:pPr>
            <w:r>
              <w:rPr>
                <w:rFonts w:hint="eastAsia"/>
              </w:rPr>
              <w:t>自2015年1月1日起暂停征收，包括开业注册登记、变更登记、补（换）发营业执照。</w:t>
            </w:r>
          </w:p>
        </w:tc>
        <w:tc>
          <w:tcPr>
            <w:tcW w:w="825" w:type="dxa"/>
            <w:vAlign w:val="center"/>
          </w:tcPr>
          <w:p>
            <w:pPr>
              <w:jc w:val="center"/>
            </w:pPr>
            <w:r>
              <w:rPr>
                <w:rFonts w:hint="eastAsia"/>
              </w:rPr>
              <w:t>国家</w:t>
            </w:r>
          </w:p>
        </w:tc>
        <w:tc>
          <w:tcPr>
            <w:tcW w:w="2273" w:type="dxa"/>
            <w:gridSpan w:val="2"/>
            <w:vAlign w:val="center"/>
          </w:tcPr>
          <w:p>
            <w:pPr>
              <w:jc w:val="center"/>
            </w:pPr>
            <w:r>
              <w:rPr>
                <w:rFonts w:hint="eastAsia"/>
              </w:rPr>
              <w:t>苏财综〔2015〕1号</w:t>
            </w:r>
          </w:p>
        </w:tc>
        <w:tc>
          <w:tcPr>
            <w:tcW w:w="3780" w:type="dxa"/>
            <w:gridSpan w:val="2"/>
            <w:vAlign w:val="center"/>
          </w:tcPr>
          <w:p>
            <w:pPr>
              <w:jc w:val="center"/>
            </w:pPr>
            <w:r>
              <w:rPr>
                <w:rFonts w:hint="eastAsia"/>
              </w:rPr>
              <w:t>暂停征收</w:t>
            </w:r>
          </w:p>
        </w:tc>
        <w:tc>
          <w:tcPr>
            <w:tcW w:w="128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03"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1232" w:type="dxa"/>
            <w:gridSpan w:val="2"/>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城镇垃圾处理费</w:t>
            </w:r>
          </w:p>
        </w:tc>
        <w:tc>
          <w:tcPr>
            <w:tcW w:w="4080" w:type="dxa"/>
            <w:vAlign w:val="center"/>
          </w:tcPr>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农贸市场、专业市场、旅游景点，按垃圾产出量征收垃圾处理费，收费标准为每吨20元，由主办单位交纳；</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宾馆、饭店、旅社、招待所，按实际床位征收垃圾处理费，收费标准为每床每月6元，按实际床位数的70%征收；</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餐饮业，收费标准为每平方米每月0.60元，其中30平方米以下每户每月18元。营业面积包括餐厅和操作间；</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小型超市、照相等商业、服务业和网吧、游戏机室等小型娱乐场所，收费标准为每平方米每月0.30元，30平方米以下的每户每月9元；</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舞厅、保龄球馆、健身房等娱乐业，每平方米每月0.20元，每户每月最高不超过1000元；</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流动摊点垃圾处理费，收费标准为每日0.50元；</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机关企事业单位按在职职工（含临时工、季节工）人数交纳生活垃圾处理费，每人每月 4 元；</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装潢垃圾处理费每平方米1元；</w:t>
            </w:r>
          </w:p>
          <w:p>
            <w:pPr>
              <w:pStyle w:val="9"/>
              <w:widowControl/>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居民每户每月5元的标准委托供水企业代收城镇垃圾处理费，与水费一票征收；</w:t>
            </w: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其他详见文件。 连云区按连价费字〔2007〕335 号 文件规定执行。</w:t>
            </w:r>
          </w:p>
        </w:tc>
        <w:tc>
          <w:tcPr>
            <w:tcW w:w="825"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w:t>
            </w:r>
          </w:p>
        </w:tc>
        <w:tc>
          <w:tcPr>
            <w:tcW w:w="2273" w:type="dxa"/>
            <w:gridSpan w:val="2"/>
            <w:vMerge w:val="restart"/>
            <w:vAlign w:val="center"/>
          </w:tcPr>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连价费字〔2001〕23 号</w:t>
            </w: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连政办发〔2002〕115 号</w:t>
            </w: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连价费字〔2007〕335 号</w:t>
            </w: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连价费字〔2008〕376 号</w:t>
            </w: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连政规发〔2021〕10 号</w:t>
            </w: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连政规发〔2014〕4号</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连价工〔2017〕102号</w:t>
            </w:r>
          </w:p>
        </w:tc>
        <w:tc>
          <w:tcPr>
            <w:tcW w:w="2449"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区住房和城乡建设局</w:t>
            </w:r>
          </w:p>
        </w:tc>
        <w:tc>
          <w:tcPr>
            <w:tcW w:w="2612" w:type="dxa"/>
            <w:gridSpan w:val="2"/>
            <w:vMerge w:val="restart"/>
            <w:vAlign w:val="center"/>
          </w:tcPr>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cstheme="minorEastAsia"/>
                <w:sz w:val="21"/>
                <w:szCs w:val="21"/>
                <w:lang w:val="en-US" w:eastAsia="zh-CN"/>
              </w:rPr>
            </w:pP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属于民政部门认定的低收入人口、市总工会认定的困难职工以及退役军人事务管理部门认定的重点抚恤优待对象的居民，免征城镇垃圾处理费；</w:t>
            </w:r>
          </w:p>
          <w:p>
            <w:pPr>
              <w:widowControl/>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登记失业人员以及毕业 2 年以内的普通高校毕业生开办餐饮业、商业服务业的减半收取。</w:t>
            </w: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rPr>
            </w:pPr>
          </w:p>
          <w:p>
            <w:pPr>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cstheme="minorEastAsia"/>
                <w:sz w:val="21"/>
                <w:szCs w:val="21"/>
                <w:highlight w:val="none"/>
                <w:lang w:val="en-US" w:eastAsia="zh-CN"/>
              </w:rPr>
              <w:t>.中小学</w:t>
            </w:r>
            <w:r>
              <w:rPr>
                <w:rFonts w:hint="eastAsia" w:asciiTheme="minorEastAsia" w:hAnsiTheme="minorEastAsia" w:eastAsiaTheme="minorEastAsia" w:cstheme="minorEastAsia"/>
                <w:sz w:val="21"/>
                <w:szCs w:val="21"/>
                <w:highlight w:val="none"/>
                <w:lang w:val="en-US" w:eastAsia="zh-CN"/>
              </w:rPr>
              <w:t>校舍安全工程免收；</w:t>
            </w:r>
          </w:p>
          <w:p>
            <w:pPr>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保障性安居工程免收；</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US" w:eastAsia="zh-CN"/>
              </w:rPr>
              <w:t>棚户区改造工程免收。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703" w:type="dxa"/>
            <w:vAlign w:val="center"/>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1232" w:type="dxa"/>
            <w:gridSpan w:val="2"/>
            <w:vAlign w:val="center"/>
          </w:tcPr>
          <w:p>
            <w:pPr>
              <w:widowControl/>
              <w:tabs>
                <w:tab w:val="left" w:pos="571"/>
              </w:tabs>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建筑垃圾处置核准</w:t>
            </w:r>
          </w:p>
        </w:tc>
        <w:tc>
          <w:tcPr>
            <w:tcW w:w="4080" w:type="dxa"/>
            <w:vAlign w:val="center"/>
          </w:tcPr>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建筑施工工程项目（含新建、改建、扩建、拆迁）按建筑面积2.4元/平方米缴纳建筑垃圾处理费；道路、水利、管网等施工工程项目按4.5元/吨计征。</w:t>
            </w:r>
          </w:p>
        </w:tc>
        <w:tc>
          <w:tcPr>
            <w:tcW w:w="825" w:type="dxa"/>
            <w:vAlign w:val="center"/>
          </w:tcPr>
          <w:p>
            <w:pPr>
              <w:widowControl/>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w:t>
            </w:r>
          </w:p>
        </w:tc>
        <w:tc>
          <w:tcPr>
            <w:tcW w:w="2273" w:type="dxa"/>
            <w:gridSpan w:val="2"/>
            <w:vMerge w:val="continue"/>
            <w:vAlign w:val="center"/>
          </w:tcPr>
          <w:p>
            <w:pPr>
              <w:widowControl/>
              <w:jc w:val="both"/>
              <w:rPr>
                <w:rFonts w:hint="eastAsia" w:asciiTheme="minorEastAsia" w:hAnsiTheme="minorEastAsia" w:eastAsiaTheme="minorEastAsia" w:cstheme="minorEastAsia"/>
                <w:sz w:val="21"/>
                <w:szCs w:val="21"/>
              </w:rPr>
            </w:pPr>
          </w:p>
        </w:tc>
        <w:tc>
          <w:tcPr>
            <w:tcW w:w="2449" w:type="dxa"/>
            <w:vAlign w:val="center"/>
          </w:tcPr>
          <w:p>
            <w:pPr>
              <w:widowControl/>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连云港经济技术开发区城市管理综合监察大队</w:t>
            </w:r>
          </w:p>
        </w:tc>
        <w:tc>
          <w:tcPr>
            <w:tcW w:w="2612" w:type="dxa"/>
            <w:gridSpan w:val="2"/>
            <w:vMerge w:val="continue"/>
            <w:vAlign w:val="center"/>
          </w:tcPr>
          <w:p>
            <w:pPr>
              <w:jc w:val="both"/>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3" w:type="dxa"/>
            <w:vAlign w:val="center"/>
          </w:tcPr>
          <w:p>
            <w:pPr>
              <w:widowControl/>
              <w:ind w:firstLine="200" w:firstLineChars="10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232" w:type="dxa"/>
            <w:gridSpan w:val="2"/>
            <w:vAlign w:val="center"/>
          </w:tcPr>
          <w:p>
            <w:pPr>
              <w:widowControl/>
              <w:tabs>
                <w:tab w:val="left" w:pos="571"/>
              </w:tabs>
              <w:jc w:val="left"/>
            </w:pPr>
            <w:r>
              <w:rPr>
                <w:rFonts w:hint="eastAsia"/>
              </w:rPr>
              <w:t>城市道路占用挖掘费</w:t>
            </w:r>
          </w:p>
        </w:tc>
        <w:tc>
          <w:tcPr>
            <w:tcW w:w="4080" w:type="dxa"/>
            <w:vAlign w:val="center"/>
          </w:tcPr>
          <w:p>
            <w:pPr>
              <w:widowControl/>
              <w:tabs>
                <w:tab w:val="left" w:pos="571"/>
              </w:tabs>
              <w:jc w:val="left"/>
            </w:pPr>
            <w:r>
              <w:rPr>
                <w:rFonts w:hint="eastAsia"/>
              </w:rPr>
              <w:t>1、建设性占道：车行道占道在一个月内 0.60 元/日·平方米。人行道占道在一个月内 0.40 元/日·平方米。超过一个月可以逐步提高收费标准，但最高不超过 100%。2、挖掘补偿费：分为道路和人行道设施、桥梁设施、河道设施、 排水设施、照明设施和城市非开挖管道施工 6大类88 项，具体标准详见文件</w:t>
            </w:r>
          </w:p>
          <w:p>
            <w:pPr>
              <w:widowControl/>
              <w:tabs>
                <w:tab w:val="left" w:pos="571"/>
              </w:tabs>
              <w:jc w:val="left"/>
            </w:pPr>
          </w:p>
        </w:tc>
        <w:tc>
          <w:tcPr>
            <w:tcW w:w="825" w:type="dxa"/>
            <w:vAlign w:val="center"/>
          </w:tcPr>
          <w:p>
            <w:pPr>
              <w:widowControl/>
              <w:tabs>
                <w:tab w:val="left" w:pos="571"/>
              </w:tabs>
              <w:jc w:val="left"/>
            </w:pPr>
            <w:r>
              <w:rPr>
                <w:rFonts w:hint="eastAsia"/>
              </w:rPr>
              <w:t>省</w:t>
            </w:r>
          </w:p>
        </w:tc>
        <w:tc>
          <w:tcPr>
            <w:tcW w:w="2273" w:type="dxa"/>
            <w:gridSpan w:val="2"/>
            <w:vAlign w:val="center"/>
          </w:tcPr>
          <w:p>
            <w:pPr>
              <w:widowControl/>
              <w:tabs>
                <w:tab w:val="left" w:pos="571"/>
              </w:tabs>
              <w:jc w:val="left"/>
            </w:pPr>
            <w:r>
              <w:rPr>
                <w:rFonts w:hint="eastAsia"/>
              </w:rPr>
              <w:t xml:space="preserve">苏价涉〔1995〕160 号 </w:t>
            </w:r>
          </w:p>
          <w:p>
            <w:pPr>
              <w:widowControl/>
              <w:tabs>
                <w:tab w:val="left" w:pos="571"/>
              </w:tabs>
              <w:jc w:val="left"/>
            </w:pPr>
            <w:r>
              <w:rPr>
                <w:rFonts w:hint="eastAsia"/>
              </w:rPr>
              <w:t xml:space="preserve">苏价服〔2012〕159 号 </w:t>
            </w:r>
          </w:p>
          <w:p>
            <w:pPr>
              <w:widowControl/>
              <w:tabs>
                <w:tab w:val="left" w:pos="571"/>
              </w:tabs>
              <w:jc w:val="left"/>
            </w:pPr>
            <w:r>
              <w:rPr>
                <w:rFonts w:hint="eastAsia"/>
              </w:rPr>
              <w:t xml:space="preserve">苏建城〔2016〕682 号 </w:t>
            </w:r>
          </w:p>
          <w:p>
            <w:pPr>
              <w:widowControl/>
              <w:tabs>
                <w:tab w:val="left" w:pos="571"/>
              </w:tabs>
              <w:jc w:val="left"/>
            </w:pPr>
            <w:r>
              <w:rPr>
                <w:rFonts w:hint="eastAsia"/>
              </w:rPr>
              <w:t>苏发改服价发〔2018〕1348 号</w:t>
            </w:r>
          </w:p>
          <w:p>
            <w:pPr>
              <w:widowControl/>
              <w:tabs>
                <w:tab w:val="left" w:pos="571"/>
              </w:tabs>
              <w:jc w:val="left"/>
            </w:pPr>
          </w:p>
        </w:tc>
        <w:tc>
          <w:tcPr>
            <w:tcW w:w="2449" w:type="dxa"/>
            <w:vAlign w:val="center"/>
          </w:tcPr>
          <w:p>
            <w:pPr>
              <w:widowControl/>
              <w:tabs>
                <w:tab w:val="left" w:pos="571"/>
              </w:tabs>
              <w:jc w:val="left"/>
            </w:pPr>
            <w:r>
              <w:rPr>
                <w:rFonts w:hint="eastAsia"/>
              </w:rPr>
              <w:t>区行政审批局、区住房和城乡建设局</w:t>
            </w:r>
          </w:p>
        </w:tc>
        <w:tc>
          <w:tcPr>
            <w:tcW w:w="2612" w:type="dxa"/>
            <w:gridSpan w:val="2"/>
            <w:vAlign w:val="center"/>
          </w:tcPr>
          <w:p>
            <w:pPr>
              <w:widowControl/>
              <w:tabs>
                <w:tab w:val="left" w:pos="571"/>
              </w:tabs>
              <w:jc w:val="left"/>
              <w:rPr>
                <w:rFonts w:hint="eastAsia"/>
              </w:rPr>
            </w:pPr>
            <w:r>
              <w:rPr>
                <w:rFonts w:hint="eastAsia"/>
                <w:lang w:val="en-US" w:eastAsia="zh-CN"/>
              </w:rPr>
              <w:t>1.</w:t>
            </w:r>
            <w:r>
              <w:rPr>
                <w:rFonts w:hint="eastAsia"/>
              </w:rPr>
              <w:t>经济适用房免收</w:t>
            </w:r>
          </w:p>
          <w:p>
            <w:pPr>
              <w:widowControl/>
              <w:tabs>
                <w:tab w:val="left" w:pos="571"/>
              </w:tabs>
              <w:jc w:val="left"/>
            </w:pPr>
            <w:r>
              <w:rPr>
                <w:rFonts w:hint="eastAsia"/>
                <w:lang w:val="en-US" w:eastAsia="zh-CN"/>
              </w:rPr>
              <w:t>2.</w:t>
            </w:r>
            <w:r>
              <w:rPr>
                <w:rFonts w:hint="eastAsia"/>
              </w:rPr>
              <w:t xml:space="preserve">中小学校舍安全工程免收。 </w:t>
            </w:r>
          </w:p>
          <w:p>
            <w:pPr>
              <w:widowControl/>
              <w:tabs>
                <w:tab w:val="left" w:pos="571"/>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03" w:type="dxa"/>
            <w:vAlign w:val="center"/>
          </w:tcPr>
          <w:p>
            <w:pPr>
              <w:widowControl/>
              <w:jc w:val="center"/>
              <w:rPr>
                <w:rFonts w:hint="eastAsia" w:ascii="宋体" w:hAnsi="宋体" w:eastAsia="宋体" w:cs="宋体"/>
                <w:color w:val="000000"/>
                <w:kern w:val="0"/>
                <w:sz w:val="20"/>
                <w:szCs w:val="20"/>
                <w:highlight w:val="yellow"/>
                <w:lang w:val="en-US" w:eastAsia="zh-CN"/>
              </w:rPr>
            </w:pPr>
            <w:r>
              <w:rPr>
                <w:rFonts w:hint="eastAsia" w:ascii="宋体" w:hAnsi="宋体" w:eastAsia="宋体" w:cs="宋体"/>
                <w:color w:val="000000"/>
                <w:kern w:val="0"/>
                <w:sz w:val="20"/>
                <w:szCs w:val="20"/>
                <w:highlight w:val="yellow"/>
                <w:lang w:val="en-US" w:eastAsia="zh-CN"/>
              </w:rPr>
              <w:t>6</w:t>
            </w:r>
          </w:p>
        </w:tc>
        <w:tc>
          <w:tcPr>
            <w:tcW w:w="1232" w:type="dxa"/>
            <w:gridSpan w:val="2"/>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第二类疫苗预防接种服务</w:t>
            </w:r>
          </w:p>
        </w:tc>
        <w:tc>
          <w:tcPr>
            <w:tcW w:w="4080" w:type="dxa"/>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20元/剂次，包括健康状况询间、知情告知、注射、留观、耗材(含一次性注射器或自毁型注射器、各种消毒剂、棉球、棉签、纱布等)、接种信息服务。</w:t>
            </w:r>
          </w:p>
          <w:p>
            <w:pPr>
              <w:widowControl/>
              <w:jc w:val="left"/>
              <w:rPr>
                <w:rFonts w:ascii="宋体" w:hAnsi="宋体" w:eastAsia="宋体" w:cs="宋体"/>
                <w:color w:val="000000"/>
                <w:kern w:val="0"/>
                <w:sz w:val="20"/>
                <w:szCs w:val="20"/>
                <w:highlight w:val="none"/>
              </w:rPr>
            </w:pPr>
          </w:p>
        </w:tc>
        <w:tc>
          <w:tcPr>
            <w:tcW w:w="825" w:type="dxa"/>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w:t>
            </w:r>
          </w:p>
        </w:tc>
        <w:tc>
          <w:tcPr>
            <w:tcW w:w="2273" w:type="dxa"/>
            <w:gridSpan w:val="2"/>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《疫苗流通和预防接种管理条例》</w:t>
            </w:r>
          </w:p>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苏价医</w:t>
            </w:r>
            <w:r>
              <w:rPr>
                <w:rFonts w:hint="eastAsia"/>
                <w:highlight w:val="none"/>
              </w:rPr>
              <w:t>〔2018〕</w:t>
            </w:r>
            <w:r>
              <w:rPr>
                <w:rFonts w:hint="eastAsia" w:ascii="宋体" w:hAnsi="宋体" w:eastAsia="宋体" w:cs="宋体"/>
                <w:color w:val="000000"/>
                <w:kern w:val="0"/>
                <w:sz w:val="20"/>
                <w:szCs w:val="20"/>
                <w:highlight w:val="none"/>
              </w:rPr>
              <w:t>24号</w:t>
            </w:r>
          </w:p>
          <w:p>
            <w:pPr>
              <w:widowControl/>
              <w:jc w:val="left"/>
              <w:rPr>
                <w:rFonts w:ascii="宋体" w:hAnsi="宋体" w:eastAsia="宋体" w:cs="宋体"/>
                <w:color w:val="000000"/>
                <w:kern w:val="0"/>
                <w:sz w:val="20"/>
                <w:szCs w:val="20"/>
                <w:highlight w:val="none"/>
              </w:rPr>
            </w:pPr>
          </w:p>
        </w:tc>
        <w:tc>
          <w:tcPr>
            <w:tcW w:w="2449" w:type="dxa"/>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朝阳社区卫生服务中心</w:t>
            </w:r>
          </w:p>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中云社区卫生服务中心</w:t>
            </w:r>
          </w:p>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猴嘴社区卫生服务中心</w:t>
            </w:r>
          </w:p>
        </w:tc>
        <w:tc>
          <w:tcPr>
            <w:tcW w:w="2612" w:type="dxa"/>
            <w:gridSpan w:val="2"/>
            <w:vAlign w:val="center"/>
          </w:tcPr>
          <w:p>
            <w:pPr>
              <w:widowControl/>
              <w:ind w:firstLine="400" w:firstLineChars="200"/>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区各街道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widowControl/>
              <w:jc w:val="center"/>
              <w:rPr>
                <w:rFonts w:hint="eastAsia" w:eastAsiaTheme="minorEastAsia"/>
                <w:lang w:val="en-US" w:eastAsia="zh-CN"/>
              </w:rPr>
            </w:pPr>
            <w:r>
              <w:rPr>
                <w:rFonts w:hint="eastAsia"/>
                <w:lang w:val="en-US" w:eastAsia="zh-CN"/>
              </w:rPr>
              <w:t>7</w:t>
            </w:r>
          </w:p>
          <w:p>
            <w:pPr>
              <w:widowControl/>
              <w:jc w:val="left"/>
              <w:rPr>
                <w:rFonts w:ascii="宋体" w:hAnsi="宋体" w:eastAsia="宋体" w:cs="宋体"/>
                <w:color w:val="000000"/>
                <w:kern w:val="0"/>
                <w:sz w:val="20"/>
                <w:szCs w:val="20"/>
              </w:rPr>
            </w:pPr>
          </w:p>
          <w:p>
            <w:pPr>
              <w:widowControl/>
              <w:jc w:val="left"/>
              <w:rPr>
                <w:rFonts w:ascii="宋体" w:hAnsi="宋体" w:eastAsia="宋体" w:cs="宋体"/>
                <w:color w:val="000000"/>
                <w:kern w:val="0"/>
                <w:sz w:val="20"/>
                <w:szCs w:val="20"/>
              </w:rPr>
            </w:pPr>
          </w:p>
        </w:tc>
        <w:tc>
          <w:tcPr>
            <w:tcW w:w="1215" w:type="dxa"/>
            <w:vAlign w:val="center"/>
          </w:tcPr>
          <w:p>
            <w:pPr>
              <w:widowControl/>
              <w:jc w:val="left"/>
            </w:pPr>
            <w:r>
              <w:rPr>
                <w:rFonts w:hint="eastAsia" w:ascii="宋体" w:hAnsi="宋体" w:eastAsia="宋体" w:cs="宋体"/>
                <w:color w:val="000000"/>
                <w:kern w:val="0"/>
                <w:sz w:val="19"/>
                <w:szCs w:val="19"/>
              </w:rPr>
              <w:t xml:space="preserve">诉讼费 </w:t>
            </w:r>
          </w:p>
          <w:p>
            <w:pPr>
              <w:widowControl/>
              <w:jc w:val="left"/>
              <w:rPr>
                <w:rFonts w:ascii="宋体" w:hAnsi="宋体" w:eastAsia="宋体" w:cs="宋体"/>
                <w:color w:val="000000"/>
                <w:kern w:val="0"/>
                <w:sz w:val="20"/>
                <w:szCs w:val="20"/>
              </w:rPr>
            </w:pPr>
          </w:p>
        </w:tc>
        <w:tc>
          <w:tcPr>
            <w:tcW w:w="4080" w:type="dxa"/>
            <w:vAlign w:val="center"/>
          </w:tcPr>
          <w:p>
            <w:pPr>
              <w:widowControl/>
              <w:jc w:val="left"/>
            </w:pPr>
            <w:r>
              <w:rPr>
                <w:rFonts w:hint="eastAsia" w:ascii="宋体" w:hAnsi="宋体" w:eastAsia="宋体" w:cs="宋体"/>
                <w:color w:val="000000"/>
                <w:kern w:val="0"/>
                <w:sz w:val="19"/>
                <w:szCs w:val="19"/>
              </w:rPr>
              <w:t xml:space="preserve">金额或者价额，按照比例分段累 计交纳：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不超过 </w:t>
            </w:r>
            <w:r>
              <w:rPr>
                <w:rFonts w:ascii="Times New Roman" w:hAnsi="Times New Roman" w:eastAsia="宋体" w:cs="Times New Roman"/>
                <w:color w:val="000000"/>
                <w:kern w:val="0"/>
                <w:sz w:val="19"/>
                <w:szCs w:val="19"/>
              </w:rPr>
              <w:t xml:space="preserve">1 </w:t>
            </w:r>
            <w:r>
              <w:rPr>
                <w:rFonts w:hint="eastAsia" w:ascii="宋体" w:hAnsi="宋体" w:eastAsia="宋体" w:cs="宋体"/>
                <w:color w:val="000000"/>
                <w:kern w:val="0"/>
                <w:sz w:val="19"/>
                <w:szCs w:val="19"/>
              </w:rPr>
              <w:t xml:space="preserve">万元的，每件交纳 </w:t>
            </w:r>
            <w:r>
              <w:rPr>
                <w:rFonts w:ascii="Times New Roman" w:hAnsi="Times New Roman" w:eastAsia="宋体" w:cs="Times New Roman"/>
                <w:color w:val="000000"/>
                <w:kern w:val="0"/>
                <w:sz w:val="19"/>
                <w:szCs w:val="19"/>
              </w:rPr>
              <w:t xml:space="preserve">50 </w:t>
            </w:r>
          </w:p>
          <w:p>
            <w:pPr>
              <w:widowControl/>
              <w:jc w:val="left"/>
            </w:pP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超过 </w:t>
            </w:r>
            <w:r>
              <w:rPr>
                <w:rFonts w:ascii="Times New Roman" w:hAnsi="Times New Roman" w:eastAsia="宋体" w:cs="Times New Roman"/>
                <w:color w:val="000000"/>
                <w:kern w:val="0"/>
                <w:sz w:val="19"/>
                <w:szCs w:val="19"/>
              </w:rPr>
              <w:t xml:space="preserve">1 </w:t>
            </w:r>
            <w:r>
              <w:rPr>
                <w:rFonts w:hint="eastAsia" w:ascii="宋体" w:hAnsi="宋体" w:eastAsia="宋体" w:cs="宋体"/>
                <w:color w:val="000000"/>
                <w:kern w:val="0"/>
                <w:sz w:val="19"/>
                <w:szCs w:val="19"/>
              </w:rPr>
              <w:t xml:space="preserve">万元至 </w:t>
            </w:r>
            <w:r>
              <w:rPr>
                <w:rFonts w:ascii="Times New Roman" w:hAnsi="Times New Roman" w:eastAsia="宋体" w:cs="Times New Roman"/>
                <w:color w:val="000000"/>
                <w:kern w:val="0"/>
                <w:sz w:val="19"/>
                <w:szCs w:val="19"/>
              </w:rPr>
              <w:t xml:space="preserve">10 </w:t>
            </w:r>
            <w:r>
              <w:rPr>
                <w:rFonts w:hint="eastAsia" w:ascii="宋体" w:hAnsi="宋体" w:eastAsia="宋体" w:cs="宋体"/>
                <w:color w:val="000000"/>
                <w:kern w:val="0"/>
                <w:sz w:val="19"/>
                <w:szCs w:val="19"/>
              </w:rPr>
              <w:t xml:space="preserve">万元的部分， </w:t>
            </w:r>
          </w:p>
          <w:p>
            <w:pPr>
              <w:widowControl/>
              <w:jc w:val="left"/>
            </w:pPr>
            <w:r>
              <w:rPr>
                <w:rFonts w:hint="eastAsia" w:ascii="宋体" w:hAnsi="宋体" w:eastAsia="宋体" w:cs="宋体"/>
                <w:color w:val="000000"/>
                <w:kern w:val="0"/>
                <w:sz w:val="19"/>
                <w:szCs w:val="19"/>
              </w:rPr>
              <w:t xml:space="preserve">按照 </w:t>
            </w:r>
            <w:r>
              <w:rPr>
                <w:rFonts w:ascii="Times New Roman" w:hAnsi="Times New Roman" w:eastAsia="宋体" w:cs="Times New Roman"/>
                <w:color w:val="000000"/>
                <w:kern w:val="0"/>
                <w:sz w:val="19"/>
                <w:szCs w:val="19"/>
              </w:rPr>
              <w:t>2.5%</w:t>
            </w:r>
            <w:r>
              <w:rPr>
                <w:rFonts w:hint="eastAsia" w:ascii="宋体" w:hAnsi="宋体" w:eastAsia="宋体" w:cs="宋体"/>
                <w:color w:val="000000"/>
                <w:kern w:val="0"/>
                <w:sz w:val="19"/>
                <w:szCs w:val="19"/>
              </w:rPr>
              <w:t xml:space="preserve">交纳； 其他详见《诉讼费用交纳办法》 </w:t>
            </w:r>
          </w:p>
          <w:p>
            <w:pPr>
              <w:widowControl/>
              <w:jc w:val="left"/>
            </w:pPr>
            <w:r>
              <w:rPr>
                <w:rFonts w:hint="eastAsia" w:ascii="宋体" w:hAnsi="宋体" w:eastAsia="宋体" w:cs="宋体"/>
                <w:color w:val="000000"/>
                <w:kern w:val="0"/>
                <w:sz w:val="19"/>
                <w:szCs w:val="19"/>
              </w:rPr>
              <w:t xml:space="preserve">第三章第十三条第（一）款。 （二）非财产案件按照下列标准 交纳：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离婚案件受理费，每件 </w:t>
            </w:r>
            <w:r>
              <w:rPr>
                <w:rFonts w:ascii="Times New Roman" w:hAnsi="Times New Roman" w:eastAsia="宋体" w:cs="Times New Roman"/>
                <w:color w:val="000000"/>
                <w:kern w:val="0"/>
                <w:sz w:val="19"/>
                <w:szCs w:val="19"/>
              </w:rPr>
              <w:t xml:space="preserve">240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侵害姓名权、名称权、肖像权、 名誉权、荣誉权以及其他人格权 的案件受理费，每件 </w:t>
            </w:r>
            <w:r>
              <w:rPr>
                <w:rFonts w:ascii="Times New Roman" w:hAnsi="Times New Roman" w:eastAsia="宋体" w:cs="Times New Roman"/>
                <w:color w:val="000000"/>
                <w:kern w:val="0"/>
                <w:sz w:val="19"/>
                <w:szCs w:val="19"/>
              </w:rPr>
              <w:t xml:space="preserve">400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 xml:space="preserve">3. </w:t>
            </w:r>
            <w:r>
              <w:rPr>
                <w:rFonts w:hint="eastAsia" w:ascii="宋体" w:hAnsi="宋体" w:eastAsia="宋体" w:cs="宋体"/>
                <w:color w:val="000000"/>
                <w:kern w:val="0"/>
                <w:sz w:val="19"/>
                <w:szCs w:val="19"/>
              </w:rPr>
              <w:t xml:space="preserve">其他非财产案件受理费，每件 </w:t>
            </w:r>
            <w:r>
              <w:rPr>
                <w:rFonts w:ascii="Times New Roman" w:hAnsi="Times New Roman" w:eastAsia="宋体" w:cs="Times New Roman"/>
                <w:color w:val="000000"/>
                <w:kern w:val="0"/>
                <w:sz w:val="19"/>
                <w:szCs w:val="19"/>
              </w:rPr>
              <w:t xml:space="preserve">80 </w:t>
            </w:r>
            <w:r>
              <w:rPr>
                <w:rFonts w:hint="eastAsia" w:ascii="宋体" w:hAnsi="宋体" w:eastAsia="宋体" w:cs="宋体"/>
                <w:color w:val="000000"/>
                <w:kern w:val="0"/>
                <w:sz w:val="19"/>
                <w:szCs w:val="19"/>
              </w:rPr>
              <w:t xml:space="preserve">元。 </w:t>
            </w:r>
          </w:p>
          <w:p>
            <w:pPr>
              <w:widowControl/>
              <w:jc w:val="left"/>
            </w:pPr>
            <w:r>
              <w:rPr>
                <w:rFonts w:hint="eastAsia" w:ascii="宋体" w:hAnsi="宋体" w:eastAsia="宋体" w:cs="宋体"/>
                <w:color w:val="000000"/>
                <w:kern w:val="0"/>
                <w:sz w:val="19"/>
                <w:szCs w:val="19"/>
              </w:rPr>
              <w:t xml:space="preserve">（三）知识产权民事案件受理费， 每件 </w:t>
            </w:r>
            <w:r>
              <w:rPr>
                <w:rFonts w:ascii="Times New Roman" w:hAnsi="Times New Roman" w:eastAsia="宋体" w:cs="Times New Roman"/>
                <w:color w:val="000000"/>
                <w:kern w:val="0"/>
                <w:sz w:val="19"/>
                <w:szCs w:val="19"/>
              </w:rPr>
              <w:t xml:space="preserve">800 </w:t>
            </w:r>
            <w:r>
              <w:rPr>
                <w:rFonts w:hint="eastAsia" w:ascii="宋体" w:hAnsi="宋体" w:eastAsia="宋体" w:cs="宋体"/>
                <w:color w:val="000000"/>
                <w:kern w:val="0"/>
                <w:sz w:val="19"/>
                <w:szCs w:val="19"/>
              </w:rPr>
              <w:t xml:space="preserve">元 ； （四）劳动争议案件每件交纳 </w:t>
            </w:r>
            <w:r>
              <w:rPr>
                <w:rFonts w:ascii="Times New Roman" w:hAnsi="Times New Roman" w:eastAsia="宋体" w:cs="Times New Roman"/>
                <w:color w:val="000000"/>
                <w:kern w:val="0"/>
                <w:sz w:val="19"/>
                <w:szCs w:val="19"/>
              </w:rPr>
              <w:t xml:space="preserve">10 </w:t>
            </w:r>
            <w:r>
              <w:rPr>
                <w:rFonts w:hint="eastAsia" w:ascii="宋体" w:hAnsi="宋体" w:eastAsia="宋体" w:cs="宋体"/>
                <w:color w:val="000000"/>
                <w:kern w:val="0"/>
                <w:sz w:val="19"/>
                <w:szCs w:val="19"/>
              </w:rPr>
              <w:t xml:space="preserve">元。 （五）行政案件按照下列标准交 纳： </w:t>
            </w:r>
            <w:r>
              <w:rPr>
                <w:rFonts w:ascii="Times New Roman" w:hAnsi="Times New Roman" w:eastAsia="宋体" w:cs="Times New Roman"/>
                <w:color w:val="000000"/>
                <w:kern w:val="0"/>
                <w:sz w:val="19"/>
                <w:szCs w:val="19"/>
              </w:rPr>
              <w:t>1.</w:t>
            </w:r>
            <w:r>
              <w:rPr>
                <w:rFonts w:hint="eastAsia" w:ascii="宋体" w:hAnsi="宋体" w:eastAsia="宋体" w:cs="宋体"/>
                <w:color w:val="000000"/>
                <w:kern w:val="0"/>
                <w:sz w:val="19"/>
                <w:szCs w:val="19"/>
              </w:rPr>
              <w:t xml:space="preserve">商标、专利、海事行政案件每件交纳 </w:t>
            </w:r>
            <w:r>
              <w:rPr>
                <w:rFonts w:ascii="Times New Roman" w:hAnsi="Times New Roman" w:eastAsia="宋体" w:cs="Times New Roman"/>
                <w:color w:val="000000"/>
                <w:kern w:val="0"/>
                <w:sz w:val="19"/>
                <w:szCs w:val="19"/>
              </w:rPr>
              <w:t xml:space="preserve">100 </w:t>
            </w:r>
            <w:r>
              <w:rPr>
                <w:rFonts w:hint="eastAsia" w:ascii="宋体" w:hAnsi="宋体" w:eastAsia="宋体" w:cs="宋体"/>
                <w:color w:val="000000"/>
                <w:kern w:val="0"/>
                <w:sz w:val="19"/>
                <w:szCs w:val="19"/>
              </w:rPr>
              <w:t xml:space="preserve">元； </w:t>
            </w:r>
            <w:r>
              <w:rPr>
                <w:rFonts w:ascii="Times New Roman" w:hAnsi="Times New Roman" w:eastAsia="宋体" w:cs="Times New Roman"/>
                <w:color w:val="000000"/>
                <w:kern w:val="0"/>
                <w:sz w:val="19"/>
                <w:szCs w:val="19"/>
              </w:rPr>
              <w:t>2.</w:t>
            </w:r>
            <w:r>
              <w:rPr>
                <w:rFonts w:hint="eastAsia" w:ascii="宋体" w:hAnsi="宋体" w:eastAsia="宋体" w:cs="宋体"/>
                <w:color w:val="000000"/>
                <w:kern w:val="0"/>
                <w:sz w:val="19"/>
                <w:szCs w:val="19"/>
              </w:rPr>
              <w:t xml:space="preserve">其他行政案件每件交纳 </w:t>
            </w:r>
            <w:r>
              <w:rPr>
                <w:rFonts w:ascii="Times New Roman" w:hAnsi="Times New Roman" w:eastAsia="宋体" w:cs="Times New Roman"/>
                <w:color w:val="000000"/>
                <w:kern w:val="0"/>
                <w:sz w:val="19"/>
                <w:szCs w:val="19"/>
              </w:rPr>
              <w:t xml:space="preserve">50 </w:t>
            </w:r>
            <w:r>
              <w:rPr>
                <w:rFonts w:hint="eastAsia" w:ascii="宋体" w:hAnsi="宋体" w:eastAsia="宋体" w:cs="宋体"/>
                <w:color w:val="000000"/>
                <w:kern w:val="0"/>
                <w:sz w:val="19"/>
                <w:szCs w:val="19"/>
              </w:rPr>
              <w:t xml:space="preserve">元。 （六）当事人提出案件管辖权异 议，异议不成立的案件受理费， 每件 </w:t>
            </w:r>
            <w:r>
              <w:rPr>
                <w:rFonts w:ascii="Times New Roman" w:hAnsi="Times New Roman" w:eastAsia="宋体" w:cs="Times New Roman"/>
                <w:color w:val="000000"/>
                <w:kern w:val="0"/>
                <w:sz w:val="19"/>
                <w:szCs w:val="19"/>
              </w:rPr>
              <w:t xml:space="preserve">80 </w:t>
            </w:r>
            <w:r>
              <w:rPr>
                <w:rFonts w:hint="eastAsia" w:ascii="宋体" w:hAnsi="宋体" w:eastAsia="宋体" w:cs="宋体"/>
                <w:color w:val="000000"/>
                <w:kern w:val="0"/>
                <w:sz w:val="19"/>
                <w:szCs w:val="19"/>
              </w:rPr>
              <w:t>元。 其他详见文件。</w:t>
            </w:r>
          </w:p>
          <w:p>
            <w:pPr>
              <w:widowControl/>
              <w:jc w:val="left"/>
              <w:rPr>
                <w:rFonts w:ascii="宋体" w:hAnsi="宋体" w:eastAsia="宋体" w:cs="宋体"/>
                <w:color w:val="000000"/>
                <w:kern w:val="0"/>
                <w:sz w:val="20"/>
                <w:szCs w:val="20"/>
              </w:rPr>
            </w:pPr>
          </w:p>
        </w:tc>
        <w:tc>
          <w:tcPr>
            <w:tcW w:w="847" w:type="dxa"/>
            <w:gridSpan w:val="2"/>
            <w:vAlign w:val="center"/>
          </w:tcPr>
          <w:p>
            <w:pPr>
              <w:widowControl/>
              <w:jc w:val="left"/>
            </w:pPr>
            <w:r>
              <w:rPr>
                <w:rFonts w:hint="eastAsia" w:ascii="宋体" w:hAnsi="宋体" w:eastAsia="宋体" w:cs="宋体"/>
                <w:color w:val="000000"/>
                <w:kern w:val="0"/>
                <w:sz w:val="19"/>
                <w:szCs w:val="19"/>
              </w:rPr>
              <w:t>国家</w:t>
            </w:r>
          </w:p>
          <w:p>
            <w:pPr>
              <w:widowControl/>
              <w:jc w:val="left"/>
              <w:rPr>
                <w:rFonts w:ascii="宋体" w:hAnsi="宋体" w:eastAsia="宋体" w:cs="宋体"/>
                <w:color w:val="000000"/>
                <w:kern w:val="0"/>
                <w:sz w:val="20"/>
                <w:szCs w:val="20"/>
              </w:rPr>
            </w:pPr>
          </w:p>
        </w:tc>
        <w:tc>
          <w:tcPr>
            <w:tcW w:w="2251" w:type="dxa"/>
            <w:vAlign w:val="center"/>
          </w:tcPr>
          <w:p>
            <w:pPr>
              <w:widowControl/>
              <w:jc w:val="left"/>
            </w:pPr>
            <w:r>
              <w:rPr>
                <w:rFonts w:hint="eastAsia" w:ascii="宋体" w:hAnsi="宋体" w:eastAsia="宋体" w:cs="宋体"/>
                <w:color w:val="000000"/>
                <w:kern w:val="0"/>
                <w:sz w:val="19"/>
                <w:szCs w:val="19"/>
              </w:rPr>
              <w:t xml:space="preserve">国务院第 </w:t>
            </w:r>
            <w:r>
              <w:rPr>
                <w:rFonts w:ascii="Times New Roman" w:hAnsi="Times New Roman" w:eastAsia="宋体" w:cs="Times New Roman"/>
                <w:color w:val="000000"/>
                <w:kern w:val="0"/>
                <w:sz w:val="19"/>
                <w:szCs w:val="19"/>
              </w:rPr>
              <w:t xml:space="preserve">481 </w:t>
            </w:r>
            <w:r>
              <w:rPr>
                <w:rFonts w:hint="eastAsia" w:ascii="宋体" w:hAnsi="宋体" w:eastAsia="宋体" w:cs="宋体"/>
                <w:color w:val="000000"/>
                <w:kern w:val="0"/>
                <w:sz w:val="19"/>
                <w:szCs w:val="19"/>
              </w:rPr>
              <w:t xml:space="preserve">号令 </w:t>
            </w:r>
          </w:p>
          <w:p>
            <w:pPr>
              <w:widowControl/>
              <w:jc w:val="left"/>
            </w:pPr>
            <w:r>
              <w:rPr>
                <w:rFonts w:hint="eastAsia" w:ascii="宋体" w:hAnsi="宋体" w:eastAsia="宋体" w:cs="宋体"/>
                <w:color w:val="000000"/>
                <w:kern w:val="0"/>
                <w:sz w:val="19"/>
                <w:szCs w:val="19"/>
              </w:rPr>
              <w:t xml:space="preserve">《诉讼费用交纳办法》 </w:t>
            </w:r>
          </w:p>
          <w:p>
            <w:pPr>
              <w:widowControl/>
              <w:jc w:val="left"/>
            </w:pPr>
            <w:r>
              <w:rPr>
                <w:rFonts w:hint="eastAsia" w:ascii="宋体" w:hAnsi="宋体" w:eastAsia="宋体" w:cs="宋体"/>
                <w:color w:val="000000"/>
                <w:kern w:val="0"/>
                <w:sz w:val="19"/>
                <w:szCs w:val="19"/>
              </w:rPr>
              <w:t>苏价费</w:t>
            </w:r>
            <w:r>
              <w:rPr>
                <w:rFonts w:hint="eastAsia"/>
              </w:rPr>
              <w:t>〔2010〕</w:t>
            </w:r>
            <w:r>
              <w:rPr>
                <w:rFonts w:ascii="Times New Roman" w:hAnsi="Times New Roman" w:eastAsia="宋体" w:cs="Times New Roman"/>
                <w:color w:val="000000"/>
                <w:kern w:val="0"/>
                <w:sz w:val="19"/>
                <w:szCs w:val="19"/>
              </w:rPr>
              <w:t xml:space="preserve">396 </w:t>
            </w:r>
            <w:r>
              <w:rPr>
                <w:rFonts w:hint="eastAsia" w:ascii="宋体" w:hAnsi="宋体" w:eastAsia="宋体" w:cs="宋体"/>
                <w:color w:val="000000"/>
                <w:kern w:val="0"/>
                <w:sz w:val="19"/>
                <w:szCs w:val="19"/>
              </w:rPr>
              <w:t>号</w:t>
            </w:r>
          </w:p>
          <w:p>
            <w:pPr>
              <w:widowControl/>
              <w:jc w:val="left"/>
              <w:rPr>
                <w:rFonts w:ascii="宋体" w:hAnsi="宋体" w:eastAsia="宋体" w:cs="宋体"/>
                <w:color w:val="000000"/>
                <w:kern w:val="0"/>
                <w:sz w:val="20"/>
                <w:szCs w:val="20"/>
              </w:rPr>
            </w:pPr>
          </w:p>
        </w:tc>
        <w:tc>
          <w:tcPr>
            <w:tcW w:w="2449" w:type="dxa"/>
            <w:vAlign w:val="center"/>
          </w:tcPr>
          <w:p>
            <w:pPr>
              <w:widowControl/>
              <w:jc w:val="left"/>
            </w:pPr>
            <w:r>
              <w:rPr>
                <w:rFonts w:hint="eastAsia" w:ascii="宋体" w:hAnsi="宋体" w:eastAsia="宋体" w:cs="宋体"/>
                <w:color w:val="000000"/>
                <w:kern w:val="0"/>
                <w:sz w:val="19"/>
                <w:szCs w:val="19"/>
              </w:rPr>
              <w:t>区级人民法院</w:t>
            </w:r>
          </w:p>
          <w:p>
            <w:pPr>
              <w:widowControl/>
              <w:jc w:val="left"/>
              <w:rPr>
                <w:rFonts w:ascii="宋体" w:hAnsi="宋体" w:eastAsia="宋体" w:cs="宋体"/>
                <w:color w:val="000000"/>
                <w:kern w:val="0"/>
                <w:sz w:val="20"/>
                <w:szCs w:val="20"/>
              </w:rPr>
            </w:pPr>
          </w:p>
        </w:tc>
        <w:tc>
          <w:tcPr>
            <w:tcW w:w="2612" w:type="dxa"/>
            <w:gridSpan w:val="2"/>
            <w:vAlign w:val="center"/>
          </w:tcPr>
          <w:p>
            <w:pPr>
              <w:widowControl/>
              <w:jc w:val="lef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lang w:val="en-US" w:eastAsia="zh-CN"/>
              </w:rPr>
              <w:t>8</w:t>
            </w:r>
          </w:p>
        </w:tc>
        <w:tc>
          <w:tcPr>
            <w:tcW w:w="1215" w:type="dxa"/>
            <w:vAlign w:val="center"/>
          </w:tcPr>
          <w:p>
            <w:pPr>
              <w:jc w:val="left"/>
            </w:pPr>
            <w:r>
              <w:rPr>
                <w:rFonts w:hint="eastAsia"/>
              </w:rPr>
              <w:t>不动产登记费</w:t>
            </w:r>
          </w:p>
        </w:tc>
        <w:tc>
          <w:tcPr>
            <w:tcW w:w="4080" w:type="dxa"/>
            <w:vAlign w:val="center"/>
          </w:tcPr>
          <w:p>
            <w:pPr>
              <w:jc w:val="left"/>
            </w:pPr>
            <w:r>
              <w:rPr>
                <w:rFonts w:hint="eastAsia"/>
              </w:rPr>
              <w:t>住宅类：80元/件；非住宅类：550元/件；证书工本费：按规定核发一本证书不收工本费，向一个以上不动产权利人核发证书的，每增加一本加收10元。</w:t>
            </w:r>
          </w:p>
          <w:p>
            <w:pPr>
              <w:jc w:val="left"/>
            </w:pPr>
            <w:r>
              <w:rPr>
                <w:rFonts w:hint="eastAsia"/>
              </w:rPr>
              <w:t>自2019年7月1日起对下列情形免征不动产登记费：(一)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对申请办理车库、车位、储藏室不动产登记，单独核发不动产权属证书或登记证明的，不动产登记费由原非住宅类不动产登记每件550元，减按住宅类不动产登记每件80元收取。</w:t>
            </w:r>
          </w:p>
        </w:tc>
        <w:tc>
          <w:tcPr>
            <w:tcW w:w="847" w:type="dxa"/>
            <w:gridSpan w:val="2"/>
            <w:vAlign w:val="center"/>
          </w:tcPr>
          <w:p>
            <w:pPr>
              <w:jc w:val="left"/>
            </w:pPr>
            <w:r>
              <w:rPr>
                <w:rFonts w:hint="eastAsia"/>
              </w:rPr>
              <w:t>国家</w:t>
            </w:r>
          </w:p>
        </w:tc>
        <w:tc>
          <w:tcPr>
            <w:tcW w:w="2251" w:type="dxa"/>
            <w:vAlign w:val="center"/>
          </w:tcPr>
          <w:p>
            <w:pPr>
              <w:jc w:val="left"/>
            </w:pPr>
            <w:r>
              <w:rPr>
                <w:rFonts w:hint="eastAsia"/>
              </w:rPr>
              <w:t>财税〔2016〕79号；</w:t>
            </w:r>
          </w:p>
          <w:p>
            <w:pPr>
              <w:jc w:val="left"/>
            </w:pPr>
            <w:r>
              <w:rPr>
                <w:rFonts w:hint="eastAsia"/>
              </w:rPr>
              <w:t>发改价格规〔2016〕2559号；</w:t>
            </w:r>
          </w:p>
          <w:p>
            <w:pPr>
              <w:jc w:val="left"/>
            </w:pPr>
            <w:r>
              <w:rPr>
                <w:rFonts w:hint="eastAsia"/>
              </w:rPr>
              <w:t>财税〔2019〕45号；</w:t>
            </w:r>
          </w:p>
          <w:p>
            <w:pPr>
              <w:jc w:val="left"/>
            </w:pPr>
            <w:r>
              <w:rPr>
                <w:rFonts w:hint="eastAsia"/>
              </w:rPr>
              <w:t>财税〔2010〕53号</w:t>
            </w:r>
          </w:p>
        </w:tc>
        <w:tc>
          <w:tcPr>
            <w:tcW w:w="2449" w:type="dxa"/>
            <w:vAlign w:val="center"/>
          </w:tcPr>
          <w:p>
            <w:pPr>
              <w:jc w:val="left"/>
            </w:pPr>
            <w:r>
              <w:rPr>
                <w:rFonts w:hint="eastAsia"/>
              </w:rPr>
              <w:t>市自然资源和规划局开发区分局</w:t>
            </w:r>
          </w:p>
        </w:tc>
        <w:tc>
          <w:tcPr>
            <w:tcW w:w="2612" w:type="dxa"/>
            <w:gridSpan w:val="2"/>
            <w:vAlign w:val="center"/>
          </w:tcPr>
          <w:p>
            <w:pPr>
              <w:jc w:val="left"/>
            </w:pPr>
            <w:r>
              <w:rPr>
                <w:rFonts w:hint="eastAsia"/>
              </w:rPr>
              <w:t>对易地扶贫搬迁项目免征不动产登记费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lang w:val="en-US" w:eastAsia="zh-CN"/>
              </w:rPr>
              <w:t>9</w:t>
            </w:r>
          </w:p>
        </w:tc>
        <w:tc>
          <w:tcPr>
            <w:tcW w:w="1215" w:type="dxa"/>
            <w:vAlign w:val="center"/>
          </w:tcPr>
          <w:p>
            <w:pPr>
              <w:jc w:val="center"/>
            </w:pPr>
            <w:r>
              <w:rPr>
                <w:rFonts w:hint="eastAsia"/>
              </w:rPr>
              <w:t>耕地开垦费</w:t>
            </w:r>
          </w:p>
        </w:tc>
        <w:tc>
          <w:tcPr>
            <w:tcW w:w="4080" w:type="dxa"/>
            <w:vAlign w:val="center"/>
          </w:tcPr>
          <w:p>
            <w:pPr>
              <w:jc w:val="center"/>
            </w:pPr>
            <w:r>
              <w:rPr>
                <w:rFonts w:hint="eastAsia"/>
              </w:rPr>
              <w:t>30元/平方米。经批准占用基本农</w:t>
            </w:r>
          </w:p>
          <w:p>
            <w:pPr>
              <w:jc w:val="center"/>
            </w:pPr>
            <w:r>
              <w:rPr>
                <w:rFonts w:hint="eastAsia"/>
              </w:rPr>
              <w:t>田的，按照当地耕地开垦费最高</w:t>
            </w:r>
          </w:p>
          <w:p>
            <w:pPr>
              <w:jc w:val="center"/>
            </w:pPr>
            <w:r>
              <w:rPr>
                <w:rFonts w:hint="eastAsia"/>
              </w:rPr>
              <w:t>标准的两倍执行。</w:t>
            </w:r>
          </w:p>
        </w:tc>
        <w:tc>
          <w:tcPr>
            <w:tcW w:w="847" w:type="dxa"/>
            <w:gridSpan w:val="2"/>
            <w:vAlign w:val="center"/>
          </w:tcPr>
          <w:p>
            <w:pPr>
              <w:jc w:val="center"/>
            </w:pPr>
          </w:p>
        </w:tc>
        <w:tc>
          <w:tcPr>
            <w:tcW w:w="2251" w:type="dxa"/>
            <w:vAlign w:val="center"/>
          </w:tcPr>
          <w:p>
            <w:pPr>
              <w:jc w:val="center"/>
            </w:pPr>
            <w:r>
              <w:rPr>
                <w:rFonts w:hint="eastAsia"/>
              </w:rPr>
              <w:t>苏政办发（2011）120号</w:t>
            </w:r>
          </w:p>
          <w:p>
            <w:pPr>
              <w:jc w:val="center"/>
            </w:pPr>
            <w:r>
              <w:rPr>
                <w:rFonts w:hint="eastAsia"/>
              </w:rPr>
              <w:t>苏财综(2014)105号</w:t>
            </w:r>
          </w:p>
          <w:p>
            <w:pPr>
              <w:jc w:val="center"/>
            </w:pPr>
            <w:r>
              <w:rPr>
                <w:rFonts w:hint="eastAsia"/>
              </w:rPr>
              <w:t>苏价服 (2015)361号</w:t>
            </w:r>
          </w:p>
          <w:p>
            <w:pPr>
              <w:jc w:val="center"/>
            </w:pPr>
            <w:r>
              <w:rPr>
                <w:rFonts w:hint="eastAsia"/>
              </w:rPr>
              <w:t>国发 （2015）31号</w:t>
            </w:r>
          </w:p>
          <w:p>
            <w:pPr>
              <w:jc w:val="center"/>
            </w:pPr>
            <w:r>
              <w:rPr>
                <w:rFonts w:hint="eastAsia"/>
              </w:rPr>
              <w:t>苏发改服价发（2018） 1348号</w:t>
            </w:r>
          </w:p>
        </w:tc>
        <w:tc>
          <w:tcPr>
            <w:tcW w:w="2449" w:type="dxa"/>
            <w:vAlign w:val="center"/>
          </w:tcPr>
          <w:p>
            <w:pPr>
              <w:jc w:val="center"/>
            </w:pPr>
            <w:r>
              <w:rPr>
                <w:rFonts w:hint="eastAsia"/>
              </w:rPr>
              <w:t>市自然资源和规划局开发区分局</w:t>
            </w:r>
          </w:p>
        </w:tc>
        <w:tc>
          <w:tcPr>
            <w:tcW w:w="2612" w:type="dxa"/>
            <w:gridSpan w:val="2"/>
            <w:vAlign w:val="center"/>
          </w:tcPr>
          <w:p>
            <w:pPr>
              <w:jc w:val="center"/>
            </w:pPr>
            <w:r>
              <w:rPr>
                <w:rFonts w:hint="eastAsia"/>
              </w:rPr>
              <w:t>自2015年1月1日起对非营利性养老和医疗机构建设全额免征,对营利性养老和医疗机构建设减半收取。中小学校舍安全工程建设免收。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0</w:t>
            </w:r>
          </w:p>
        </w:tc>
        <w:tc>
          <w:tcPr>
            <w:tcW w:w="1215" w:type="dxa"/>
            <w:vAlign w:val="center"/>
          </w:tcPr>
          <w:p>
            <w:pPr>
              <w:jc w:val="center"/>
            </w:pPr>
            <w:r>
              <w:rPr>
                <w:rFonts w:hint="eastAsia"/>
              </w:rPr>
              <w:t>土地复垦费</w:t>
            </w:r>
          </w:p>
        </w:tc>
        <w:tc>
          <w:tcPr>
            <w:tcW w:w="4080" w:type="dxa"/>
            <w:vAlign w:val="center"/>
          </w:tcPr>
          <w:p>
            <w:pPr>
              <w:jc w:val="center"/>
            </w:pPr>
            <w:r>
              <w:rPr>
                <w:rFonts w:hint="eastAsia"/>
              </w:rPr>
              <w:t>根据专家审查复垦方案确定的标准及金额征收。</w:t>
            </w:r>
          </w:p>
        </w:tc>
        <w:tc>
          <w:tcPr>
            <w:tcW w:w="847" w:type="dxa"/>
            <w:gridSpan w:val="2"/>
            <w:vAlign w:val="center"/>
          </w:tcPr>
          <w:p>
            <w:pPr>
              <w:jc w:val="center"/>
            </w:pPr>
          </w:p>
        </w:tc>
        <w:tc>
          <w:tcPr>
            <w:tcW w:w="2251" w:type="dxa"/>
            <w:vAlign w:val="center"/>
          </w:tcPr>
          <w:p>
            <w:pPr>
              <w:jc w:val="center"/>
            </w:pPr>
            <w:r>
              <w:rPr>
                <w:rFonts w:hint="eastAsia"/>
              </w:rPr>
              <w:t>苏财综（1993)199号</w:t>
            </w:r>
          </w:p>
          <w:p>
            <w:pPr>
              <w:jc w:val="center"/>
            </w:pPr>
            <w:r>
              <w:rPr>
                <w:rFonts w:hint="eastAsia"/>
              </w:rPr>
              <w:t>苏价涉字(1993)219号苏价房(1998)12号</w:t>
            </w:r>
          </w:p>
          <w:p>
            <w:pPr>
              <w:jc w:val="center"/>
            </w:pPr>
            <w:r>
              <w:rPr>
                <w:rFonts w:hint="eastAsia"/>
              </w:rPr>
              <w:t>苏政发(1999)8号</w:t>
            </w:r>
          </w:p>
          <w:p>
            <w:pPr>
              <w:jc w:val="center"/>
            </w:pPr>
            <w:r>
              <w:rPr>
                <w:rFonts w:hint="eastAsia"/>
              </w:rPr>
              <w:t>苏价费（2009）291号</w:t>
            </w:r>
          </w:p>
          <w:p>
            <w:pPr>
              <w:jc w:val="center"/>
            </w:pPr>
            <w:r>
              <w:rPr>
                <w:rFonts w:hint="eastAsia"/>
              </w:rPr>
              <w:t>苏财综（2009）47号</w:t>
            </w:r>
          </w:p>
          <w:p>
            <w:pPr>
              <w:jc w:val="center"/>
            </w:pPr>
            <w:r>
              <w:rPr>
                <w:rFonts w:hint="eastAsia"/>
              </w:rPr>
              <w:t>苏财综（2014）105号</w:t>
            </w:r>
          </w:p>
          <w:p>
            <w:pPr>
              <w:jc w:val="center"/>
            </w:pPr>
            <w:r>
              <w:rPr>
                <w:rFonts w:hint="eastAsia"/>
              </w:rPr>
              <w:t>苏发改服价发(2018)1348</w:t>
            </w:r>
          </w:p>
          <w:p>
            <w:pPr>
              <w:jc w:val="center"/>
            </w:pPr>
            <w:r>
              <w:rPr>
                <w:rFonts w:hint="eastAsia"/>
              </w:rPr>
              <w:t>《土地复垦条例实施办法》(国土资源部令第56号)</w:t>
            </w:r>
          </w:p>
        </w:tc>
        <w:tc>
          <w:tcPr>
            <w:tcW w:w="2449" w:type="dxa"/>
            <w:vAlign w:val="center"/>
          </w:tcPr>
          <w:p>
            <w:pPr>
              <w:jc w:val="center"/>
            </w:pPr>
            <w:r>
              <w:rPr>
                <w:rFonts w:hint="eastAsia"/>
              </w:rPr>
              <w:t>市自然资源和规划局开发区分局</w:t>
            </w:r>
          </w:p>
        </w:tc>
        <w:tc>
          <w:tcPr>
            <w:tcW w:w="2612" w:type="dxa"/>
            <w:gridSpan w:val="2"/>
            <w:vAlign w:val="center"/>
          </w:tcPr>
          <w:p>
            <w:pPr>
              <w:jc w:val="center"/>
            </w:pPr>
            <w:r>
              <w:rPr>
                <w:rFonts w:hint="eastAsia"/>
              </w:rPr>
              <w:t>自2015年1月1日起对非营利性养老和医疗机构建设全额免征,对营利性养老和医疗机构建设减半收取。中小学校舍安全工程建设免收。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1</w:t>
            </w:r>
          </w:p>
        </w:tc>
        <w:tc>
          <w:tcPr>
            <w:tcW w:w="1215" w:type="dxa"/>
            <w:vAlign w:val="center"/>
          </w:tcPr>
          <w:p>
            <w:pPr>
              <w:jc w:val="center"/>
            </w:pPr>
            <w:r>
              <w:rPr>
                <w:rFonts w:hint="eastAsia"/>
              </w:rPr>
              <w:t>保育教育费</w:t>
            </w:r>
          </w:p>
        </w:tc>
        <w:tc>
          <w:tcPr>
            <w:tcW w:w="4080" w:type="dxa"/>
            <w:vAlign w:val="center"/>
          </w:tcPr>
          <w:p>
            <w:pPr>
              <w:jc w:val="left"/>
            </w:pPr>
            <w:r>
              <w:rPr>
                <w:rFonts w:hint="eastAsia"/>
              </w:rPr>
              <w:t>省优质园500元/生/月，市优质园380元/生/月，合格园300元/生/月。公办可以上浮10%，民办园上浮不超过30%。</w:t>
            </w:r>
          </w:p>
        </w:tc>
        <w:tc>
          <w:tcPr>
            <w:tcW w:w="847" w:type="dxa"/>
            <w:gridSpan w:val="2"/>
            <w:vAlign w:val="center"/>
          </w:tcPr>
          <w:p>
            <w:pPr>
              <w:jc w:val="center"/>
            </w:pPr>
          </w:p>
        </w:tc>
        <w:tc>
          <w:tcPr>
            <w:tcW w:w="2251" w:type="dxa"/>
            <w:vAlign w:val="center"/>
          </w:tcPr>
          <w:p>
            <w:pPr>
              <w:jc w:val="center"/>
              <w:rPr>
                <w:rFonts w:ascii="宋体" w:hAnsi="宋体" w:eastAsia="宋体" w:cs="宋体"/>
                <w:color w:val="000000"/>
                <w:szCs w:val="21"/>
              </w:rPr>
            </w:pPr>
            <w:r>
              <w:rPr>
                <w:rFonts w:hint="eastAsia"/>
              </w:rPr>
              <w:t>苏价规</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17</w:t>
            </w:r>
            <w:r>
              <w:rPr>
                <w:rFonts w:hint="eastAsia" w:ascii="宋体" w:hAnsi="宋体" w:eastAsia="宋体" w:cs="宋体"/>
                <w:color w:val="000000"/>
                <w:szCs w:val="21"/>
              </w:rPr>
              <w:t>〕9号</w:t>
            </w:r>
          </w:p>
          <w:p>
            <w:pPr>
              <w:jc w:val="center"/>
              <w:rPr>
                <w:rFonts w:ascii="宋体" w:hAnsi="宋体" w:eastAsia="宋体" w:cs="宋体"/>
                <w:color w:val="000000"/>
                <w:szCs w:val="21"/>
              </w:rPr>
            </w:pPr>
            <w:r>
              <w:rPr>
                <w:rFonts w:hint="eastAsia"/>
              </w:rPr>
              <w:t>苏价规</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18</w:t>
            </w:r>
            <w:r>
              <w:rPr>
                <w:rFonts w:hint="eastAsia" w:ascii="宋体" w:hAnsi="宋体" w:eastAsia="宋体" w:cs="宋体"/>
                <w:color w:val="000000"/>
                <w:szCs w:val="21"/>
              </w:rPr>
              <w:t>〕109号</w:t>
            </w:r>
          </w:p>
        </w:tc>
        <w:tc>
          <w:tcPr>
            <w:tcW w:w="2449" w:type="dxa"/>
            <w:vAlign w:val="center"/>
          </w:tcPr>
          <w:p>
            <w:pPr>
              <w:jc w:val="center"/>
            </w:pPr>
            <w:r>
              <w:rPr>
                <w:rFonts w:hint="eastAsia"/>
              </w:rPr>
              <w:t>区各公办园、民办园</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2</w:t>
            </w:r>
          </w:p>
        </w:tc>
        <w:tc>
          <w:tcPr>
            <w:tcW w:w="1215" w:type="dxa"/>
            <w:vAlign w:val="center"/>
          </w:tcPr>
          <w:p>
            <w:pPr>
              <w:jc w:val="center"/>
            </w:pPr>
            <w:r>
              <w:rPr>
                <w:rFonts w:hint="eastAsia"/>
              </w:rPr>
              <w:t>社会实践活动费</w:t>
            </w:r>
          </w:p>
        </w:tc>
        <w:tc>
          <w:tcPr>
            <w:tcW w:w="4080" w:type="dxa"/>
            <w:vAlign w:val="center"/>
          </w:tcPr>
          <w:p>
            <w:pPr>
              <w:jc w:val="center"/>
            </w:pPr>
            <w:r>
              <w:rPr>
                <w:rFonts w:hint="eastAsia"/>
              </w:rPr>
              <w:t>15元/生/学期</w:t>
            </w:r>
          </w:p>
        </w:tc>
        <w:tc>
          <w:tcPr>
            <w:tcW w:w="847" w:type="dxa"/>
            <w:gridSpan w:val="2"/>
            <w:vAlign w:val="center"/>
          </w:tcPr>
          <w:p>
            <w:pPr>
              <w:jc w:val="center"/>
            </w:pPr>
          </w:p>
        </w:tc>
        <w:tc>
          <w:tcPr>
            <w:tcW w:w="2251" w:type="dxa"/>
            <w:vAlign w:val="center"/>
          </w:tcPr>
          <w:p>
            <w:pPr>
              <w:jc w:val="center"/>
              <w:rPr>
                <w:rFonts w:ascii="宋体" w:hAnsi="宋体" w:eastAsia="宋体" w:cs="宋体"/>
                <w:color w:val="000000"/>
                <w:szCs w:val="21"/>
              </w:rPr>
            </w:pPr>
            <w:r>
              <w:rPr>
                <w:rFonts w:hint="eastAsia"/>
              </w:rPr>
              <w:t>连教发</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21</w:t>
            </w:r>
            <w:r>
              <w:rPr>
                <w:rFonts w:hint="eastAsia" w:ascii="宋体" w:hAnsi="宋体" w:eastAsia="宋体" w:cs="宋体"/>
                <w:color w:val="000000"/>
                <w:szCs w:val="21"/>
              </w:rPr>
              <w:t>〕5号</w:t>
            </w:r>
          </w:p>
        </w:tc>
        <w:tc>
          <w:tcPr>
            <w:tcW w:w="2449" w:type="dxa"/>
            <w:vAlign w:val="center"/>
          </w:tcPr>
          <w:p>
            <w:pPr>
              <w:jc w:val="center"/>
            </w:pPr>
            <w:r>
              <w:rPr>
                <w:rFonts w:hint="eastAsia"/>
              </w:rPr>
              <w:t>区义务教育学校</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3</w:t>
            </w:r>
          </w:p>
        </w:tc>
        <w:tc>
          <w:tcPr>
            <w:tcW w:w="1215" w:type="dxa"/>
            <w:vAlign w:val="center"/>
          </w:tcPr>
          <w:p>
            <w:pPr>
              <w:jc w:val="center"/>
            </w:pPr>
            <w:r>
              <w:rPr>
                <w:rFonts w:hint="eastAsia"/>
              </w:rPr>
              <w:t>课后服务费</w:t>
            </w:r>
          </w:p>
        </w:tc>
        <w:tc>
          <w:tcPr>
            <w:tcW w:w="4080" w:type="dxa"/>
            <w:vAlign w:val="center"/>
          </w:tcPr>
          <w:p>
            <w:pPr>
              <w:jc w:val="center"/>
            </w:pPr>
            <w:r>
              <w:rPr>
                <w:rFonts w:hint="eastAsia"/>
              </w:rPr>
              <w:t>300元/生/学期</w:t>
            </w:r>
          </w:p>
        </w:tc>
        <w:tc>
          <w:tcPr>
            <w:tcW w:w="847" w:type="dxa"/>
            <w:gridSpan w:val="2"/>
            <w:vAlign w:val="center"/>
          </w:tcPr>
          <w:p>
            <w:pPr>
              <w:jc w:val="center"/>
            </w:pPr>
          </w:p>
        </w:tc>
        <w:tc>
          <w:tcPr>
            <w:tcW w:w="2251" w:type="dxa"/>
            <w:vAlign w:val="center"/>
          </w:tcPr>
          <w:p>
            <w:pPr>
              <w:jc w:val="center"/>
              <w:rPr>
                <w:rFonts w:ascii="宋体" w:hAnsi="宋体" w:eastAsia="宋体" w:cs="宋体"/>
                <w:color w:val="000000"/>
                <w:szCs w:val="21"/>
              </w:rPr>
            </w:pPr>
            <w:r>
              <w:rPr>
                <w:rFonts w:hint="eastAsia"/>
              </w:rPr>
              <w:t>连教发</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21</w:t>
            </w:r>
            <w:r>
              <w:rPr>
                <w:rFonts w:hint="eastAsia" w:ascii="宋体" w:hAnsi="宋体" w:eastAsia="宋体" w:cs="宋体"/>
                <w:color w:val="000000"/>
                <w:szCs w:val="21"/>
              </w:rPr>
              <w:t>〕5号</w:t>
            </w:r>
          </w:p>
        </w:tc>
        <w:tc>
          <w:tcPr>
            <w:tcW w:w="2449" w:type="dxa"/>
            <w:vAlign w:val="center"/>
          </w:tcPr>
          <w:p>
            <w:pPr>
              <w:jc w:val="center"/>
            </w:pPr>
            <w:r>
              <w:rPr>
                <w:rFonts w:hint="eastAsia"/>
              </w:rPr>
              <w:t>区义务教育学校</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4</w:t>
            </w:r>
          </w:p>
        </w:tc>
        <w:tc>
          <w:tcPr>
            <w:tcW w:w="1215" w:type="dxa"/>
            <w:vAlign w:val="center"/>
          </w:tcPr>
          <w:p>
            <w:pPr>
              <w:jc w:val="center"/>
            </w:pPr>
            <w:r>
              <w:rPr>
                <w:rFonts w:hint="eastAsia"/>
              </w:rPr>
              <w:t>高中学费</w:t>
            </w:r>
          </w:p>
        </w:tc>
        <w:tc>
          <w:tcPr>
            <w:tcW w:w="4080" w:type="dxa"/>
            <w:vAlign w:val="center"/>
          </w:tcPr>
          <w:p>
            <w:pPr>
              <w:jc w:val="center"/>
            </w:pPr>
            <w:r>
              <w:rPr>
                <w:rFonts w:hint="eastAsia"/>
              </w:rPr>
              <w:t>800元/生/学期</w:t>
            </w:r>
          </w:p>
        </w:tc>
        <w:tc>
          <w:tcPr>
            <w:tcW w:w="847" w:type="dxa"/>
            <w:gridSpan w:val="2"/>
            <w:vAlign w:val="center"/>
          </w:tcPr>
          <w:p>
            <w:pPr>
              <w:jc w:val="center"/>
            </w:pPr>
          </w:p>
        </w:tc>
        <w:tc>
          <w:tcPr>
            <w:tcW w:w="2251" w:type="dxa"/>
            <w:vAlign w:val="center"/>
          </w:tcPr>
          <w:p>
            <w:pPr>
              <w:jc w:val="center"/>
            </w:pPr>
          </w:p>
          <w:p>
            <w:pPr>
              <w:jc w:val="center"/>
              <w:rPr>
                <w:rFonts w:ascii="宋体" w:hAnsi="宋体" w:eastAsia="宋体" w:cs="宋体"/>
                <w:color w:val="000000"/>
                <w:szCs w:val="21"/>
              </w:rPr>
            </w:pPr>
            <w:r>
              <w:rPr>
                <w:rFonts w:hint="eastAsia"/>
              </w:rPr>
              <w:t>连价费字</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00</w:t>
            </w:r>
            <w:r>
              <w:rPr>
                <w:rFonts w:hint="eastAsia" w:ascii="宋体" w:hAnsi="宋体" w:eastAsia="宋体" w:cs="宋体"/>
                <w:color w:val="000000"/>
                <w:szCs w:val="21"/>
              </w:rPr>
              <w:t>〕254号</w:t>
            </w:r>
          </w:p>
          <w:p>
            <w:pPr>
              <w:jc w:val="center"/>
              <w:rPr>
                <w:rFonts w:ascii="宋体" w:hAnsi="宋体" w:eastAsia="宋体" w:cs="宋体"/>
                <w:color w:val="000000"/>
                <w:szCs w:val="21"/>
              </w:rPr>
            </w:pPr>
            <w:r>
              <w:rPr>
                <w:rFonts w:hint="eastAsia"/>
              </w:rPr>
              <w:t>连教计</w:t>
            </w: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20</w:t>
            </w:r>
            <w:r>
              <w:rPr>
                <w:rFonts w:hint="eastAsia" w:ascii="宋体" w:hAnsi="宋体" w:eastAsia="宋体" w:cs="宋体"/>
                <w:color w:val="000000"/>
                <w:szCs w:val="21"/>
              </w:rPr>
              <w:t>〕7号</w:t>
            </w:r>
          </w:p>
          <w:p>
            <w:pPr>
              <w:jc w:val="center"/>
              <w:rPr>
                <w:rFonts w:ascii="宋体" w:hAnsi="宋体" w:eastAsia="宋体" w:cs="宋体"/>
                <w:color w:val="000000"/>
                <w:szCs w:val="21"/>
              </w:rPr>
            </w:pPr>
          </w:p>
        </w:tc>
        <w:tc>
          <w:tcPr>
            <w:tcW w:w="2449" w:type="dxa"/>
            <w:vAlign w:val="center"/>
          </w:tcPr>
          <w:p>
            <w:pPr>
              <w:jc w:val="center"/>
            </w:pPr>
            <w:r>
              <w:rPr>
                <w:rFonts w:hint="eastAsia"/>
              </w:rPr>
              <w:t>区公办普通高中</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5</w:t>
            </w:r>
          </w:p>
        </w:tc>
        <w:tc>
          <w:tcPr>
            <w:tcW w:w="1215" w:type="dxa"/>
            <w:vAlign w:val="center"/>
          </w:tcPr>
          <w:p>
            <w:pPr>
              <w:jc w:val="center"/>
            </w:pPr>
            <w:r>
              <w:rPr>
                <w:rFonts w:hint="eastAsia"/>
              </w:rPr>
              <w:t>事业单位公开招聘工作人员考试收费</w:t>
            </w:r>
          </w:p>
        </w:tc>
        <w:tc>
          <w:tcPr>
            <w:tcW w:w="4080" w:type="dxa"/>
            <w:vAlign w:val="center"/>
          </w:tcPr>
          <w:p>
            <w:pPr>
              <w:jc w:val="center"/>
            </w:pPr>
            <w:r>
              <w:rPr>
                <w:rFonts w:hint="eastAsia"/>
              </w:rPr>
              <w:t>笔试100元/人（含报名费、考试费）面试考试费 100 元</w:t>
            </w:r>
          </w:p>
        </w:tc>
        <w:tc>
          <w:tcPr>
            <w:tcW w:w="847" w:type="dxa"/>
            <w:gridSpan w:val="2"/>
            <w:vAlign w:val="center"/>
          </w:tcPr>
          <w:p>
            <w:pPr>
              <w:jc w:val="center"/>
            </w:pPr>
          </w:p>
        </w:tc>
        <w:tc>
          <w:tcPr>
            <w:tcW w:w="2251" w:type="dxa"/>
            <w:vAlign w:val="center"/>
          </w:tcPr>
          <w:p>
            <w:pPr>
              <w:jc w:val="center"/>
            </w:pPr>
            <w:r>
              <w:rPr>
                <w:rFonts w:hint="eastAsia"/>
              </w:rPr>
              <w:t>苏价费函〔2007〕146 号</w:t>
            </w:r>
          </w:p>
        </w:tc>
        <w:tc>
          <w:tcPr>
            <w:tcW w:w="2449" w:type="dxa"/>
            <w:vAlign w:val="center"/>
          </w:tcPr>
          <w:p>
            <w:pPr>
              <w:jc w:val="center"/>
            </w:pPr>
            <w:r>
              <w:rPr>
                <w:rFonts w:hint="eastAsia"/>
              </w:rPr>
              <w:t>人社局</w:t>
            </w:r>
          </w:p>
        </w:tc>
        <w:tc>
          <w:tcPr>
            <w:tcW w:w="261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0" w:type="dxa"/>
            <w:gridSpan w:val="2"/>
            <w:vAlign w:val="center"/>
          </w:tcPr>
          <w:p>
            <w:pPr>
              <w:jc w:val="center"/>
              <w:rPr>
                <w:rFonts w:hint="eastAsia" w:eastAsiaTheme="minorEastAsia"/>
                <w:lang w:val="en-US" w:eastAsia="zh-CN"/>
              </w:rPr>
            </w:pPr>
            <w:r>
              <w:rPr>
                <w:rFonts w:hint="eastAsia"/>
              </w:rPr>
              <w:t>1</w:t>
            </w:r>
            <w:r>
              <w:rPr>
                <w:rFonts w:hint="eastAsia"/>
                <w:lang w:val="en-US" w:eastAsia="zh-CN"/>
              </w:rPr>
              <w:t>6</w:t>
            </w:r>
          </w:p>
        </w:tc>
        <w:tc>
          <w:tcPr>
            <w:tcW w:w="1215" w:type="dxa"/>
            <w:vAlign w:val="center"/>
          </w:tcPr>
          <w:p>
            <w:pPr>
              <w:jc w:val="center"/>
            </w:pPr>
            <w:r>
              <w:rPr>
                <w:rFonts w:hint="eastAsia"/>
              </w:rPr>
              <w:t>人防异地建设费</w:t>
            </w:r>
          </w:p>
        </w:tc>
        <w:tc>
          <w:tcPr>
            <w:tcW w:w="4080" w:type="dxa"/>
            <w:vAlign w:val="center"/>
          </w:tcPr>
          <w:p>
            <w:pPr>
              <w:jc w:val="center"/>
            </w:pPr>
            <w:r>
              <w:rPr>
                <w:rFonts w:hint="eastAsia"/>
              </w:rPr>
              <w:t>民用建筑1000元/平方米（应建面积）；工业项目非生产性建筑600元/平方米</w:t>
            </w:r>
          </w:p>
        </w:tc>
        <w:tc>
          <w:tcPr>
            <w:tcW w:w="847" w:type="dxa"/>
            <w:gridSpan w:val="2"/>
            <w:vAlign w:val="center"/>
          </w:tcPr>
          <w:p>
            <w:pPr>
              <w:jc w:val="center"/>
            </w:pPr>
            <w:r>
              <w:rPr>
                <w:rFonts w:hint="eastAsia"/>
              </w:rPr>
              <w:t>省</w:t>
            </w:r>
          </w:p>
        </w:tc>
        <w:tc>
          <w:tcPr>
            <w:tcW w:w="2251" w:type="dxa"/>
            <w:vAlign w:val="center"/>
          </w:tcPr>
          <w:p>
            <w:pPr>
              <w:jc w:val="center"/>
            </w:pPr>
            <w:r>
              <w:rPr>
                <w:rFonts w:hint="eastAsia"/>
              </w:rPr>
              <w:t>苏防规﹝2020﹞1号</w:t>
            </w:r>
          </w:p>
          <w:p>
            <w:pPr>
              <w:jc w:val="center"/>
            </w:pPr>
            <w:r>
              <w:rPr>
                <w:rFonts w:hint="eastAsia"/>
              </w:rPr>
              <w:t>连价服﹝2018﹞105号</w:t>
            </w:r>
          </w:p>
        </w:tc>
        <w:tc>
          <w:tcPr>
            <w:tcW w:w="2449" w:type="dxa"/>
            <w:vAlign w:val="center"/>
          </w:tcPr>
          <w:p>
            <w:pPr>
              <w:jc w:val="center"/>
            </w:pPr>
            <w:r>
              <w:rPr>
                <w:rFonts w:hint="eastAsia"/>
              </w:rPr>
              <w:t>区行政审批局</w:t>
            </w:r>
          </w:p>
        </w:tc>
        <w:tc>
          <w:tcPr>
            <w:tcW w:w="2612" w:type="dxa"/>
            <w:gridSpan w:val="2"/>
            <w:vAlign w:val="center"/>
          </w:tcPr>
          <w:p>
            <w:pPr>
              <w:jc w:val="cente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TdlZjFlZjI2NGNmNTg5YjRmYzdmZDJmMTY4MzMifQ=="/>
  </w:docVars>
  <w:rsids>
    <w:rsidRoot w:val="7CA35788"/>
    <w:rsid w:val="0010183E"/>
    <w:rsid w:val="001065C2"/>
    <w:rsid w:val="0018170E"/>
    <w:rsid w:val="001C2632"/>
    <w:rsid w:val="00293B1F"/>
    <w:rsid w:val="002A64DA"/>
    <w:rsid w:val="003B6808"/>
    <w:rsid w:val="004A18AF"/>
    <w:rsid w:val="00594061"/>
    <w:rsid w:val="00633EAD"/>
    <w:rsid w:val="00777F30"/>
    <w:rsid w:val="007E1EA1"/>
    <w:rsid w:val="00876B42"/>
    <w:rsid w:val="0094515B"/>
    <w:rsid w:val="00947E58"/>
    <w:rsid w:val="00972506"/>
    <w:rsid w:val="009D3D2B"/>
    <w:rsid w:val="00AF4C0F"/>
    <w:rsid w:val="00B446C7"/>
    <w:rsid w:val="00DC4199"/>
    <w:rsid w:val="00DF1091"/>
    <w:rsid w:val="00E91AFB"/>
    <w:rsid w:val="00EF21A6"/>
    <w:rsid w:val="04A2290F"/>
    <w:rsid w:val="09A36BA4"/>
    <w:rsid w:val="0D832A42"/>
    <w:rsid w:val="10E9348B"/>
    <w:rsid w:val="134E4334"/>
    <w:rsid w:val="1706734A"/>
    <w:rsid w:val="17B65FFE"/>
    <w:rsid w:val="1A9359BC"/>
    <w:rsid w:val="1D0D5092"/>
    <w:rsid w:val="1D6E276D"/>
    <w:rsid w:val="245660D2"/>
    <w:rsid w:val="28981F1C"/>
    <w:rsid w:val="301453AA"/>
    <w:rsid w:val="34D66156"/>
    <w:rsid w:val="37C94529"/>
    <w:rsid w:val="38B33C4A"/>
    <w:rsid w:val="3E413EEF"/>
    <w:rsid w:val="40F2149E"/>
    <w:rsid w:val="42313CCF"/>
    <w:rsid w:val="42CD1D41"/>
    <w:rsid w:val="44CD3CA0"/>
    <w:rsid w:val="4743767B"/>
    <w:rsid w:val="49C13C18"/>
    <w:rsid w:val="4A26009D"/>
    <w:rsid w:val="4AFA2DB2"/>
    <w:rsid w:val="4C2F6420"/>
    <w:rsid w:val="4D1C19F6"/>
    <w:rsid w:val="4D61355F"/>
    <w:rsid w:val="4F847AD3"/>
    <w:rsid w:val="531B6A0F"/>
    <w:rsid w:val="572C22BB"/>
    <w:rsid w:val="5BC1112B"/>
    <w:rsid w:val="5FD1548E"/>
    <w:rsid w:val="625B18C5"/>
    <w:rsid w:val="650C2FAC"/>
    <w:rsid w:val="68B34350"/>
    <w:rsid w:val="696C669C"/>
    <w:rsid w:val="6BD07E5F"/>
    <w:rsid w:val="6D7E0341"/>
    <w:rsid w:val="7047704E"/>
    <w:rsid w:val="7CA35788"/>
    <w:rsid w:val="7E4D233A"/>
    <w:rsid w:val="7F0B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2821</Words>
  <Characters>3237</Characters>
  <Lines>25</Lines>
  <Paragraphs>7</Paragraphs>
  <TotalTime>4</TotalTime>
  <ScaleCrop>false</ScaleCrop>
  <LinksUpToDate>false</LinksUpToDate>
  <CharactersWithSpaces>3328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2022-11-11T03:07:00Z</dcterms:created>
  <dc:creator>Administrator</dc:creator>
  <cp:lastModifiedBy>MC</cp:lastModifiedBy>
  <dcterms:modified xsi:type="dcterms:W3CDTF">2023-07-26T00:40:57Z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3C4D6BFE262344B2A39E25836A14E596_13</vt:lpwstr>
  </property>
</Properties>
</file>